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32B4F" w14:textId="267DB084" w:rsidR="00187DA6" w:rsidRDefault="00D96D6A" w:rsidP="00D96D6A">
      <w:pPr>
        <w:pStyle w:val="Pagedecouverture"/>
        <w:rPr>
          <w:noProof/>
        </w:rPr>
      </w:pPr>
      <w:bookmarkStart w:id="0" w:name="_Toc126930795"/>
      <w:bookmarkStart w:id="1" w:name="_Toc391637273"/>
      <w:bookmarkStart w:id="2" w:name="LW_BM_COVERPAGE"/>
      <w:r>
        <w:rPr>
          <w:noProof/>
        </w:rPr>
        <w:pict w14:anchorId="7349C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0969C7-5B57-44E7-B6D9-A07ABBB5B6CE" style="width:455.25pt;height:450.75pt">
            <v:imagedata r:id="rId11" o:title=""/>
          </v:shape>
        </w:pict>
      </w:r>
    </w:p>
    <w:bookmarkEnd w:id="2"/>
    <w:p w14:paraId="27974077" w14:textId="77777777" w:rsidR="00187DA6" w:rsidRDefault="00187DA6" w:rsidP="00187DA6">
      <w:pPr>
        <w:rPr>
          <w:noProof/>
        </w:rPr>
        <w:sectPr w:rsidR="00187DA6" w:rsidSect="00D96D6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6F03BAE8" w14:textId="5A1B60F3" w:rsidR="00CE3A49" w:rsidRDefault="00FE5B14" w:rsidP="00291AB2">
      <w:pPr>
        <w:pStyle w:val="AnnexTitle"/>
        <w:rPr>
          <w:noProof/>
        </w:rPr>
      </w:pPr>
      <w:bookmarkStart w:id="3" w:name="_GoBack"/>
      <w:bookmarkEnd w:id="3"/>
      <w:r w:rsidRPr="001768CF">
        <w:rPr>
          <w:noProof/>
        </w:rPr>
        <w:lastRenderedPageBreak/>
        <w:t>Annex 4: Analytical methods</w:t>
      </w:r>
      <w:bookmarkEnd w:id="0"/>
      <w:bookmarkEnd w:id="1"/>
    </w:p>
    <w:p w14:paraId="78637252" w14:textId="443B8046" w:rsidR="008963B3" w:rsidRDefault="008963B3" w:rsidP="008963B3">
      <w:pPr>
        <w:pStyle w:val="Heading1"/>
        <w:rPr>
          <w:noProof/>
        </w:rPr>
      </w:pPr>
      <w:bookmarkStart w:id="4" w:name="_Toc59188170"/>
      <w:r>
        <w:rPr>
          <w:noProof/>
        </w:rPr>
        <w:t>Screening of impacts</w:t>
      </w:r>
      <w:bookmarkEnd w:id="4"/>
    </w:p>
    <w:p w14:paraId="1A25B292" w14:textId="1F84CA4C" w:rsidR="003C52C0" w:rsidRDefault="003C52C0" w:rsidP="005C79FB">
      <w:pPr>
        <w:pStyle w:val="Heading2"/>
        <w:rPr>
          <w:noProof/>
        </w:rPr>
      </w:pPr>
      <w:r>
        <w:rPr>
          <w:noProof/>
        </w:rPr>
        <w:t>Identification of impacts</w:t>
      </w:r>
    </w:p>
    <w:p w14:paraId="33404B67" w14:textId="13355D7C" w:rsidR="00FC652C" w:rsidRDefault="00223AA1" w:rsidP="00B56F27">
      <w:pPr>
        <w:pStyle w:val="BodyText"/>
        <w:jc w:val="both"/>
        <w:rPr>
          <w:noProof/>
        </w:rPr>
      </w:pPr>
      <w:r>
        <w:rPr>
          <w:noProof/>
        </w:rPr>
        <w:t>A</w:t>
      </w:r>
      <w:r w:rsidR="00CE6529">
        <w:rPr>
          <w:noProof/>
        </w:rPr>
        <w:t>ll the</w:t>
      </w:r>
      <w:r w:rsidR="008963B3">
        <w:rPr>
          <w:noProof/>
        </w:rPr>
        <w:t xml:space="preserve"> impacts</w:t>
      </w:r>
      <w:r>
        <w:rPr>
          <w:noProof/>
        </w:rPr>
        <w:t xml:space="preserve"> which could </w:t>
      </w:r>
      <w:r w:rsidR="00CE6529">
        <w:rPr>
          <w:noProof/>
        </w:rPr>
        <w:t xml:space="preserve">potentially </w:t>
      </w:r>
      <w:r w:rsidR="001B7BB4">
        <w:rPr>
          <w:noProof/>
        </w:rPr>
        <w:t xml:space="preserve">be </w:t>
      </w:r>
      <w:r w:rsidR="00CE6529">
        <w:rPr>
          <w:noProof/>
        </w:rPr>
        <w:t>associated with</w:t>
      </w:r>
      <w:r w:rsidR="008963B3">
        <w:rPr>
          <w:noProof/>
        </w:rPr>
        <w:t xml:space="preserve"> the</w:t>
      </w:r>
      <w:r w:rsidR="001B7BB4">
        <w:rPr>
          <w:noProof/>
        </w:rPr>
        <w:t xml:space="preserve"> policy options </w:t>
      </w:r>
      <w:r w:rsidR="00E67487">
        <w:rPr>
          <w:noProof/>
        </w:rPr>
        <w:t xml:space="preserve">analysed </w:t>
      </w:r>
      <w:r w:rsidR="001B7BB4">
        <w:rPr>
          <w:noProof/>
        </w:rPr>
        <w:t>in this I</w:t>
      </w:r>
      <w:r w:rsidR="00974662">
        <w:rPr>
          <w:noProof/>
        </w:rPr>
        <w:t>mpact Assessment were identified</w:t>
      </w:r>
      <w:r w:rsidR="003C52C0">
        <w:rPr>
          <w:noProof/>
        </w:rPr>
        <w:t xml:space="preserve">. </w:t>
      </w:r>
      <w:r w:rsidR="00E67487" w:rsidRPr="00E67487">
        <w:rPr>
          <w:noProof/>
        </w:rPr>
        <w:t xml:space="preserve">This was done on the basis of the </w:t>
      </w:r>
      <w:r w:rsidR="00A87D65" w:rsidRPr="00A87D65">
        <w:rPr>
          <w:noProof/>
        </w:rPr>
        <w:t>“Overview of key impacts” set out in the ‘Better Regulation Toolbox’ Tool #18</w:t>
      </w:r>
      <w:r w:rsidR="00E67487" w:rsidRPr="00E67487">
        <w:rPr>
          <w:noProof/>
        </w:rPr>
        <w:t>, taking into account the evidence gathered during consultation activities with stakeholders</w:t>
      </w:r>
      <w:r w:rsidR="00796252">
        <w:rPr>
          <w:noProof/>
        </w:rPr>
        <w:t>, th</w:t>
      </w:r>
      <w:r w:rsidR="00B63A1E">
        <w:rPr>
          <w:noProof/>
        </w:rPr>
        <w:t xml:space="preserve">rough </w:t>
      </w:r>
      <w:r w:rsidR="00796252">
        <w:rPr>
          <w:noProof/>
        </w:rPr>
        <w:t>literature review</w:t>
      </w:r>
      <w:r w:rsidR="00E67487" w:rsidRPr="00E67487">
        <w:rPr>
          <w:noProof/>
        </w:rPr>
        <w:t xml:space="preserve"> and on expert assessment</w:t>
      </w:r>
      <w:r w:rsidR="00796252">
        <w:rPr>
          <w:noProof/>
        </w:rPr>
        <w:t xml:space="preserve">. </w:t>
      </w:r>
      <w:r w:rsidR="00E67487" w:rsidRPr="00E67487">
        <w:rPr>
          <w:noProof/>
        </w:rPr>
        <w:t xml:space="preserve"> </w:t>
      </w:r>
    </w:p>
    <w:p w14:paraId="38505FEB" w14:textId="17783877" w:rsidR="00BB1240" w:rsidRPr="00510347" w:rsidRDefault="00BB1240" w:rsidP="00C4326C">
      <w:pPr>
        <w:pStyle w:val="Bullet1"/>
        <w:numPr>
          <w:ilvl w:val="0"/>
          <w:numId w:val="0"/>
        </w:numPr>
        <w:jc w:val="both"/>
        <w:rPr>
          <w:noProof/>
          <w:lang w:val="en-IE"/>
        </w:rPr>
      </w:pPr>
      <w:r w:rsidRPr="00BB1240">
        <w:rPr>
          <w:noProof/>
        </w:rPr>
        <w:t xml:space="preserve">The positive and negative, direct and indirect, intended and unintended, and short- and long-term impacts were considered. Table 1 shows </w:t>
      </w:r>
      <w:r w:rsidR="006B462C" w:rsidRPr="006B462C">
        <w:rPr>
          <w:noProof/>
        </w:rPr>
        <w:t xml:space="preserve">the impacts </w:t>
      </w:r>
      <w:r w:rsidR="003E11A5">
        <w:rPr>
          <w:noProof/>
        </w:rPr>
        <w:t>considered</w:t>
      </w:r>
      <w:r w:rsidR="006B462C" w:rsidRPr="006B462C">
        <w:rPr>
          <w:noProof/>
        </w:rPr>
        <w:t xml:space="preserve"> for further analysis based on their relevance for the planned initiative.</w:t>
      </w:r>
      <w:r w:rsidR="00717FC4">
        <w:rPr>
          <w:noProof/>
        </w:rPr>
        <w:t xml:space="preserve"> </w:t>
      </w:r>
      <w:r w:rsidR="00895F8C">
        <w:rPr>
          <w:noProof/>
        </w:rPr>
        <w:t xml:space="preserve">   </w:t>
      </w:r>
    </w:p>
    <w:p w14:paraId="3C6C5D93" w14:textId="285FAD20" w:rsidR="008963B3" w:rsidRPr="00496AF1" w:rsidRDefault="00306902" w:rsidP="008963B3">
      <w:pPr>
        <w:pStyle w:val="TableTitle"/>
        <w:rPr>
          <w:rStyle w:val="TableChar"/>
          <w:bCs/>
          <w:i/>
          <w:noProof/>
          <w:color w:val="000000" w:themeColor="text1"/>
        </w:rPr>
      </w:pPr>
      <w:bookmarkStart w:id="5" w:name="_Ref56001522"/>
      <w:r>
        <w:rPr>
          <w:rFonts w:eastAsiaTheme="minorHAnsi" w:cstheme="minorBidi"/>
          <w:bCs w:val="0"/>
          <w:i w:val="0"/>
          <w:noProof/>
          <w:color w:val="000000" w:themeColor="text1"/>
        </w:rPr>
        <w:t xml:space="preserve">‘Long </w:t>
      </w:r>
      <w:r>
        <w:rPr>
          <w:rStyle w:val="TableChar"/>
          <w:noProof/>
        </w:rPr>
        <w:t>l</w:t>
      </w:r>
      <w:r w:rsidR="008963B3">
        <w:rPr>
          <w:rStyle w:val="TableChar"/>
          <w:noProof/>
        </w:rPr>
        <w:t>ist</w:t>
      </w:r>
      <w:r>
        <w:rPr>
          <w:rStyle w:val="TableChar"/>
          <w:noProof/>
        </w:rPr>
        <w:t>’</w:t>
      </w:r>
      <w:r w:rsidR="008963B3">
        <w:rPr>
          <w:rStyle w:val="TableChar"/>
          <w:noProof/>
        </w:rPr>
        <w:t xml:space="preserve"> of </w:t>
      </w:r>
      <w:r w:rsidR="008963B3" w:rsidRPr="00143EBC">
        <w:rPr>
          <w:rStyle w:val="TableChar"/>
          <w:noProof/>
        </w:rPr>
        <w:t>impact</w:t>
      </w:r>
      <w:bookmarkEnd w:id="5"/>
      <w:r w:rsidR="005A49F5">
        <w:rPr>
          <w:rStyle w:val="TableChar"/>
          <w:noProof/>
        </w:rPr>
        <w:t>s</w:t>
      </w:r>
    </w:p>
    <w:tbl>
      <w:tblPr>
        <w:tblW w:w="9072" w:type="dxa"/>
        <w:tblBorders>
          <w:top w:val="single" w:sz="4" w:space="0" w:color="auto"/>
          <w:bottom w:val="single" w:sz="4" w:space="0" w:color="auto"/>
          <w:insideH w:val="single" w:sz="4" w:space="0" w:color="auto"/>
        </w:tblBorders>
        <w:shd w:val="solid" w:color="F2F2F2" w:fill="F2F2F2"/>
        <w:tblLayout w:type="fixed"/>
        <w:tblCellMar>
          <w:left w:w="0" w:type="dxa"/>
          <w:right w:w="0" w:type="dxa"/>
        </w:tblCellMar>
        <w:tblLook w:val="0000" w:firstRow="0" w:lastRow="0" w:firstColumn="0" w:lastColumn="0" w:noHBand="0" w:noVBand="0"/>
      </w:tblPr>
      <w:tblGrid>
        <w:gridCol w:w="1701"/>
        <w:gridCol w:w="3544"/>
        <w:gridCol w:w="3827"/>
      </w:tblGrid>
      <w:tr w:rsidR="00BC3921" w:rsidRPr="00824F37" w14:paraId="170B905F" w14:textId="77777777" w:rsidTr="25CA0D31">
        <w:tc>
          <w:tcPr>
            <w:tcW w:w="1701" w:type="dxa"/>
            <w:shd w:val="clear" w:color="auto" w:fill="002395"/>
          </w:tcPr>
          <w:p w14:paraId="32ACB6A8" w14:textId="77777777" w:rsidR="00BC3921" w:rsidRPr="00C313A1" w:rsidRDefault="00BC3921">
            <w:pPr>
              <w:pStyle w:val="TableHeading"/>
              <w:spacing w:line="276" w:lineRule="auto"/>
              <w:rPr>
                <w:noProof/>
                <w:sz w:val="18"/>
                <w:szCs w:val="18"/>
              </w:rPr>
            </w:pPr>
            <w:r w:rsidRPr="00C313A1">
              <w:rPr>
                <w:noProof/>
                <w:sz w:val="18"/>
                <w:szCs w:val="18"/>
              </w:rPr>
              <w:t>Impact type</w:t>
            </w:r>
          </w:p>
        </w:tc>
        <w:tc>
          <w:tcPr>
            <w:tcW w:w="3544" w:type="dxa"/>
            <w:shd w:val="clear" w:color="auto" w:fill="002395"/>
          </w:tcPr>
          <w:p w14:paraId="26E81E6E" w14:textId="77777777" w:rsidR="00BC3921" w:rsidRPr="00C313A1" w:rsidRDefault="00BC3921">
            <w:pPr>
              <w:pStyle w:val="TableHeading"/>
              <w:spacing w:line="276" w:lineRule="auto"/>
              <w:rPr>
                <w:noProof/>
                <w:sz w:val="18"/>
                <w:szCs w:val="18"/>
              </w:rPr>
            </w:pPr>
            <w:r w:rsidRPr="00C313A1">
              <w:rPr>
                <w:noProof/>
                <w:sz w:val="18"/>
                <w:szCs w:val="18"/>
              </w:rPr>
              <w:t>Long list of impacts drawing on Commission IA guidelines</w:t>
            </w:r>
          </w:p>
        </w:tc>
        <w:tc>
          <w:tcPr>
            <w:tcW w:w="3827" w:type="dxa"/>
            <w:shd w:val="clear" w:color="auto" w:fill="002395"/>
          </w:tcPr>
          <w:p w14:paraId="31E41BCF" w14:textId="77777777" w:rsidR="00BC3921" w:rsidRPr="00C313A1" w:rsidRDefault="00BC3921">
            <w:pPr>
              <w:pStyle w:val="TableHeading"/>
              <w:spacing w:line="276" w:lineRule="auto"/>
              <w:rPr>
                <w:noProof/>
                <w:sz w:val="18"/>
                <w:szCs w:val="18"/>
              </w:rPr>
            </w:pPr>
            <w:r>
              <w:rPr>
                <w:noProof/>
                <w:sz w:val="18"/>
                <w:szCs w:val="18"/>
              </w:rPr>
              <w:t>Specific d</w:t>
            </w:r>
            <w:r w:rsidRPr="00C313A1">
              <w:rPr>
                <w:noProof/>
                <w:sz w:val="18"/>
                <w:szCs w:val="18"/>
              </w:rPr>
              <w:t xml:space="preserve">irect </w:t>
            </w:r>
            <w:r>
              <w:rPr>
                <w:noProof/>
                <w:sz w:val="18"/>
                <w:szCs w:val="18"/>
              </w:rPr>
              <w:t>i</w:t>
            </w:r>
            <w:r w:rsidRPr="00C313A1">
              <w:rPr>
                <w:noProof/>
                <w:sz w:val="18"/>
                <w:szCs w:val="18"/>
              </w:rPr>
              <w:t>mpacts</w:t>
            </w:r>
            <w:r>
              <w:rPr>
                <w:noProof/>
                <w:sz w:val="18"/>
                <w:szCs w:val="18"/>
              </w:rPr>
              <w:t xml:space="preserve"> considered</w:t>
            </w:r>
          </w:p>
        </w:tc>
      </w:tr>
      <w:tr w:rsidR="00BC3921" w:rsidRPr="00C313A1" w14:paraId="25545364" w14:textId="77777777" w:rsidTr="25CA0D31">
        <w:tc>
          <w:tcPr>
            <w:tcW w:w="1701" w:type="dxa"/>
            <w:shd w:val="clear" w:color="auto" w:fill="F2F2F2" w:themeFill="background1" w:themeFillShade="F2"/>
          </w:tcPr>
          <w:p w14:paraId="31AE3A85" w14:textId="77777777" w:rsidR="00BC3921" w:rsidRPr="00C313A1" w:rsidRDefault="00BC3921">
            <w:pPr>
              <w:pStyle w:val="TableText"/>
              <w:spacing w:before="0" w:after="120" w:line="276" w:lineRule="auto"/>
              <w:rPr>
                <w:noProof/>
                <w:sz w:val="18"/>
                <w:szCs w:val="18"/>
              </w:rPr>
            </w:pPr>
            <w:r w:rsidRPr="00C313A1">
              <w:rPr>
                <w:noProof/>
                <w:sz w:val="18"/>
                <w:szCs w:val="18"/>
              </w:rPr>
              <w:t>Economic Impacts</w:t>
            </w:r>
          </w:p>
        </w:tc>
        <w:tc>
          <w:tcPr>
            <w:tcW w:w="3544" w:type="dxa"/>
            <w:shd w:val="clear" w:color="auto" w:fill="F2F2F2" w:themeFill="background1" w:themeFillShade="F2"/>
          </w:tcPr>
          <w:p w14:paraId="0407C807" w14:textId="77777777" w:rsidR="00BC3921" w:rsidRPr="00414C36" w:rsidRDefault="00BC3921" w:rsidP="00C4288E">
            <w:pPr>
              <w:pStyle w:val="Bullet1"/>
              <w:numPr>
                <w:ilvl w:val="0"/>
                <w:numId w:val="13"/>
              </w:numPr>
              <w:spacing w:before="0" w:line="276" w:lineRule="auto"/>
              <w:ind w:left="426" w:hanging="284"/>
              <w:rPr>
                <w:noProof/>
                <w:sz w:val="18"/>
                <w:szCs w:val="18"/>
              </w:rPr>
            </w:pPr>
            <w:r>
              <w:rPr>
                <w:noProof/>
              </w:rPr>
              <w:t>Conduct of business</w:t>
            </w:r>
          </w:p>
          <w:p w14:paraId="39916180" w14:textId="77777777" w:rsidR="00BC3921" w:rsidRPr="00414C36" w:rsidRDefault="00BC3921" w:rsidP="00C4288E">
            <w:pPr>
              <w:pStyle w:val="Bullet1"/>
              <w:numPr>
                <w:ilvl w:val="0"/>
                <w:numId w:val="13"/>
              </w:numPr>
              <w:spacing w:before="0" w:line="276" w:lineRule="auto"/>
              <w:ind w:left="427" w:hanging="284"/>
              <w:rPr>
                <w:noProof/>
                <w:sz w:val="18"/>
                <w:szCs w:val="18"/>
              </w:rPr>
            </w:pPr>
            <w:r>
              <w:rPr>
                <w:noProof/>
              </w:rPr>
              <w:t>Position of SMEs</w:t>
            </w:r>
          </w:p>
          <w:p w14:paraId="195644BE" w14:textId="77777777" w:rsidR="00BC3921" w:rsidRPr="00414C36" w:rsidRDefault="00BC3921" w:rsidP="00C4288E">
            <w:pPr>
              <w:pStyle w:val="Bullet1"/>
              <w:numPr>
                <w:ilvl w:val="0"/>
                <w:numId w:val="13"/>
              </w:numPr>
              <w:spacing w:before="0" w:line="276" w:lineRule="auto"/>
              <w:ind w:left="427" w:hanging="284"/>
              <w:rPr>
                <w:noProof/>
                <w:sz w:val="18"/>
                <w:szCs w:val="18"/>
              </w:rPr>
            </w:pPr>
            <w:r>
              <w:rPr>
                <w:noProof/>
              </w:rPr>
              <w:t>Administrative burdens on business</w:t>
            </w:r>
          </w:p>
          <w:p w14:paraId="1D97ED50" w14:textId="77777777" w:rsidR="00BC3921" w:rsidRPr="00414C36" w:rsidRDefault="00BC3921" w:rsidP="00C4288E">
            <w:pPr>
              <w:pStyle w:val="Bullet1"/>
              <w:numPr>
                <w:ilvl w:val="0"/>
                <w:numId w:val="13"/>
              </w:numPr>
              <w:spacing w:before="0" w:line="276" w:lineRule="auto"/>
              <w:ind w:left="427" w:hanging="284"/>
              <w:rPr>
                <w:noProof/>
                <w:sz w:val="18"/>
                <w:szCs w:val="18"/>
              </w:rPr>
            </w:pPr>
            <w:r>
              <w:rPr>
                <w:noProof/>
              </w:rPr>
              <w:t>Sectoral competitiveness, trade, and investment flows</w:t>
            </w:r>
          </w:p>
          <w:p w14:paraId="6877EA0E" w14:textId="77777777" w:rsidR="00BC3921" w:rsidRPr="00414C36" w:rsidRDefault="00BC3921" w:rsidP="00C4288E">
            <w:pPr>
              <w:pStyle w:val="Bullet1"/>
              <w:numPr>
                <w:ilvl w:val="0"/>
                <w:numId w:val="13"/>
              </w:numPr>
              <w:spacing w:before="0" w:line="276" w:lineRule="auto"/>
              <w:ind w:left="427" w:hanging="284"/>
              <w:rPr>
                <w:noProof/>
                <w:sz w:val="18"/>
                <w:szCs w:val="18"/>
              </w:rPr>
            </w:pPr>
            <w:r>
              <w:rPr>
                <w:noProof/>
              </w:rPr>
              <w:t>Functioning of the internal market and competition</w:t>
            </w:r>
          </w:p>
          <w:p w14:paraId="5B5B0CAD" w14:textId="77777777" w:rsidR="00BC3921" w:rsidRPr="009779C4" w:rsidRDefault="00BC3921" w:rsidP="00C4288E">
            <w:pPr>
              <w:pStyle w:val="Bullet1"/>
              <w:numPr>
                <w:ilvl w:val="0"/>
                <w:numId w:val="13"/>
              </w:numPr>
              <w:spacing w:before="0" w:line="276" w:lineRule="auto"/>
              <w:ind w:left="427" w:hanging="284"/>
              <w:rPr>
                <w:noProof/>
                <w:sz w:val="18"/>
                <w:szCs w:val="18"/>
              </w:rPr>
            </w:pPr>
            <w:r>
              <w:rPr>
                <w:noProof/>
              </w:rPr>
              <w:t>Public authorities (and budgets)</w:t>
            </w:r>
          </w:p>
          <w:p w14:paraId="4F0230C6" w14:textId="77777777" w:rsidR="00BC3921" w:rsidRPr="00C313A1" w:rsidRDefault="00BC3921" w:rsidP="00C4288E">
            <w:pPr>
              <w:pStyle w:val="Bullet1"/>
              <w:numPr>
                <w:ilvl w:val="0"/>
                <w:numId w:val="13"/>
              </w:numPr>
              <w:spacing w:before="0" w:line="276" w:lineRule="auto"/>
              <w:ind w:left="427" w:hanging="284"/>
              <w:rPr>
                <w:noProof/>
                <w:sz w:val="18"/>
                <w:szCs w:val="18"/>
              </w:rPr>
            </w:pPr>
            <w:r w:rsidRPr="009779C4">
              <w:rPr>
                <w:noProof/>
                <w:szCs w:val="20"/>
              </w:rPr>
              <w:t>Education and training systems</w:t>
            </w:r>
          </w:p>
        </w:tc>
        <w:tc>
          <w:tcPr>
            <w:tcW w:w="3827" w:type="dxa"/>
            <w:shd w:val="clear" w:color="auto" w:fill="F2F2F2" w:themeFill="background1" w:themeFillShade="F2"/>
          </w:tcPr>
          <w:p w14:paraId="2215F34C" w14:textId="77777777" w:rsidR="00BC3921" w:rsidRPr="00414C36" w:rsidRDefault="00BC3921">
            <w:pPr>
              <w:pStyle w:val="Bullet1"/>
              <w:spacing w:before="0" w:line="276" w:lineRule="auto"/>
              <w:rPr>
                <w:noProof/>
                <w:sz w:val="18"/>
                <w:szCs w:val="18"/>
              </w:rPr>
            </w:pPr>
            <w:r>
              <w:rPr>
                <w:noProof/>
              </w:rPr>
              <w:t>Conduct of business</w:t>
            </w:r>
          </w:p>
          <w:p w14:paraId="3F237C82" w14:textId="77777777" w:rsidR="00BC3921" w:rsidRPr="00414C36" w:rsidRDefault="00BC3921">
            <w:pPr>
              <w:pStyle w:val="Bullet1"/>
              <w:spacing w:before="0" w:line="276" w:lineRule="auto"/>
              <w:rPr>
                <w:noProof/>
                <w:sz w:val="18"/>
                <w:szCs w:val="18"/>
              </w:rPr>
            </w:pPr>
            <w:r>
              <w:rPr>
                <w:noProof/>
              </w:rPr>
              <w:t>Position of SMEs</w:t>
            </w:r>
          </w:p>
          <w:p w14:paraId="4F6C4F28" w14:textId="77777777" w:rsidR="00BC3921" w:rsidRPr="00414C36" w:rsidRDefault="00BC3921">
            <w:pPr>
              <w:pStyle w:val="Bullet1"/>
              <w:spacing w:before="0" w:line="276" w:lineRule="auto"/>
              <w:rPr>
                <w:noProof/>
                <w:sz w:val="18"/>
                <w:szCs w:val="18"/>
              </w:rPr>
            </w:pPr>
            <w:r>
              <w:rPr>
                <w:noProof/>
              </w:rPr>
              <w:t>Administrative burdens on business</w:t>
            </w:r>
          </w:p>
          <w:p w14:paraId="092599C3" w14:textId="77777777" w:rsidR="00BC3921" w:rsidRPr="00414C36" w:rsidRDefault="00BC3921">
            <w:pPr>
              <w:pStyle w:val="Bullet1"/>
              <w:spacing w:before="0" w:line="276" w:lineRule="auto"/>
              <w:rPr>
                <w:noProof/>
                <w:sz w:val="18"/>
                <w:szCs w:val="18"/>
              </w:rPr>
            </w:pPr>
            <w:r>
              <w:rPr>
                <w:noProof/>
              </w:rPr>
              <w:t>Sectoral competitiveness, trade, and investment flows</w:t>
            </w:r>
          </w:p>
          <w:p w14:paraId="0288745B" w14:textId="77777777" w:rsidR="00BC3921" w:rsidRPr="00414C36" w:rsidRDefault="00BC3921">
            <w:pPr>
              <w:pStyle w:val="Bullet1"/>
              <w:spacing w:before="0" w:line="276" w:lineRule="auto"/>
              <w:rPr>
                <w:noProof/>
                <w:sz w:val="18"/>
                <w:szCs w:val="18"/>
              </w:rPr>
            </w:pPr>
            <w:r>
              <w:rPr>
                <w:noProof/>
              </w:rPr>
              <w:t>Functioning of the internal market and competition</w:t>
            </w:r>
          </w:p>
          <w:p w14:paraId="47E48879" w14:textId="77777777" w:rsidR="00BC3921" w:rsidRPr="00C313A1" w:rsidRDefault="00BC3921">
            <w:pPr>
              <w:pStyle w:val="Bullet1"/>
              <w:spacing w:before="0" w:line="276" w:lineRule="auto"/>
              <w:rPr>
                <w:noProof/>
                <w:sz w:val="18"/>
                <w:szCs w:val="18"/>
              </w:rPr>
            </w:pPr>
            <w:r>
              <w:rPr>
                <w:noProof/>
              </w:rPr>
              <w:t>Public authorities (and budgets)</w:t>
            </w:r>
          </w:p>
        </w:tc>
      </w:tr>
      <w:tr w:rsidR="00BC3921" w:rsidRPr="00C313A1" w14:paraId="43A54E94" w14:textId="77777777" w:rsidTr="25CA0D31">
        <w:trPr>
          <w:trHeight w:val="1903"/>
        </w:trPr>
        <w:tc>
          <w:tcPr>
            <w:tcW w:w="1701" w:type="dxa"/>
            <w:shd w:val="clear" w:color="auto" w:fill="F2F2F2" w:themeFill="background1" w:themeFillShade="F2"/>
          </w:tcPr>
          <w:p w14:paraId="2F0FEE1C" w14:textId="77777777" w:rsidR="00BC3921" w:rsidRPr="00C313A1" w:rsidRDefault="00BC3921">
            <w:pPr>
              <w:pStyle w:val="TableText"/>
              <w:spacing w:before="0" w:line="276" w:lineRule="auto"/>
              <w:rPr>
                <w:noProof/>
                <w:sz w:val="18"/>
                <w:szCs w:val="18"/>
              </w:rPr>
            </w:pPr>
            <w:r w:rsidRPr="00C313A1">
              <w:rPr>
                <w:noProof/>
                <w:sz w:val="18"/>
                <w:szCs w:val="18"/>
              </w:rPr>
              <w:t>Social Impacts</w:t>
            </w:r>
          </w:p>
        </w:tc>
        <w:tc>
          <w:tcPr>
            <w:tcW w:w="3544" w:type="dxa"/>
            <w:shd w:val="clear" w:color="auto" w:fill="F2F2F2" w:themeFill="background1" w:themeFillShade="F2"/>
          </w:tcPr>
          <w:p w14:paraId="112E664A" w14:textId="77777777" w:rsidR="00BC3921" w:rsidRPr="00414C36" w:rsidRDefault="00BC3921">
            <w:pPr>
              <w:pStyle w:val="Bullet1"/>
              <w:tabs>
                <w:tab w:val="clear" w:pos="680"/>
                <w:tab w:val="num" w:pos="427"/>
              </w:tabs>
              <w:spacing w:before="0" w:line="276" w:lineRule="auto"/>
              <w:ind w:left="427" w:hanging="284"/>
              <w:rPr>
                <w:noProof/>
                <w:sz w:val="18"/>
                <w:szCs w:val="18"/>
              </w:rPr>
            </w:pPr>
            <w:r>
              <w:rPr>
                <w:noProof/>
              </w:rPr>
              <w:t>Working conditions, job standards and quality</w:t>
            </w:r>
          </w:p>
          <w:p w14:paraId="3C16EE9D" w14:textId="77777777" w:rsidR="00BC3921" w:rsidRPr="00414C36" w:rsidRDefault="00BC3921">
            <w:pPr>
              <w:pStyle w:val="Bullet1"/>
              <w:tabs>
                <w:tab w:val="clear" w:pos="680"/>
                <w:tab w:val="num" w:pos="427"/>
              </w:tabs>
              <w:spacing w:before="0" w:line="276" w:lineRule="auto"/>
              <w:ind w:left="427" w:hanging="284"/>
              <w:rPr>
                <w:noProof/>
                <w:sz w:val="18"/>
                <w:szCs w:val="18"/>
              </w:rPr>
            </w:pPr>
            <w:r>
              <w:rPr>
                <w:noProof/>
              </w:rPr>
              <w:t>Public health &amp; safety and health systems</w:t>
            </w:r>
          </w:p>
          <w:p w14:paraId="56CCCCAF" w14:textId="77777777" w:rsidR="00BC3921" w:rsidRPr="00414C36" w:rsidRDefault="00BC3921">
            <w:pPr>
              <w:pStyle w:val="Bullet1"/>
              <w:tabs>
                <w:tab w:val="clear" w:pos="680"/>
                <w:tab w:val="num" w:pos="427"/>
              </w:tabs>
              <w:spacing w:before="0" w:line="276" w:lineRule="auto"/>
              <w:ind w:left="427" w:hanging="284"/>
              <w:rPr>
                <w:noProof/>
                <w:sz w:val="18"/>
                <w:szCs w:val="18"/>
              </w:rPr>
            </w:pPr>
            <w:r>
              <w:rPr>
                <w:noProof/>
              </w:rPr>
              <w:t>Culture</w:t>
            </w:r>
          </w:p>
          <w:p w14:paraId="09D532A4" w14:textId="77777777" w:rsidR="00BC3921" w:rsidRPr="00C313A1" w:rsidRDefault="00BC3921">
            <w:pPr>
              <w:pStyle w:val="Bullet1"/>
              <w:tabs>
                <w:tab w:val="clear" w:pos="680"/>
                <w:tab w:val="num" w:pos="427"/>
              </w:tabs>
              <w:spacing w:before="0" w:line="276" w:lineRule="auto"/>
              <w:ind w:left="427" w:hanging="284"/>
              <w:rPr>
                <w:noProof/>
                <w:sz w:val="18"/>
                <w:szCs w:val="18"/>
              </w:rPr>
            </w:pPr>
            <w:r>
              <w:rPr>
                <w:noProof/>
              </w:rPr>
              <w:t>Governance, participation, and good administration</w:t>
            </w:r>
            <w:r w:rsidRPr="00C313A1">
              <w:rPr>
                <w:noProof/>
                <w:sz w:val="18"/>
                <w:szCs w:val="18"/>
              </w:rPr>
              <w:t xml:space="preserve"> </w:t>
            </w:r>
          </w:p>
          <w:p w14:paraId="5304619E" w14:textId="77777777" w:rsidR="00BC3921" w:rsidRPr="00C313A1" w:rsidRDefault="00BC3921">
            <w:pPr>
              <w:pStyle w:val="Bullet1"/>
              <w:numPr>
                <w:ilvl w:val="0"/>
                <w:numId w:val="0"/>
              </w:numPr>
              <w:spacing w:before="0" w:line="276" w:lineRule="auto"/>
              <w:ind w:left="680"/>
              <w:rPr>
                <w:noProof/>
                <w:sz w:val="18"/>
                <w:szCs w:val="18"/>
              </w:rPr>
            </w:pPr>
          </w:p>
        </w:tc>
        <w:tc>
          <w:tcPr>
            <w:tcW w:w="3827" w:type="dxa"/>
            <w:shd w:val="clear" w:color="auto" w:fill="F2F2F2" w:themeFill="background1" w:themeFillShade="F2"/>
          </w:tcPr>
          <w:p w14:paraId="6A21D266" w14:textId="77777777" w:rsidR="00BC3921" w:rsidRDefault="00BC3921">
            <w:pPr>
              <w:pStyle w:val="Bullet1"/>
              <w:numPr>
                <w:ilvl w:val="0"/>
                <w:numId w:val="0"/>
              </w:numPr>
              <w:spacing w:before="0" w:line="276" w:lineRule="auto"/>
              <w:ind w:left="680"/>
              <w:rPr>
                <w:noProof/>
                <w:sz w:val="18"/>
                <w:szCs w:val="18"/>
              </w:rPr>
            </w:pPr>
          </w:p>
          <w:p w14:paraId="2E917164" w14:textId="77777777" w:rsidR="00BC3921" w:rsidRDefault="00BC3921">
            <w:pPr>
              <w:pStyle w:val="Bullet1"/>
              <w:numPr>
                <w:ilvl w:val="0"/>
                <w:numId w:val="0"/>
              </w:numPr>
              <w:spacing w:before="0" w:line="276" w:lineRule="auto"/>
              <w:ind w:left="680"/>
              <w:rPr>
                <w:noProof/>
                <w:sz w:val="18"/>
                <w:szCs w:val="18"/>
              </w:rPr>
            </w:pPr>
          </w:p>
          <w:p w14:paraId="1CB7D71B" w14:textId="77777777" w:rsidR="00BC3921" w:rsidRDefault="00BC3921">
            <w:pPr>
              <w:pStyle w:val="Bullet1"/>
              <w:numPr>
                <w:ilvl w:val="0"/>
                <w:numId w:val="0"/>
              </w:numPr>
              <w:spacing w:before="0" w:line="276" w:lineRule="auto"/>
              <w:ind w:left="680"/>
              <w:rPr>
                <w:noProof/>
                <w:sz w:val="18"/>
                <w:szCs w:val="18"/>
              </w:rPr>
            </w:pPr>
          </w:p>
          <w:p w14:paraId="53C3EF1D" w14:textId="77777777" w:rsidR="00BC3921" w:rsidRDefault="00BC3921">
            <w:pPr>
              <w:pStyle w:val="Bullet1"/>
              <w:numPr>
                <w:ilvl w:val="0"/>
                <w:numId w:val="0"/>
              </w:numPr>
              <w:spacing w:before="0" w:line="276" w:lineRule="auto"/>
              <w:ind w:left="680"/>
              <w:rPr>
                <w:noProof/>
                <w:sz w:val="18"/>
                <w:szCs w:val="18"/>
              </w:rPr>
            </w:pPr>
          </w:p>
          <w:p w14:paraId="1EB9103E" w14:textId="77777777" w:rsidR="00BC3921" w:rsidRDefault="00BC3921">
            <w:pPr>
              <w:pStyle w:val="Bullet1"/>
              <w:numPr>
                <w:ilvl w:val="0"/>
                <w:numId w:val="0"/>
              </w:numPr>
              <w:spacing w:before="0" w:line="276" w:lineRule="auto"/>
              <w:ind w:left="680"/>
              <w:rPr>
                <w:noProof/>
                <w:sz w:val="18"/>
                <w:szCs w:val="18"/>
              </w:rPr>
            </w:pPr>
          </w:p>
          <w:p w14:paraId="3CB0D2CC" w14:textId="77777777" w:rsidR="00BC3921" w:rsidRPr="00C261ED" w:rsidRDefault="00BC3921">
            <w:pPr>
              <w:pStyle w:val="Bullet1"/>
              <w:numPr>
                <w:ilvl w:val="0"/>
                <w:numId w:val="0"/>
              </w:numPr>
              <w:spacing w:before="0" w:line="276" w:lineRule="auto"/>
              <w:ind w:left="680"/>
              <w:rPr>
                <w:noProof/>
                <w:sz w:val="18"/>
                <w:szCs w:val="18"/>
              </w:rPr>
            </w:pPr>
          </w:p>
          <w:p w14:paraId="66939F65" w14:textId="77777777" w:rsidR="00BC3921" w:rsidRPr="00C313A1" w:rsidRDefault="00BC3921">
            <w:pPr>
              <w:pStyle w:val="Bullet1"/>
              <w:spacing w:before="0" w:line="276" w:lineRule="auto"/>
              <w:rPr>
                <w:noProof/>
                <w:sz w:val="18"/>
                <w:szCs w:val="18"/>
              </w:rPr>
            </w:pPr>
            <w:r>
              <w:rPr>
                <w:noProof/>
              </w:rPr>
              <w:t>Governance, participation, and good administration</w:t>
            </w:r>
            <w:r w:rsidRPr="00C313A1">
              <w:rPr>
                <w:noProof/>
                <w:sz w:val="18"/>
                <w:szCs w:val="18"/>
              </w:rPr>
              <w:t xml:space="preserve"> </w:t>
            </w:r>
          </w:p>
          <w:p w14:paraId="4856C3E0" w14:textId="77777777" w:rsidR="00BC3921" w:rsidRPr="00C313A1" w:rsidRDefault="00BC3921">
            <w:pPr>
              <w:pStyle w:val="Bullet1"/>
              <w:numPr>
                <w:ilvl w:val="0"/>
                <w:numId w:val="0"/>
              </w:numPr>
              <w:spacing w:before="0" w:line="276" w:lineRule="auto"/>
              <w:rPr>
                <w:noProof/>
                <w:sz w:val="18"/>
                <w:szCs w:val="18"/>
              </w:rPr>
            </w:pPr>
          </w:p>
        </w:tc>
      </w:tr>
      <w:tr w:rsidR="00BC3921" w:rsidRPr="00C313A1" w14:paraId="62309472" w14:textId="77777777" w:rsidTr="25CA0D31">
        <w:trPr>
          <w:trHeight w:val="2303"/>
        </w:trPr>
        <w:tc>
          <w:tcPr>
            <w:tcW w:w="1701" w:type="dxa"/>
            <w:shd w:val="clear" w:color="auto" w:fill="F2F2F2" w:themeFill="background1" w:themeFillShade="F2"/>
          </w:tcPr>
          <w:p w14:paraId="37C45450" w14:textId="77777777" w:rsidR="00BC3921" w:rsidRPr="00C313A1" w:rsidRDefault="00BC3921">
            <w:pPr>
              <w:pStyle w:val="TableText"/>
              <w:spacing w:before="0" w:line="276" w:lineRule="auto"/>
              <w:rPr>
                <w:noProof/>
                <w:sz w:val="18"/>
                <w:szCs w:val="18"/>
              </w:rPr>
            </w:pPr>
            <w:r w:rsidRPr="00C313A1">
              <w:rPr>
                <w:noProof/>
                <w:sz w:val="18"/>
                <w:szCs w:val="18"/>
              </w:rPr>
              <w:t>Environmental impacts</w:t>
            </w:r>
          </w:p>
        </w:tc>
        <w:tc>
          <w:tcPr>
            <w:tcW w:w="3544" w:type="dxa"/>
            <w:shd w:val="clear" w:color="auto" w:fill="F2F2F2" w:themeFill="background1" w:themeFillShade="F2"/>
          </w:tcPr>
          <w:p w14:paraId="01E36505" w14:textId="77777777" w:rsidR="00BC3921" w:rsidRPr="00953DE0" w:rsidRDefault="00BC3921">
            <w:pPr>
              <w:pStyle w:val="Bullet1"/>
              <w:tabs>
                <w:tab w:val="clear" w:pos="680"/>
                <w:tab w:val="num" w:pos="427"/>
              </w:tabs>
              <w:spacing w:before="0" w:line="276" w:lineRule="auto"/>
              <w:ind w:hanging="537"/>
              <w:rPr>
                <w:noProof/>
                <w:sz w:val="18"/>
                <w:szCs w:val="18"/>
              </w:rPr>
            </w:pPr>
            <w:r>
              <w:rPr>
                <w:noProof/>
              </w:rPr>
              <w:t>Climate</w:t>
            </w:r>
          </w:p>
          <w:p w14:paraId="0BA73022" w14:textId="77777777" w:rsidR="00BC3921" w:rsidRPr="00414C36" w:rsidRDefault="00BC3921">
            <w:pPr>
              <w:pStyle w:val="Bullet1"/>
              <w:tabs>
                <w:tab w:val="clear" w:pos="680"/>
                <w:tab w:val="num" w:pos="427"/>
              </w:tabs>
              <w:spacing w:before="0" w:line="276" w:lineRule="auto"/>
              <w:ind w:left="427" w:hanging="284"/>
              <w:rPr>
                <w:noProof/>
                <w:sz w:val="18"/>
                <w:szCs w:val="18"/>
              </w:rPr>
            </w:pPr>
            <w:r>
              <w:rPr>
                <w:noProof/>
              </w:rPr>
              <w:t>Quality of natural resources (water, soil, air etc.)</w:t>
            </w:r>
          </w:p>
          <w:p w14:paraId="27EE4E7D" w14:textId="77777777" w:rsidR="00BC3921" w:rsidRPr="00414C36" w:rsidRDefault="00BC3921">
            <w:pPr>
              <w:pStyle w:val="Bullet1"/>
              <w:tabs>
                <w:tab w:val="clear" w:pos="680"/>
                <w:tab w:val="num" w:pos="427"/>
              </w:tabs>
              <w:spacing w:before="0" w:line="276" w:lineRule="auto"/>
              <w:ind w:left="427" w:hanging="284"/>
              <w:rPr>
                <w:noProof/>
                <w:sz w:val="18"/>
                <w:szCs w:val="18"/>
              </w:rPr>
            </w:pPr>
            <w:r>
              <w:rPr>
                <w:noProof/>
              </w:rPr>
              <w:t>Biodiversity, including flora, fauna, ecosystems, and landscapes</w:t>
            </w:r>
          </w:p>
          <w:p w14:paraId="7C45DC7A" w14:textId="77777777" w:rsidR="00BC3921" w:rsidRPr="00C313A1" w:rsidRDefault="00BC3921">
            <w:pPr>
              <w:pStyle w:val="Bullet1"/>
              <w:tabs>
                <w:tab w:val="clear" w:pos="680"/>
                <w:tab w:val="num" w:pos="427"/>
              </w:tabs>
              <w:spacing w:before="0" w:line="276" w:lineRule="auto"/>
              <w:ind w:left="427" w:hanging="284"/>
              <w:rPr>
                <w:noProof/>
                <w:sz w:val="18"/>
                <w:szCs w:val="18"/>
              </w:rPr>
            </w:pPr>
            <w:r>
              <w:rPr>
                <w:noProof/>
              </w:rPr>
              <w:t>Animal welfare</w:t>
            </w:r>
          </w:p>
        </w:tc>
        <w:tc>
          <w:tcPr>
            <w:tcW w:w="3827" w:type="dxa"/>
            <w:shd w:val="clear" w:color="auto" w:fill="F2F2F2" w:themeFill="background1" w:themeFillShade="F2"/>
          </w:tcPr>
          <w:p w14:paraId="1F28256D" w14:textId="77777777" w:rsidR="00BC3921" w:rsidRPr="00C313A1" w:rsidRDefault="00BC3921">
            <w:pPr>
              <w:pStyle w:val="Bullet1"/>
              <w:spacing w:before="0" w:line="276" w:lineRule="auto"/>
              <w:rPr>
                <w:noProof/>
                <w:sz w:val="18"/>
                <w:szCs w:val="18"/>
              </w:rPr>
            </w:pPr>
            <w:r w:rsidRPr="00C35CD5">
              <w:rPr>
                <w:noProof/>
              </w:rPr>
              <w:t>Environmental</w:t>
            </w:r>
            <w:r w:rsidRPr="004A7F9D">
              <w:rPr>
                <w:noProof/>
              </w:rPr>
              <w:t xml:space="preserve"> impacts</w:t>
            </w:r>
          </w:p>
        </w:tc>
      </w:tr>
      <w:tr w:rsidR="00BC3921" w:rsidRPr="00C313A1" w14:paraId="7EDB95A9" w14:textId="77777777" w:rsidTr="25CA0D31">
        <w:tc>
          <w:tcPr>
            <w:tcW w:w="1701" w:type="dxa"/>
            <w:shd w:val="clear" w:color="auto" w:fill="F2F2F2" w:themeFill="background1" w:themeFillShade="F2"/>
          </w:tcPr>
          <w:p w14:paraId="7CBBCF0C" w14:textId="77777777" w:rsidR="00BC3921" w:rsidRPr="00C313A1" w:rsidRDefault="00BC3921">
            <w:pPr>
              <w:pStyle w:val="TableText"/>
              <w:spacing w:before="0" w:line="276" w:lineRule="auto"/>
              <w:rPr>
                <w:noProof/>
                <w:sz w:val="18"/>
                <w:szCs w:val="18"/>
              </w:rPr>
            </w:pPr>
            <w:r>
              <w:rPr>
                <w:noProof/>
                <w:sz w:val="18"/>
                <w:szCs w:val="18"/>
              </w:rPr>
              <w:t>Economic and Social impacts</w:t>
            </w:r>
          </w:p>
        </w:tc>
        <w:tc>
          <w:tcPr>
            <w:tcW w:w="3544" w:type="dxa"/>
            <w:shd w:val="clear" w:color="auto" w:fill="F2F2F2" w:themeFill="background1" w:themeFillShade="F2"/>
          </w:tcPr>
          <w:p w14:paraId="4C03064E" w14:textId="77777777" w:rsidR="00BC3921" w:rsidRPr="00414C36" w:rsidRDefault="00BC3921">
            <w:pPr>
              <w:pStyle w:val="Bullet1"/>
              <w:spacing w:before="0" w:line="276" w:lineRule="auto"/>
              <w:rPr>
                <w:noProof/>
                <w:sz w:val="18"/>
                <w:szCs w:val="18"/>
              </w:rPr>
            </w:pPr>
            <w:r>
              <w:rPr>
                <w:noProof/>
              </w:rPr>
              <w:t>Education and training, education, and training systems</w:t>
            </w:r>
          </w:p>
          <w:p w14:paraId="2B15BD6C" w14:textId="77777777" w:rsidR="00BC3921" w:rsidRPr="00414C36" w:rsidRDefault="00BC3921">
            <w:pPr>
              <w:pStyle w:val="Bullet1"/>
              <w:spacing w:before="0" w:line="276" w:lineRule="auto"/>
              <w:rPr>
                <w:noProof/>
                <w:sz w:val="18"/>
                <w:szCs w:val="18"/>
              </w:rPr>
            </w:pPr>
            <w:r>
              <w:rPr>
                <w:noProof/>
              </w:rPr>
              <w:lastRenderedPageBreak/>
              <w:t>Employment</w:t>
            </w:r>
          </w:p>
          <w:p w14:paraId="7C109EF7" w14:textId="77777777" w:rsidR="00BC3921" w:rsidRPr="00414C36" w:rsidRDefault="00BC3921">
            <w:pPr>
              <w:pStyle w:val="Bullet1"/>
              <w:spacing w:before="0" w:line="276" w:lineRule="auto"/>
              <w:rPr>
                <w:noProof/>
                <w:sz w:val="18"/>
                <w:szCs w:val="18"/>
              </w:rPr>
            </w:pPr>
            <w:r>
              <w:rPr>
                <w:noProof/>
              </w:rPr>
              <w:t>Income distribution, social protection, and social inclusion (of particular groups)</w:t>
            </w:r>
          </w:p>
          <w:p w14:paraId="24AF558E" w14:textId="77777777" w:rsidR="00BC3921" w:rsidRPr="00414C36" w:rsidRDefault="00BC3921">
            <w:pPr>
              <w:pStyle w:val="Bullet1"/>
              <w:spacing w:before="0" w:line="276" w:lineRule="auto"/>
              <w:rPr>
                <w:noProof/>
                <w:sz w:val="18"/>
                <w:szCs w:val="18"/>
              </w:rPr>
            </w:pPr>
            <w:r>
              <w:rPr>
                <w:noProof/>
              </w:rPr>
              <w:t>Technological development / digital economy</w:t>
            </w:r>
          </w:p>
          <w:p w14:paraId="7571EABF" w14:textId="77777777" w:rsidR="00BC3921" w:rsidRPr="00414C36" w:rsidRDefault="00BC3921">
            <w:pPr>
              <w:pStyle w:val="Bullet1"/>
              <w:spacing w:before="0" w:line="276" w:lineRule="auto"/>
              <w:rPr>
                <w:noProof/>
                <w:sz w:val="18"/>
                <w:szCs w:val="18"/>
              </w:rPr>
            </w:pPr>
            <w:r>
              <w:rPr>
                <w:noProof/>
              </w:rPr>
              <w:t>Consumers and households</w:t>
            </w:r>
          </w:p>
          <w:p w14:paraId="2E478A23" w14:textId="77777777" w:rsidR="00BC3921" w:rsidRPr="00414C36" w:rsidRDefault="00BC3921">
            <w:pPr>
              <w:pStyle w:val="Bullet1"/>
              <w:spacing w:before="0" w:line="276" w:lineRule="auto"/>
              <w:rPr>
                <w:noProof/>
                <w:sz w:val="18"/>
                <w:szCs w:val="18"/>
              </w:rPr>
            </w:pPr>
            <w:r>
              <w:rPr>
                <w:noProof/>
              </w:rPr>
              <w:t>Capital movements; financial markets; stability of the euro</w:t>
            </w:r>
          </w:p>
          <w:p w14:paraId="098B3829" w14:textId="77777777" w:rsidR="00BC3921" w:rsidRPr="00C313A1" w:rsidRDefault="00BC3921">
            <w:pPr>
              <w:pStyle w:val="Bullet1"/>
              <w:spacing w:before="0" w:line="276" w:lineRule="auto"/>
              <w:rPr>
                <w:noProof/>
                <w:sz w:val="18"/>
                <w:szCs w:val="18"/>
              </w:rPr>
            </w:pPr>
            <w:r>
              <w:rPr>
                <w:noProof/>
              </w:rPr>
              <w:t>Property rights; intellectual property rights</w:t>
            </w:r>
          </w:p>
          <w:p w14:paraId="3CF62F66" w14:textId="77777777" w:rsidR="00BC3921" w:rsidRDefault="00BC3921">
            <w:pPr>
              <w:pStyle w:val="Bullet1"/>
              <w:numPr>
                <w:ilvl w:val="0"/>
                <w:numId w:val="0"/>
              </w:numPr>
              <w:spacing w:before="0" w:line="276" w:lineRule="auto"/>
              <w:ind w:left="680"/>
              <w:rPr>
                <w:noProof/>
              </w:rPr>
            </w:pPr>
          </w:p>
        </w:tc>
        <w:tc>
          <w:tcPr>
            <w:tcW w:w="3827" w:type="dxa"/>
            <w:shd w:val="clear" w:color="auto" w:fill="F2F2F2" w:themeFill="background1" w:themeFillShade="F2"/>
          </w:tcPr>
          <w:p w14:paraId="4B851FDD" w14:textId="77777777" w:rsidR="00BC3921" w:rsidRDefault="00BC3921">
            <w:pPr>
              <w:pStyle w:val="TableText"/>
              <w:spacing w:before="0" w:line="276" w:lineRule="auto"/>
              <w:rPr>
                <w:noProof/>
                <w:sz w:val="18"/>
                <w:szCs w:val="18"/>
              </w:rPr>
            </w:pPr>
          </w:p>
          <w:p w14:paraId="4D2449E2" w14:textId="77777777" w:rsidR="00BC3921" w:rsidRDefault="00BC3921">
            <w:pPr>
              <w:pStyle w:val="TableText"/>
              <w:spacing w:before="0" w:line="276" w:lineRule="auto"/>
              <w:rPr>
                <w:noProof/>
                <w:sz w:val="18"/>
                <w:szCs w:val="18"/>
              </w:rPr>
            </w:pPr>
          </w:p>
          <w:p w14:paraId="043352D3" w14:textId="77777777" w:rsidR="00BC3921" w:rsidRDefault="00BC3921">
            <w:pPr>
              <w:pStyle w:val="TableText"/>
              <w:spacing w:before="0" w:line="276" w:lineRule="auto"/>
              <w:ind w:left="0"/>
              <w:rPr>
                <w:noProof/>
                <w:sz w:val="18"/>
                <w:szCs w:val="18"/>
              </w:rPr>
            </w:pPr>
          </w:p>
          <w:p w14:paraId="3FFD1576" w14:textId="77777777" w:rsidR="00BC3921" w:rsidRPr="00414C36" w:rsidRDefault="00BC3921">
            <w:pPr>
              <w:pStyle w:val="Bullet1"/>
              <w:spacing w:before="0" w:line="276" w:lineRule="auto"/>
              <w:rPr>
                <w:noProof/>
                <w:sz w:val="18"/>
                <w:szCs w:val="18"/>
              </w:rPr>
            </w:pPr>
            <w:r>
              <w:rPr>
                <w:noProof/>
              </w:rPr>
              <w:lastRenderedPageBreak/>
              <w:t>Employment</w:t>
            </w:r>
          </w:p>
          <w:p w14:paraId="6B2D1B2B" w14:textId="77777777" w:rsidR="00BC3921" w:rsidRDefault="00BC3921">
            <w:pPr>
              <w:pStyle w:val="TableText"/>
              <w:spacing w:before="0" w:line="276" w:lineRule="auto"/>
              <w:rPr>
                <w:noProof/>
                <w:sz w:val="18"/>
                <w:szCs w:val="18"/>
              </w:rPr>
            </w:pPr>
          </w:p>
          <w:p w14:paraId="3C782F84" w14:textId="77777777" w:rsidR="00BC3921" w:rsidRDefault="00BC3921">
            <w:pPr>
              <w:pStyle w:val="TableText"/>
              <w:spacing w:before="0" w:line="276" w:lineRule="auto"/>
              <w:rPr>
                <w:noProof/>
                <w:sz w:val="18"/>
                <w:szCs w:val="18"/>
              </w:rPr>
            </w:pPr>
          </w:p>
          <w:p w14:paraId="69C3AE32" w14:textId="77777777" w:rsidR="00BC3921" w:rsidRDefault="00BC3921">
            <w:pPr>
              <w:pStyle w:val="TableText"/>
              <w:spacing w:before="0" w:line="276" w:lineRule="auto"/>
              <w:rPr>
                <w:noProof/>
                <w:sz w:val="18"/>
                <w:szCs w:val="18"/>
              </w:rPr>
            </w:pPr>
          </w:p>
          <w:p w14:paraId="12FEACCD" w14:textId="77777777" w:rsidR="00BC3921" w:rsidRDefault="00BC3921">
            <w:pPr>
              <w:pStyle w:val="TableText"/>
              <w:spacing w:before="0" w:line="276" w:lineRule="auto"/>
              <w:rPr>
                <w:noProof/>
                <w:sz w:val="18"/>
                <w:szCs w:val="18"/>
              </w:rPr>
            </w:pPr>
          </w:p>
          <w:p w14:paraId="4F37F8E2" w14:textId="77777777" w:rsidR="00BC3921" w:rsidRPr="00414C36" w:rsidRDefault="00BC3921">
            <w:pPr>
              <w:pStyle w:val="Bullet1"/>
              <w:spacing w:before="0" w:line="276" w:lineRule="auto"/>
              <w:rPr>
                <w:noProof/>
                <w:sz w:val="18"/>
                <w:szCs w:val="18"/>
              </w:rPr>
            </w:pPr>
            <w:r>
              <w:rPr>
                <w:noProof/>
              </w:rPr>
              <w:t>Technological development / digital economy</w:t>
            </w:r>
          </w:p>
          <w:p w14:paraId="3153C9B9" w14:textId="77777777" w:rsidR="00BC3921" w:rsidRDefault="00BC3921">
            <w:pPr>
              <w:pStyle w:val="TableText"/>
              <w:spacing w:before="0" w:line="276" w:lineRule="auto"/>
              <w:rPr>
                <w:noProof/>
                <w:sz w:val="18"/>
                <w:szCs w:val="18"/>
              </w:rPr>
            </w:pPr>
          </w:p>
          <w:p w14:paraId="766E8CF4" w14:textId="1BC0522E" w:rsidR="00BC3921" w:rsidRPr="004960BD" w:rsidRDefault="00BC3921">
            <w:pPr>
              <w:pStyle w:val="Bullet1"/>
              <w:spacing w:before="0" w:line="276" w:lineRule="auto"/>
              <w:rPr>
                <w:noProof/>
                <w:sz w:val="18"/>
                <w:szCs w:val="18"/>
              </w:rPr>
            </w:pPr>
            <w:r>
              <w:rPr>
                <w:noProof/>
              </w:rPr>
              <w:t xml:space="preserve">Capital movements; </w:t>
            </w:r>
          </w:p>
          <w:p w14:paraId="0A22692D" w14:textId="77777777" w:rsidR="00BC3921" w:rsidRPr="00414C36" w:rsidRDefault="00BC3921">
            <w:pPr>
              <w:pStyle w:val="Bullet1"/>
              <w:numPr>
                <w:ilvl w:val="0"/>
                <w:numId w:val="0"/>
              </w:numPr>
              <w:spacing w:before="0" w:line="276" w:lineRule="auto"/>
              <w:ind w:left="680"/>
              <w:rPr>
                <w:noProof/>
                <w:sz w:val="18"/>
                <w:szCs w:val="18"/>
              </w:rPr>
            </w:pPr>
            <w:r>
              <w:rPr>
                <w:noProof/>
              </w:rPr>
              <w:t>financial markets; stability of the euro</w:t>
            </w:r>
          </w:p>
          <w:p w14:paraId="652992A0" w14:textId="77777777" w:rsidR="00BC3921" w:rsidRPr="00414C36" w:rsidRDefault="00BC3921" w:rsidP="003614EB">
            <w:pPr>
              <w:pStyle w:val="Bullet1"/>
              <w:numPr>
                <w:ilvl w:val="0"/>
                <w:numId w:val="0"/>
              </w:numPr>
              <w:spacing w:before="0" w:line="276" w:lineRule="auto"/>
              <w:ind w:left="680"/>
              <w:rPr>
                <w:noProof/>
                <w:sz w:val="18"/>
                <w:szCs w:val="18"/>
              </w:rPr>
            </w:pPr>
          </w:p>
          <w:p w14:paraId="06EAF592" w14:textId="77777777" w:rsidR="00BC3921" w:rsidRDefault="00BC3921">
            <w:pPr>
              <w:pStyle w:val="TableText"/>
              <w:spacing w:before="0" w:line="276" w:lineRule="auto"/>
              <w:rPr>
                <w:noProof/>
                <w:sz w:val="18"/>
                <w:szCs w:val="18"/>
              </w:rPr>
            </w:pPr>
          </w:p>
        </w:tc>
      </w:tr>
      <w:tr w:rsidR="00BC3921" w:rsidRPr="00C313A1" w14:paraId="01368716" w14:textId="77777777" w:rsidTr="25CA0D31">
        <w:tc>
          <w:tcPr>
            <w:tcW w:w="1701" w:type="dxa"/>
            <w:shd w:val="clear" w:color="auto" w:fill="F2F2F2" w:themeFill="background1" w:themeFillShade="F2"/>
          </w:tcPr>
          <w:p w14:paraId="49097A5E" w14:textId="77777777" w:rsidR="00BC3921" w:rsidRDefault="00BC3921">
            <w:pPr>
              <w:pStyle w:val="TableText"/>
              <w:spacing w:before="0" w:line="276" w:lineRule="auto"/>
              <w:rPr>
                <w:noProof/>
                <w:sz w:val="18"/>
                <w:szCs w:val="18"/>
              </w:rPr>
            </w:pPr>
            <w:r>
              <w:rPr>
                <w:noProof/>
                <w:sz w:val="18"/>
                <w:szCs w:val="18"/>
              </w:rPr>
              <w:lastRenderedPageBreak/>
              <w:t>Economic and Environmental impacts</w:t>
            </w:r>
          </w:p>
        </w:tc>
        <w:tc>
          <w:tcPr>
            <w:tcW w:w="3544" w:type="dxa"/>
            <w:shd w:val="clear" w:color="auto" w:fill="F2F2F2" w:themeFill="background1" w:themeFillShade="F2"/>
          </w:tcPr>
          <w:p w14:paraId="0BA8394D" w14:textId="77777777" w:rsidR="00BC3921" w:rsidRDefault="00BC3921">
            <w:pPr>
              <w:pStyle w:val="Bullet1"/>
              <w:spacing w:before="0" w:line="276" w:lineRule="auto"/>
              <w:rPr>
                <w:noProof/>
              </w:rPr>
            </w:pPr>
            <w:r>
              <w:rPr>
                <w:noProof/>
              </w:rPr>
              <w:t>Sustainable consumption and production</w:t>
            </w:r>
          </w:p>
          <w:p w14:paraId="4FAAE795" w14:textId="77777777" w:rsidR="00BC3921" w:rsidRDefault="00BC3921">
            <w:pPr>
              <w:pStyle w:val="Bullet1"/>
              <w:spacing w:before="0" w:line="276" w:lineRule="auto"/>
              <w:rPr>
                <w:noProof/>
              </w:rPr>
            </w:pPr>
            <w:r>
              <w:rPr>
                <w:noProof/>
              </w:rPr>
              <w:t>Efficient use of resources (renewable &amp; non-renewable)</w:t>
            </w:r>
          </w:p>
          <w:p w14:paraId="6A832A33" w14:textId="77777777" w:rsidR="00BC3921" w:rsidRPr="00414C36" w:rsidRDefault="00BC3921">
            <w:pPr>
              <w:pStyle w:val="Bullet1"/>
              <w:spacing w:before="0" w:line="276" w:lineRule="auto"/>
              <w:rPr>
                <w:noProof/>
              </w:rPr>
            </w:pPr>
            <w:r>
              <w:rPr>
                <w:noProof/>
              </w:rPr>
              <w:t>Land use</w:t>
            </w:r>
          </w:p>
          <w:p w14:paraId="44F6D605" w14:textId="77777777" w:rsidR="00BC3921" w:rsidRDefault="00BC3921">
            <w:pPr>
              <w:pStyle w:val="Bullet1"/>
              <w:spacing w:before="0" w:line="276" w:lineRule="auto"/>
              <w:rPr>
                <w:noProof/>
              </w:rPr>
            </w:pPr>
            <w:r>
              <w:rPr>
                <w:noProof/>
              </w:rPr>
              <w:t>The likelihood or scale of environmental risks</w:t>
            </w:r>
          </w:p>
        </w:tc>
        <w:tc>
          <w:tcPr>
            <w:tcW w:w="3827" w:type="dxa"/>
            <w:shd w:val="clear" w:color="auto" w:fill="F2F2F2" w:themeFill="background1" w:themeFillShade="F2"/>
          </w:tcPr>
          <w:p w14:paraId="4C7D6272" w14:textId="77777777" w:rsidR="00BC3921" w:rsidRDefault="00BC3921">
            <w:pPr>
              <w:pStyle w:val="TableText"/>
              <w:spacing w:before="0" w:line="276" w:lineRule="auto"/>
              <w:rPr>
                <w:noProof/>
                <w:sz w:val="18"/>
                <w:szCs w:val="18"/>
              </w:rPr>
            </w:pPr>
            <w:r>
              <w:rPr>
                <w:noProof/>
                <w:sz w:val="18"/>
                <w:szCs w:val="18"/>
              </w:rPr>
              <w:t xml:space="preserve">n/a </w:t>
            </w:r>
          </w:p>
        </w:tc>
      </w:tr>
      <w:tr w:rsidR="00BC3921" w:rsidRPr="00C313A1" w14:paraId="7643C587" w14:textId="77777777" w:rsidTr="25CA0D31">
        <w:tc>
          <w:tcPr>
            <w:tcW w:w="1701" w:type="dxa"/>
            <w:shd w:val="clear" w:color="auto" w:fill="F2F2F2" w:themeFill="background1" w:themeFillShade="F2"/>
          </w:tcPr>
          <w:p w14:paraId="23E8F80A" w14:textId="77777777" w:rsidR="00BC3921" w:rsidRPr="00C313A1" w:rsidRDefault="00BC3921">
            <w:pPr>
              <w:pStyle w:val="TableText"/>
              <w:spacing w:before="0" w:line="276" w:lineRule="auto"/>
              <w:rPr>
                <w:noProof/>
                <w:sz w:val="18"/>
                <w:szCs w:val="18"/>
              </w:rPr>
            </w:pPr>
            <w:r w:rsidRPr="00C313A1">
              <w:rPr>
                <w:noProof/>
                <w:sz w:val="18"/>
                <w:szCs w:val="18"/>
              </w:rPr>
              <w:t>Overarching Impacts</w:t>
            </w:r>
          </w:p>
        </w:tc>
        <w:tc>
          <w:tcPr>
            <w:tcW w:w="3544" w:type="dxa"/>
            <w:shd w:val="clear" w:color="auto" w:fill="F2F2F2" w:themeFill="background1" w:themeFillShade="F2"/>
          </w:tcPr>
          <w:p w14:paraId="3B804F15" w14:textId="77777777" w:rsidR="00BC3921" w:rsidRPr="00C16B7D" w:rsidRDefault="00BC3921">
            <w:pPr>
              <w:pStyle w:val="Bullet1"/>
              <w:spacing w:before="0" w:line="276" w:lineRule="auto"/>
              <w:rPr>
                <w:noProof/>
                <w:sz w:val="18"/>
                <w:szCs w:val="18"/>
              </w:rPr>
            </w:pPr>
            <w:r>
              <w:rPr>
                <w:noProof/>
              </w:rPr>
              <w:t>Territorial impacts (specific (types of) regions and sectors)</w:t>
            </w:r>
          </w:p>
          <w:p w14:paraId="4466A77E" w14:textId="77777777" w:rsidR="00BC3921" w:rsidRPr="00C16B7D" w:rsidRDefault="00BC3921">
            <w:pPr>
              <w:pStyle w:val="Bullet1"/>
              <w:spacing w:before="0" w:line="276" w:lineRule="auto"/>
              <w:rPr>
                <w:noProof/>
                <w:sz w:val="18"/>
                <w:szCs w:val="18"/>
              </w:rPr>
            </w:pPr>
            <w:r>
              <w:rPr>
                <w:noProof/>
              </w:rPr>
              <w:t>Innovation (productivity and resource efficiency); research (academic and industrial)</w:t>
            </w:r>
          </w:p>
          <w:p w14:paraId="31345A40" w14:textId="77777777" w:rsidR="00BC3921" w:rsidRPr="00C16B7D" w:rsidRDefault="00BC3921">
            <w:pPr>
              <w:pStyle w:val="Bullet1"/>
              <w:spacing w:before="0" w:line="276" w:lineRule="auto"/>
              <w:rPr>
                <w:noProof/>
                <w:sz w:val="18"/>
                <w:szCs w:val="18"/>
              </w:rPr>
            </w:pPr>
            <w:r>
              <w:rPr>
                <w:noProof/>
              </w:rPr>
              <w:t>Fraud, crime, terrorism, and security, including hybrid threats</w:t>
            </w:r>
          </w:p>
          <w:p w14:paraId="40771C0C" w14:textId="77777777" w:rsidR="00BC3921" w:rsidRPr="00C16B7D" w:rsidRDefault="00BC3921">
            <w:pPr>
              <w:pStyle w:val="Bullet1"/>
              <w:spacing w:before="0" w:line="276" w:lineRule="auto"/>
              <w:rPr>
                <w:noProof/>
                <w:sz w:val="18"/>
                <w:szCs w:val="18"/>
              </w:rPr>
            </w:pPr>
            <w:r>
              <w:rPr>
                <w:noProof/>
              </w:rPr>
              <w:t>Resilience, technological sovereignty, open strategic autonomy, security of supply</w:t>
            </w:r>
          </w:p>
          <w:p w14:paraId="347BC72F" w14:textId="77777777" w:rsidR="00BC3921" w:rsidRPr="00C16B7D" w:rsidRDefault="00BC3921">
            <w:pPr>
              <w:pStyle w:val="Bullet1"/>
              <w:spacing w:before="0" w:line="276" w:lineRule="auto"/>
              <w:rPr>
                <w:noProof/>
                <w:sz w:val="18"/>
                <w:szCs w:val="18"/>
              </w:rPr>
            </w:pPr>
            <w:r>
              <w:rPr>
                <w:noProof/>
              </w:rPr>
              <w:t>Transport and the use of energy</w:t>
            </w:r>
          </w:p>
          <w:p w14:paraId="0B953337" w14:textId="77777777" w:rsidR="00BC3921" w:rsidRPr="00C16B7D" w:rsidRDefault="00BC3921">
            <w:pPr>
              <w:pStyle w:val="Bullet1"/>
              <w:spacing w:before="0" w:line="276" w:lineRule="auto"/>
              <w:rPr>
                <w:noProof/>
                <w:sz w:val="18"/>
                <w:szCs w:val="18"/>
              </w:rPr>
            </w:pPr>
            <w:r>
              <w:rPr>
                <w:noProof/>
              </w:rPr>
              <w:t>Food safety, food security and nutrition</w:t>
            </w:r>
          </w:p>
          <w:p w14:paraId="75DA6FFD" w14:textId="77777777" w:rsidR="00BC3921" w:rsidRPr="00C16B7D" w:rsidRDefault="00BC3921">
            <w:pPr>
              <w:pStyle w:val="Bullet1"/>
              <w:spacing w:before="0" w:line="276" w:lineRule="auto"/>
              <w:rPr>
                <w:noProof/>
                <w:sz w:val="18"/>
                <w:szCs w:val="18"/>
              </w:rPr>
            </w:pPr>
            <w:r>
              <w:rPr>
                <w:noProof/>
              </w:rPr>
              <w:t>Waste production, generation, and recycling</w:t>
            </w:r>
          </w:p>
          <w:p w14:paraId="580720CA" w14:textId="77777777" w:rsidR="00BC3921" w:rsidRPr="00C16B7D" w:rsidRDefault="00BC3921">
            <w:pPr>
              <w:pStyle w:val="Bullet1"/>
              <w:spacing w:before="0" w:line="276" w:lineRule="auto"/>
              <w:rPr>
                <w:noProof/>
                <w:sz w:val="18"/>
                <w:szCs w:val="18"/>
              </w:rPr>
            </w:pPr>
            <w:r>
              <w:rPr>
                <w:noProof/>
              </w:rPr>
              <w:t>Third countries, developing countries, and international relations</w:t>
            </w:r>
          </w:p>
          <w:p w14:paraId="2481C42B" w14:textId="77777777" w:rsidR="00BC3921" w:rsidRPr="00C16B7D" w:rsidRDefault="00BC3921">
            <w:pPr>
              <w:pStyle w:val="Bullet1"/>
              <w:spacing w:before="0" w:line="276" w:lineRule="auto"/>
              <w:rPr>
                <w:noProof/>
                <w:sz w:val="18"/>
                <w:szCs w:val="18"/>
              </w:rPr>
            </w:pPr>
            <w:r>
              <w:rPr>
                <w:noProof/>
              </w:rPr>
              <w:t>Sustainable development</w:t>
            </w:r>
          </w:p>
          <w:p w14:paraId="214F76D8" w14:textId="77777777" w:rsidR="00BC3921" w:rsidRPr="00C313A1" w:rsidRDefault="00BC3921">
            <w:pPr>
              <w:pStyle w:val="Bullet1"/>
              <w:spacing w:before="0" w:line="276" w:lineRule="auto"/>
              <w:rPr>
                <w:noProof/>
                <w:sz w:val="18"/>
                <w:szCs w:val="18"/>
              </w:rPr>
            </w:pPr>
            <w:r>
              <w:rPr>
                <w:noProof/>
              </w:rPr>
              <w:t>Fundamental rights</w:t>
            </w:r>
          </w:p>
        </w:tc>
        <w:tc>
          <w:tcPr>
            <w:tcW w:w="3827" w:type="dxa"/>
            <w:shd w:val="clear" w:color="auto" w:fill="F2F2F2" w:themeFill="background1" w:themeFillShade="F2"/>
          </w:tcPr>
          <w:p w14:paraId="008F126A" w14:textId="77777777" w:rsidR="00BC3921" w:rsidRDefault="00BC3921">
            <w:pPr>
              <w:pStyle w:val="Bullet1"/>
              <w:numPr>
                <w:ilvl w:val="0"/>
                <w:numId w:val="0"/>
              </w:numPr>
              <w:spacing w:before="0" w:line="276" w:lineRule="auto"/>
              <w:ind w:left="680"/>
              <w:contextualSpacing w:val="0"/>
              <w:rPr>
                <w:noProof/>
                <w:sz w:val="18"/>
                <w:szCs w:val="18"/>
              </w:rPr>
            </w:pPr>
          </w:p>
          <w:p w14:paraId="0BC22D19" w14:textId="77777777" w:rsidR="00BC3921" w:rsidRDefault="00BC3921">
            <w:pPr>
              <w:pStyle w:val="Bullet1"/>
              <w:numPr>
                <w:ilvl w:val="0"/>
                <w:numId w:val="0"/>
              </w:numPr>
              <w:spacing w:before="0" w:line="276" w:lineRule="auto"/>
              <w:ind w:left="680"/>
              <w:contextualSpacing w:val="0"/>
              <w:rPr>
                <w:noProof/>
                <w:sz w:val="18"/>
                <w:szCs w:val="18"/>
              </w:rPr>
            </w:pPr>
          </w:p>
          <w:p w14:paraId="3348E197" w14:textId="77777777" w:rsidR="00BC3921" w:rsidRPr="00C16B7D" w:rsidRDefault="00BC3921">
            <w:pPr>
              <w:pStyle w:val="Bullet1"/>
              <w:spacing w:before="0" w:line="276" w:lineRule="auto"/>
              <w:rPr>
                <w:noProof/>
                <w:sz w:val="18"/>
                <w:szCs w:val="18"/>
              </w:rPr>
            </w:pPr>
            <w:r>
              <w:rPr>
                <w:noProof/>
              </w:rPr>
              <w:t>Innovation (productivity and resource efficiency); research (academic and industrial)</w:t>
            </w:r>
          </w:p>
          <w:p w14:paraId="0E03241B" w14:textId="77777777" w:rsidR="00BC3921" w:rsidRDefault="00BC3921">
            <w:pPr>
              <w:pStyle w:val="Bullet1"/>
              <w:numPr>
                <w:ilvl w:val="0"/>
                <w:numId w:val="0"/>
              </w:numPr>
              <w:spacing w:before="0" w:line="276" w:lineRule="auto"/>
              <w:ind w:left="680"/>
              <w:contextualSpacing w:val="0"/>
              <w:rPr>
                <w:noProof/>
                <w:sz w:val="18"/>
                <w:szCs w:val="18"/>
              </w:rPr>
            </w:pPr>
          </w:p>
          <w:p w14:paraId="298CCB28" w14:textId="77777777" w:rsidR="00BC3921" w:rsidRPr="009733CA" w:rsidRDefault="00BC3921">
            <w:pPr>
              <w:pStyle w:val="Bullet1"/>
              <w:spacing w:before="0" w:line="276" w:lineRule="auto"/>
              <w:rPr>
                <w:noProof/>
                <w:sz w:val="18"/>
                <w:szCs w:val="18"/>
              </w:rPr>
            </w:pPr>
            <w:r>
              <w:rPr>
                <w:noProof/>
              </w:rPr>
              <w:t>Fraud, crime, terrorism, and security, including hybrid threats</w:t>
            </w:r>
          </w:p>
          <w:p w14:paraId="195A873A" w14:textId="77777777" w:rsidR="00BC3921" w:rsidRDefault="00BC3921">
            <w:pPr>
              <w:pStyle w:val="Bullet1"/>
              <w:numPr>
                <w:ilvl w:val="0"/>
                <w:numId w:val="0"/>
              </w:numPr>
              <w:spacing w:before="0" w:line="276" w:lineRule="auto"/>
              <w:ind w:left="680" w:hanging="340"/>
              <w:rPr>
                <w:noProof/>
              </w:rPr>
            </w:pPr>
          </w:p>
          <w:p w14:paraId="4102750E" w14:textId="77777777" w:rsidR="00BC3921" w:rsidRDefault="00BC3921">
            <w:pPr>
              <w:pStyle w:val="Bullet1"/>
              <w:numPr>
                <w:ilvl w:val="0"/>
                <w:numId w:val="0"/>
              </w:numPr>
              <w:spacing w:before="0" w:line="276" w:lineRule="auto"/>
              <w:ind w:left="680" w:hanging="340"/>
              <w:rPr>
                <w:noProof/>
              </w:rPr>
            </w:pPr>
          </w:p>
          <w:p w14:paraId="16516607" w14:textId="77777777" w:rsidR="00BC3921" w:rsidRDefault="00BC3921">
            <w:pPr>
              <w:pStyle w:val="Bullet1"/>
              <w:numPr>
                <w:ilvl w:val="0"/>
                <w:numId w:val="0"/>
              </w:numPr>
              <w:spacing w:before="0" w:line="276" w:lineRule="auto"/>
              <w:ind w:left="680" w:hanging="340"/>
              <w:rPr>
                <w:noProof/>
              </w:rPr>
            </w:pPr>
          </w:p>
          <w:p w14:paraId="4BC3E4B9" w14:textId="77777777" w:rsidR="00BC3921" w:rsidRDefault="00BC3921">
            <w:pPr>
              <w:pStyle w:val="Bullet1"/>
              <w:numPr>
                <w:ilvl w:val="0"/>
                <w:numId w:val="0"/>
              </w:numPr>
              <w:spacing w:before="0" w:line="276" w:lineRule="auto"/>
              <w:ind w:left="680" w:hanging="340"/>
              <w:rPr>
                <w:noProof/>
              </w:rPr>
            </w:pPr>
          </w:p>
          <w:p w14:paraId="352A604E" w14:textId="77777777" w:rsidR="00BC3921" w:rsidRDefault="00BC3921">
            <w:pPr>
              <w:pStyle w:val="Bullet1"/>
              <w:numPr>
                <w:ilvl w:val="0"/>
                <w:numId w:val="0"/>
              </w:numPr>
              <w:spacing w:before="0" w:line="276" w:lineRule="auto"/>
              <w:ind w:left="680" w:hanging="340"/>
              <w:rPr>
                <w:noProof/>
              </w:rPr>
            </w:pPr>
          </w:p>
          <w:p w14:paraId="35BD54AC" w14:textId="77777777" w:rsidR="00BC3921" w:rsidRDefault="00BC3921">
            <w:pPr>
              <w:pStyle w:val="Bullet1"/>
              <w:numPr>
                <w:ilvl w:val="0"/>
                <w:numId w:val="0"/>
              </w:numPr>
              <w:spacing w:before="0" w:line="276" w:lineRule="auto"/>
              <w:ind w:left="680" w:hanging="340"/>
              <w:rPr>
                <w:noProof/>
              </w:rPr>
            </w:pPr>
          </w:p>
          <w:p w14:paraId="3B661723" w14:textId="77777777" w:rsidR="00BC3921" w:rsidRDefault="00BC3921">
            <w:pPr>
              <w:pStyle w:val="Bullet1"/>
              <w:numPr>
                <w:ilvl w:val="0"/>
                <w:numId w:val="0"/>
              </w:numPr>
              <w:spacing w:before="0" w:line="276" w:lineRule="auto"/>
              <w:ind w:left="680" w:hanging="340"/>
              <w:rPr>
                <w:noProof/>
              </w:rPr>
            </w:pPr>
          </w:p>
          <w:p w14:paraId="56926C96" w14:textId="77777777" w:rsidR="00BC3921" w:rsidRDefault="00BC3921">
            <w:pPr>
              <w:pStyle w:val="Bullet1"/>
              <w:numPr>
                <w:ilvl w:val="0"/>
                <w:numId w:val="0"/>
              </w:numPr>
              <w:spacing w:before="0" w:line="276" w:lineRule="auto"/>
              <w:ind w:left="680" w:hanging="340"/>
              <w:rPr>
                <w:noProof/>
              </w:rPr>
            </w:pPr>
          </w:p>
          <w:p w14:paraId="4A5C8C49" w14:textId="77777777" w:rsidR="00BC3921" w:rsidRDefault="00BC3921">
            <w:pPr>
              <w:pStyle w:val="Bullet1"/>
              <w:numPr>
                <w:ilvl w:val="0"/>
                <w:numId w:val="0"/>
              </w:numPr>
              <w:spacing w:before="0" w:line="276" w:lineRule="auto"/>
              <w:ind w:left="680" w:hanging="340"/>
              <w:rPr>
                <w:noProof/>
              </w:rPr>
            </w:pPr>
          </w:p>
          <w:p w14:paraId="5B7EA588" w14:textId="77777777" w:rsidR="00BC3921" w:rsidRDefault="00BC3921">
            <w:pPr>
              <w:pStyle w:val="Bullet1"/>
              <w:numPr>
                <w:ilvl w:val="0"/>
                <w:numId w:val="0"/>
              </w:numPr>
              <w:spacing w:before="0" w:line="276" w:lineRule="auto"/>
              <w:ind w:left="680" w:hanging="340"/>
              <w:rPr>
                <w:noProof/>
              </w:rPr>
            </w:pPr>
          </w:p>
          <w:p w14:paraId="24A14A85" w14:textId="77777777" w:rsidR="00BC3921" w:rsidRDefault="00BC3921">
            <w:pPr>
              <w:pStyle w:val="Bullet1"/>
              <w:numPr>
                <w:ilvl w:val="0"/>
                <w:numId w:val="0"/>
              </w:numPr>
              <w:spacing w:before="0" w:line="276" w:lineRule="auto"/>
              <w:ind w:left="680" w:hanging="340"/>
              <w:rPr>
                <w:noProof/>
              </w:rPr>
            </w:pPr>
          </w:p>
          <w:p w14:paraId="5AB48A4F" w14:textId="77777777" w:rsidR="00BC3921" w:rsidRDefault="00BC3921">
            <w:pPr>
              <w:pStyle w:val="Bullet1"/>
              <w:numPr>
                <w:ilvl w:val="0"/>
                <w:numId w:val="0"/>
              </w:numPr>
              <w:spacing w:before="0" w:line="276" w:lineRule="auto"/>
              <w:ind w:left="680" w:hanging="340"/>
              <w:rPr>
                <w:noProof/>
              </w:rPr>
            </w:pPr>
          </w:p>
          <w:p w14:paraId="5B2AE92A" w14:textId="77777777" w:rsidR="00BC3921" w:rsidRDefault="00BC3921">
            <w:pPr>
              <w:pStyle w:val="Bullet1"/>
              <w:numPr>
                <w:ilvl w:val="0"/>
                <w:numId w:val="0"/>
              </w:numPr>
              <w:spacing w:before="0" w:line="276" w:lineRule="auto"/>
              <w:ind w:left="680" w:hanging="340"/>
              <w:rPr>
                <w:noProof/>
              </w:rPr>
            </w:pPr>
          </w:p>
          <w:p w14:paraId="183FE2C0" w14:textId="77777777" w:rsidR="00BC3921" w:rsidRPr="009733CA" w:rsidRDefault="00BC3921">
            <w:pPr>
              <w:pStyle w:val="Bullet1"/>
              <w:numPr>
                <w:ilvl w:val="0"/>
                <w:numId w:val="0"/>
              </w:numPr>
              <w:spacing w:before="0" w:line="276" w:lineRule="auto"/>
              <w:ind w:left="680" w:hanging="340"/>
              <w:rPr>
                <w:noProof/>
                <w:sz w:val="18"/>
                <w:szCs w:val="18"/>
              </w:rPr>
            </w:pPr>
          </w:p>
          <w:p w14:paraId="65EAA834" w14:textId="77777777" w:rsidR="00BC3921" w:rsidRPr="009733CA" w:rsidRDefault="00BC3921">
            <w:pPr>
              <w:pStyle w:val="Bullet1"/>
              <w:spacing w:before="0" w:line="276" w:lineRule="auto"/>
              <w:rPr>
                <w:noProof/>
                <w:sz w:val="18"/>
                <w:szCs w:val="18"/>
              </w:rPr>
            </w:pPr>
            <w:r>
              <w:rPr>
                <w:noProof/>
              </w:rPr>
              <w:t>Fundamental rights</w:t>
            </w:r>
          </w:p>
        </w:tc>
      </w:tr>
    </w:tbl>
    <w:p w14:paraId="7F426E7C" w14:textId="77777777" w:rsidR="00FE5B14" w:rsidRDefault="00FE5B14" w:rsidP="003614EB">
      <w:pPr>
        <w:rPr>
          <w:noProof/>
        </w:rPr>
      </w:pPr>
    </w:p>
    <w:p w14:paraId="65E2C090" w14:textId="517E8F0B" w:rsidR="00D2331D" w:rsidRDefault="00D2331D" w:rsidP="005C79FB">
      <w:pPr>
        <w:pStyle w:val="Heading2"/>
        <w:rPr>
          <w:noProof/>
        </w:rPr>
      </w:pPr>
      <w:r>
        <w:rPr>
          <w:noProof/>
        </w:rPr>
        <w:t>Screening of impacts</w:t>
      </w:r>
    </w:p>
    <w:p w14:paraId="4702520B" w14:textId="3A7F772F" w:rsidR="008963B3" w:rsidRDefault="00791C81" w:rsidP="00121023">
      <w:pPr>
        <w:jc w:val="both"/>
        <w:rPr>
          <w:noProof/>
        </w:rPr>
      </w:pPr>
      <w:r>
        <w:rPr>
          <w:noProof/>
        </w:rPr>
        <w:t xml:space="preserve">When analysing the </w:t>
      </w:r>
      <w:r w:rsidR="008963B3">
        <w:rPr>
          <w:noProof/>
        </w:rPr>
        <w:t xml:space="preserve">significance of </w:t>
      </w:r>
      <w:r>
        <w:rPr>
          <w:noProof/>
        </w:rPr>
        <w:t xml:space="preserve">impacts </w:t>
      </w:r>
      <w:r w:rsidR="00A9510B">
        <w:rPr>
          <w:noProof/>
        </w:rPr>
        <w:t>for different stakeholders for the policy options covered by this IA, the following issues were taken into account</w:t>
      </w:r>
      <w:r w:rsidR="008963B3">
        <w:rPr>
          <w:noProof/>
        </w:rPr>
        <w:t>:</w:t>
      </w:r>
    </w:p>
    <w:p w14:paraId="3F1241E5" w14:textId="10B88512" w:rsidR="008963B3" w:rsidRDefault="00944697" w:rsidP="00121023">
      <w:pPr>
        <w:pStyle w:val="Bullet1Space"/>
        <w:jc w:val="both"/>
        <w:rPr>
          <w:noProof/>
        </w:rPr>
      </w:pPr>
      <w:r>
        <w:rPr>
          <w:noProof/>
        </w:rPr>
        <w:t>T</w:t>
      </w:r>
      <w:r w:rsidR="008963B3">
        <w:rPr>
          <w:noProof/>
        </w:rPr>
        <w:t xml:space="preserve">he expected magnitude – taking </w:t>
      </w:r>
      <w:r w:rsidR="00934013">
        <w:rPr>
          <w:noProof/>
        </w:rPr>
        <w:t>into</w:t>
      </w:r>
      <w:r w:rsidR="008963B3">
        <w:rPr>
          <w:noProof/>
        </w:rPr>
        <w:t xml:space="preserve"> account </w:t>
      </w:r>
      <w:r w:rsidR="00DB30F7">
        <w:rPr>
          <w:noProof/>
        </w:rPr>
        <w:t xml:space="preserve">what would be </w:t>
      </w:r>
      <w:r w:rsidR="008963B3">
        <w:rPr>
          <w:noProof/>
        </w:rPr>
        <w:t>the likely scale of impact</w:t>
      </w:r>
      <w:r>
        <w:rPr>
          <w:noProof/>
        </w:rPr>
        <w:t>s (</w:t>
      </w:r>
      <w:r w:rsidR="00AF6201">
        <w:rPr>
          <w:noProof/>
        </w:rPr>
        <w:t>i.e.,</w:t>
      </w:r>
      <w:r>
        <w:rPr>
          <w:noProof/>
        </w:rPr>
        <w:t xml:space="preserve"> the extent of </w:t>
      </w:r>
      <w:r w:rsidR="00914240">
        <w:rPr>
          <w:noProof/>
        </w:rPr>
        <w:t xml:space="preserve">expected </w:t>
      </w:r>
      <w:r>
        <w:rPr>
          <w:noProof/>
        </w:rPr>
        <w:t>costs</w:t>
      </w:r>
      <w:r w:rsidR="008963B3">
        <w:rPr>
          <w:noProof/>
        </w:rPr>
        <w:t xml:space="preserve"> and benefits</w:t>
      </w:r>
      <w:r>
        <w:rPr>
          <w:noProof/>
        </w:rPr>
        <w:t>)</w:t>
      </w:r>
      <w:r w:rsidR="008963B3">
        <w:rPr>
          <w:noProof/>
        </w:rPr>
        <w:t xml:space="preserve">, the number of </w:t>
      </w:r>
      <w:r w:rsidR="00914240">
        <w:rPr>
          <w:noProof/>
        </w:rPr>
        <w:t xml:space="preserve">companies </w:t>
      </w:r>
      <w:r w:rsidR="008963B3">
        <w:rPr>
          <w:noProof/>
        </w:rPr>
        <w:t>affected, the extent of change expected;</w:t>
      </w:r>
    </w:p>
    <w:p w14:paraId="3A76B620" w14:textId="27D85F48" w:rsidR="008963B3" w:rsidRDefault="007775A5" w:rsidP="00121023">
      <w:pPr>
        <w:pStyle w:val="Bullet1Space"/>
        <w:jc w:val="both"/>
        <w:rPr>
          <w:noProof/>
        </w:rPr>
      </w:pPr>
      <w:r>
        <w:rPr>
          <w:noProof/>
        </w:rPr>
        <w:t>T</w:t>
      </w:r>
      <w:r w:rsidR="008963B3">
        <w:rPr>
          <w:noProof/>
        </w:rPr>
        <w:t xml:space="preserve">he likelihood – taking </w:t>
      </w:r>
      <w:r>
        <w:rPr>
          <w:noProof/>
        </w:rPr>
        <w:t>into</w:t>
      </w:r>
      <w:r w:rsidR="008963B3">
        <w:rPr>
          <w:noProof/>
        </w:rPr>
        <w:t xml:space="preserve"> account </w:t>
      </w:r>
      <w:r w:rsidR="00EB038C" w:rsidRPr="00EB038C">
        <w:rPr>
          <w:noProof/>
        </w:rPr>
        <w:t>how likely it is for the</w:t>
      </w:r>
      <w:r w:rsidR="008963B3">
        <w:rPr>
          <w:noProof/>
        </w:rPr>
        <w:t xml:space="preserve"> positive and negative </w:t>
      </w:r>
      <w:r w:rsidR="00532F93">
        <w:rPr>
          <w:noProof/>
        </w:rPr>
        <w:t>impacts</w:t>
      </w:r>
      <w:r w:rsidR="00EB038C">
        <w:rPr>
          <w:noProof/>
        </w:rPr>
        <w:t xml:space="preserve"> to </w:t>
      </w:r>
      <w:r w:rsidR="008963B3">
        <w:rPr>
          <w:noProof/>
        </w:rPr>
        <w:t>occur, and prioritising those for which there is robust evidence</w:t>
      </w:r>
      <w:r w:rsidR="00AF6201">
        <w:rPr>
          <w:noProof/>
        </w:rPr>
        <w:t>;</w:t>
      </w:r>
    </w:p>
    <w:p w14:paraId="7735AB7C" w14:textId="5B453429" w:rsidR="008963B3" w:rsidRDefault="00532F93" w:rsidP="00121023">
      <w:pPr>
        <w:pStyle w:val="Bullet1Space"/>
        <w:jc w:val="both"/>
        <w:rPr>
          <w:noProof/>
        </w:rPr>
      </w:pPr>
      <w:r>
        <w:rPr>
          <w:noProof/>
        </w:rPr>
        <w:t>T</w:t>
      </w:r>
      <w:r w:rsidR="008963B3">
        <w:rPr>
          <w:noProof/>
        </w:rPr>
        <w:t xml:space="preserve">he relevance </w:t>
      </w:r>
      <w:r>
        <w:rPr>
          <w:noProof/>
        </w:rPr>
        <w:t>to</w:t>
      </w:r>
      <w:r w:rsidR="008963B3">
        <w:rPr>
          <w:noProof/>
        </w:rPr>
        <w:t xml:space="preserve"> stakeholders – taking </w:t>
      </w:r>
      <w:r w:rsidR="00887CBD">
        <w:rPr>
          <w:noProof/>
        </w:rPr>
        <w:t>into</w:t>
      </w:r>
      <w:r w:rsidR="008963B3">
        <w:rPr>
          <w:noProof/>
        </w:rPr>
        <w:t xml:space="preserve"> account </w:t>
      </w:r>
      <w:r w:rsidR="000C1BAC">
        <w:rPr>
          <w:noProof/>
        </w:rPr>
        <w:t xml:space="preserve">views provided </w:t>
      </w:r>
      <w:r w:rsidR="008963B3">
        <w:rPr>
          <w:noProof/>
        </w:rPr>
        <w:t xml:space="preserve">by </w:t>
      </w:r>
      <w:r w:rsidR="000C1BAC">
        <w:rPr>
          <w:noProof/>
        </w:rPr>
        <w:t xml:space="preserve">relevant </w:t>
      </w:r>
      <w:r w:rsidR="008963B3">
        <w:rPr>
          <w:noProof/>
        </w:rPr>
        <w:t>stakeholder</w:t>
      </w:r>
      <w:r w:rsidR="000C1BAC">
        <w:rPr>
          <w:noProof/>
        </w:rPr>
        <w:t xml:space="preserve"> groups</w:t>
      </w:r>
      <w:r w:rsidR="00431DCB">
        <w:rPr>
          <w:noProof/>
        </w:rPr>
        <w:t xml:space="preserve"> during consultation activities</w:t>
      </w:r>
      <w:r w:rsidR="008963B3">
        <w:rPr>
          <w:noProof/>
        </w:rPr>
        <w:t>; and</w:t>
      </w:r>
    </w:p>
    <w:p w14:paraId="6100A749" w14:textId="6E970D0D" w:rsidR="008963B3" w:rsidRDefault="00D001A9" w:rsidP="00121023">
      <w:pPr>
        <w:pStyle w:val="Bullet1Space"/>
        <w:jc w:val="both"/>
        <w:rPr>
          <w:noProof/>
        </w:rPr>
      </w:pPr>
      <w:r>
        <w:rPr>
          <w:noProof/>
        </w:rPr>
        <w:t>T</w:t>
      </w:r>
      <w:r w:rsidR="008963B3">
        <w:rPr>
          <w:noProof/>
        </w:rPr>
        <w:t xml:space="preserve">he link to </w:t>
      </w:r>
      <w:r>
        <w:rPr>
          <w:noProof/>
        </w:rPr>
        <w:t>Commission</w:t>
      </w:r>
      <w:r w:rsidR="008963B3">
        <w:rPr>
          <w:noProof/>
        </w:rPr>
        <w:t xml:space="preserve"> objectives </w:t>
      </w:r>
      <w:r w:rsidR="003C12A6">
        <w:rPr>
          <w:noProof/>
        </w:rPr>
        <w:t>-</w:t>
      </w:r>
      <w:r w:rsidR="008963B3">
        <w:rPr>
          <w:noProof/>
        </w:rPr>
        <w:t xml:space="preserve"> i.e., </w:t>
      </w:r>
      <w:r w:rsidR="00B77A03">
        <w:rPr>
          <w:noProof/>
        </w:rPr>
        <w:t xml:space="preserve">the extent to which </w:t>
      </w:r>
      <w:r w:rsidR="008963B3">
        <w:rPr>
          <w:noProof/>
        </w:rPr>
        <w:t xml:space="preserve">each impact </w:t>
      </w:r>
      <w:r>
        <w:rPr>
          <w:noProof/>
        </w:rPr>
        <w:t xml:space="preserve">is </w:t>
      </w:r>
      <w:r w:rsidR="00F77F18">
        <w:rPr>
          <w:noProof/>
        </w:rPr>
        <w:t>aligned with</w:t>
      </w:r>
      <w:r w:rsidR="008963B3">
        <w:rPr>
          <w:noProof/>
        </w:rPr>
        <w:t xml:space="preserve"> the objectives of the initiative </w:t>
      </w:r>
      <w:r w:rsidR="00B77A03">
        <w:rPr>
          <w:noProof/>
        </w:rPr>
        <w:t>(</w:t>
      </w:r>
      <w:r w:rsidR="008963B3">
        <w:rPr>
          <w:noProof/>
        </w:rPr>
        <w:t xml:space="preserve">to </w:t>
      </w:r>
      <w:r w:rsidR="00DA5E04">
        <w:rPr>
          <w:noProof/>
        </w:rPr>
        <w:t xml:space="preserve">include </w:t>
      </w:r>
      <w:r w:rsidR="008963B3">
        <w:rPr>
          <w:noProof/>
        </w:rPr>
        <w:t>all impacts that directly link to the objectives</w:t>
      </w:r>
      <w:r w:rsidR="00014382">
        <w:rPr>
          <w:noProof/>
        </w:rPr>
        <w:t>)</w:t>
      </w:r>
      <w:r w:rsidR="008963B3" w:rsidRPr="00C1166E">
        <w:rPr>
          <w:noProof/>
        </w:rPr>
        <w:t>.</w:t>
      </w:r>
    </w:p>
    <w:p w14:paraId="711E8371" w14:textId="1CA1F161" w:rsidR="008963B3" w:rsidRDefault="008963B3" w:rsidP="00121023">
      <w:pPr>
        <w:jc w:val="both"/>
        <w:rPr>
          <w:noProof/>
        </w:rPr>
      </w:pPr>
      <w:r>
        <w:rPr>
          <w:noProof/>
        </w:rPr>
        <w:t xml:space="preserve">The assessment </w:t>
      </w:r>
      <w:r w:rsidR="00632198">
        <w:rPr>
          <w:noProof/>
        </w:rPr>
        <w:t>tak</w:t>
      </w:r>
      <w:r w:rsidR="001D7EF1">
        <w:rPr>
          <w:noProof/>
        </w:rPr>
        <w:t xml:space="preserve">es </w:t>
      </w:r>
      <w:r w:rsidR="00632198">
        <w:rPr>
          <w:noProof/>
        </w:rPr>
        <w:t>into account</w:t>
      </w:r>
      <w:r>
        <w:rPr>
          <w:noProof/>
        </w:rPr>
        <w:t xml:space="preserve"> the views of stakeholders gathered through extensive consultation</w:t>
      </w:r>
      <w:r w:rsidR="001D7EF1">
        <w:rPr>
          <w:noProof/>
        </w:rPr>
        <w:t xml:space="preserve"> activitie</w:t>
      </w:r>
      <w:r>
        <w:rPr>
          <w:noProof/>
        </w:rPr>
        <w:t xml:space="preserve">s </w:t>
      </w:r>
      <w:r w:rsidR="007121F4">
        <w:rPr>
          <w:noProof/>
        </w:rPr>
        <w:t>(</w:t>
      </w:r>
      <w:r w:rsidR="00412FE5">
        <w:rPr>
          <w:noProof/>
        </w:rPr>
        <w:t xml:space="preserve">public consultation, </w:t>
      </w:r>
      <w:r w:rsidR="00AA40AA">
        <w:rPr>
          <w:noProof/>
        </w:rPr>
        <w:t xml:space="preserve">workshops with companies, </w:t>
      </w:r>
      <w:r w:rsidR="005758C6">
        <w:rPr>
          <w:noProof/>
        </w:rPr>
        <w:t xml:space="preserve">targeted consultations with Member State company law experts, business associations and other stakeholders, including through the </w:t>
      </w:r>
      <w:r w:rsidR="00AA40AA">
        <w:rPr>
          <w:noProof/>
        </w:rPr>
        <w:t>High Level Forum on justice for growth</w:t>
      </w:r>
      <w:r w:rsidR="005758C6">
        <w:rPr>
          <w:noProof/>
        </w:rPr>
        <w:t>)</w:t>
      </w:r>
      <w:r w:rsidR="007121F4">
        <w:rPr>
          <w:noProof/>
        </w:rPr>
        <w:t xml:space="preserve"> </w:t>
      </w:r>
      <w:r w:rsidR="00E14318">
        <w:rPr>
          <w:noProof/>
        </w:rPr>
        <w:t>as well as</w:t>
      </w:r>
      <w:r>
        <w:rPr>
          <w:noProof/>
        </w:rPr>
        <w:t xml:space="preserve"> evidence collected through desk research. The result of the assessment</w:t>
      </w:r>
      <w:r w:rsidR="00E14318">
        <w:rPr>
          <w:noProof/>
        </w:rPr>
        <w:t xml:space="preserve">, </w:t>
      </w:r>
      <w:r w:rsidR="00AF6201">
        <w:rPr>
          <w:noProof/>
        </w:rPr>
        <w:t>i.e.,</w:t>
      </w:r>
      <w:r w:rsidR="00E14318">
        <w:rPr>
          <w:noProof/>
        </w:rPr>
        <w:t xml:space="preserve"> the final/ screened list of impacts</w:t>
      </w:r>
      <w:r w:rsidR="008263B5">
        <w:rPr>
          <w:noProof/>
        </w:rPr>
        <w:t xml:space="preserve"> to be investigated further</w:t>
      </w:r>
      <w:r w:rsidR="00E14318">
        <w:rPr>
          <w:noProof/>
        </w:rPr>
        <w:t>,</w:t>
      </w:r>
      <w:r>
        <w:rPr>
          <w:noProof/>
        </w:rPr>
        <w:t xml:space="preserve"> is provided in </w:t>
      </w:r>
      <w:r>
        <w:rPr>
          <w:noProof/>
        </w:rPr>
        <w:fldChar w:fldCharType="begin"/>
      </w:r>
      <w:r>
        <w:rPr>
          <w:noProof/>
        </w:rPr>
        <w:instrText xml:space="preserve"> REF _Ref54879195 \r \h </w:instrText>
      </w:r>
      <w:r w:rsidR="00632198">
        <w:rPr>
          <w:noProof/>
        </w:rPr>
        <w:instrText xml:space="preserve"> \* MERGEFORMAT </w:instrText>
      </w:r>
      <w:r>
        <w:rPr>
          <w:noProof/>
        </w:rPr>
      </w:r>
      <w:r>
        <w:rPr>
          <w:noProof/>
        </w:rPr>
        <w:fldChar w:fldCharType="separate"/>
      </w:r>
      <w:r w:rsidR="00B312D6">
        <w:rPr>
          <w:noProof/>
        </w:rPr>
        <w:t>Table 2</w:t>
      </w:r>
      <w:r>
        <w:rPr>
          <w:noProof/>
        </w:rPr>
        <w:fldChar w:fldCharType="end"/>
      </w:r>
      <w:r>
        <w:rPr>
          <w:noProof/>
        </w:rPr>
        <w:t xml:space="preserve">. </w:t>
      </w:r>
    </w:p>
    <w:p w14:paraId="37B76DE5" w14:textId="4E43C10A" w:rsidR="000B1315" w:rsidRDefault="000B1315" w:rsidP="00121023">
      <w:pPr>
        <w:pStyle w:val="BodyText"/>
        <w:jc w:val="both"/>
        <w:rPr>
          <w:noProof/>
        </w:rPr>
      </w:pPr>
      <w:r w:rsidRPr="000B1315">
        <w:rPr>
          <w:noProof/>
        </w:rPr>
        <w:t>Some of the screened impacts are strongly interlinked and therefore, are covered jointly as it would be impossible to separately assess their impact.</w:t>
      </w:r>
    </w:p>
    <w:p w14:paraId="7848CEA1" w14:textId="0716CA45" w:rsidR="00672DFE" w:rsidRDefault="00672DFE" w:rsidP="00121023">
      <w:pPr>
        <w:pStyle w:val="BodyText"/>
        <w:jc w:val="both"/>
        <w:rPr>
          <w:noProof/>
        </w:rPr>
      </w:pPr>
      <w:r w:rsidRPr="00672DFE">
        <w:rPr>
          <w:noProof/>
        </w:rPr>
        <w:t>Table 2 presents the expected magnitude, likelihood and relevance for stakeholders for all potentially relevant impacts, with additional explanation and marks which of those impacts were retained for detailed analysis.</w:t>
      </w:r>
    </w:p>
    <w:p w14:paraId="7ABD61B3" w14:textId="73B9DB45" w:rsidR="008963B3" w:rsidRDefault="008963B3" w:rsidP="00121023">
      <w:pPr>
        <w:pStyle w:val="BodyText"/>
        <w:jc w:val="both"/>
        <w:rPr>
          <w:noProof/>
        </w:rPr>
        <w:sectPr w:rsidR="008963B3" w:rsidSect="00187DA6">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701" w:header="567" w:footer="340" w:gutter="0"/>
          <w:pgNumType w:start="1"/>
          <w:cols w:space="720"/>
          <w:docGrid w:linePitch="360"/>
        </w:sectPr>
      </w:pPr>
    </w:p>
    <w:p w14:paraId="4E5A0C42" w14:textId="77777777" w:rsidR="008963B3" w:rsidRDefault="008963B3" w:rsidP="008963B3">
      <w:pPr>
        <w:pStyle w:val="TableTitle"/>
        <w:rPr>
          <w:rStyle w:val="TableChar"/>
          <w:noProof/>
        </w:rPr>
      </w:pPr>
      <w:bookmarkStart w:id="6" w:name="_Ref54879195"/>
      <w:r w:rsidRPr="00143EBC">
        <w:rPr>
          <w:rStyle w:val="TableChar"/>
          <w:noProof/>
        </w:rPr>
        <w:t>Significance of impacts for all the policy options under consideration</w:t>
      </w:r>
      <w:bookmarkEnd w:id="6"/>
    </w:p>
    <w:p w14:paraId="6F95201B" w14:textId="56457CA1" w:rsidR="008963B3" w:rsidRDefault="008963B3" w:rsidP="008963B3">
      <w:pPr>
        <w:rPr>
          <w:i/>
          <w:iCs/>
          <w:noProof/>
        </w:rPr>
      </w:pPr>
      <w:r w:rsidRPr="00143EBC">
        <w:rPr>
          <w:i/>
          <w:iCs/>
          <w:noProof/>
        </w:rPr>
        <w:t xml:space="preserve">Key:  </w:t>
      </w:r>
      <w:r>
        <w:rPr>
          <w:i/>
          <w:iCs/>
          <w:noProof/>
        </w:rPr>
        <w:t>‘</w:t>
      </w:r>
      <w:r w:rsidRPr="00B40DD1">
        <w:rPr>
          <w:rFonts w:ascii="Arial" w:hAnsi="Arial" w:cs="Arial"/>
          <w:i/>
          <w:iCs/>
          <w:noProof/>
          <w:color w:val="1F497D" w:themeColor="text2"/>
        </w:rPr>
        <w:t>●</w:t>
      </w:r>
      <w:r>
        <w:rPr>
          <w:i/>
          <w:iCs/>
          <w:noProof/>
        </w:rPr>
        <w:t>’</w:t>
      </w:r>
      <w:r w:rsidRPr="00143EBC">
        <w:rPr>
          <w:i/>
          <w:iCs/>
          <w:noProof/>
        </w:rPr>
        <w:t xml:space="preserve"> low; </w:t>
      </w:r>
      <w:r>
        <w:rPr>
          <w:i/>
          <w:iCs/>
          <w:noProof/>
        </w:rPr>
        <w:t>‘</w:t>
      </w:r>
      <w:r w:rsidRPr="00B40DD1">
        <w:rPr>
          <w:rFonts w:ascii="Arial" w:hAnsi="Arial" w:cs="Arial"/>
          <w:i/>
          <w:iCs/>
          <w:noProof/>
          <w:color w:val="1F497D" w:themeColor="text2"/>
        </w:rPr>
        <w:t>●●</w:t>
      </w:r>
      <w:r>
        <w:rPr>
          <w:i/>
          <w:iCs/>
          <w:noProof/>
        </w:rPr>
        <w:t>’ moderate</w:t>
      </w:r>
      <w:r w:rsidRPr="00143EBC">
        <w:rPr>
          <w:i/>
          <w:iCs/>
          <w:noProof/>
        </w:rPr>
        <w:t xml:space="preserve">; </w:t>
      </w:r>
      <w:r>
        <w:rPr>
          <w:i/>
          <w:iCs/>
          <w:noProof/>
        </w:rPr>
        <w:t>‘</w:t>
      </w:r>
      <w:r w:rsidRPr="00B40DD1">
        <w:rPr>
          <w:rFonts w:ascii="Arial" w:hAnsi="Arial" w:cs="Arial"/>
          <w:i/>
          <w:iCs/>
          <w:noProof/>
          <w:color w:val="1F497D" w:themeColor="text2"/>
        </w:rPr>
        <w:t>●●●</w:t>
      </w:r>
      <w:r>
        <w:rPr>
          <w:i/>
          <w:iCs/>
          <w:noProof/>
        </w:rPr>
        <w:t>’ high</w:t>
      </w:r>
    </w:p>
    <w:tbl>
      <w:tblPr>
        <w:tblW w:w="0" w:type="auto"/>
        <w:tblInd w:w="-993" w:type="dxa"/>
        <w:tblBorders>
          <w:top w:val="single" w:sz="4" w:space="0" w:color="auto"/>
          <w:bottom w:val="single" w:sz="4" w:space="0" w:color="auto"/>
          <w:insideH w:val="single" w:sz="4" w:space="0" w:color="auto"/>
        </w:tblBorders>
        <w:shd w:val="solid" w:color="F2F2F2" w:fill="F2F2F2"/>
        <w:tblCellMar>
          <w:left w:w="0" w:type="dxa"/>
          <w:right w:w="0" w:type="dxa"/>
        </w:tblCellMar>
        <w:tblLook w:val="04A0" w:firstRow="1" w:lastRow="0" w:firstColumn="1" w:lastColumn="0" w:noHBand="0" w:noVBand="1"/>
      </w:tblPr>
      <w:tblGrid>
        <w:gridCol w:w="2708"/>
        <w:gridCol w:w="1227"/>
        <w:gridCol w:w="1069"/>
        <w:gridCol w:w="1452"/>
        <w:gridCol w:w="1284"/>
        <w:gridCol w:w="6295"/>
        <w:gridCol w:w="960"/>
      </w:tblGrid>
      <w:tr w:rsidR="000C1549" w:rsidRPr="00143EBC" w14:paraId="1FBDB57F" w14:textId="77777777" w:rsidTr="00294B49">
        <w:trPr>
          <w:trHeight w:val="955"/>
          <w:tblHeader/>
        </w:trPr>
        <w:tc>
          <w:tcPr>
            <w:tcW w:w="0" w:type="auto"/>
            <w:shd w:val="clear" w:color="auto" w:fill="002395"/>
            <w:tcMar>
              <w:top w:w="15" w:type="dxa"/>
              <w:left w:w="15" w:type="dxa"/>
              <w:bottom w:w="0" w:type="dxa"/>
              <w:right w:w="15" w:type="dxa"/>
            </w:tcMar>
            <w:vAlign w:val="center"/>
            <w:hideMark/>
          </w:tcPr>
          <w:p w14:paraId="215763B7" w14:textId="77777777" w:rsidR="006D5E5B" w:rsidRPr="00143EBC" w:rsidRDefault="006D5E5B">
            <w:pPr>
              <w:pStyle w:val="TableHeading"/>
              <w:spacing w:line="276" w:lineRule="auto"/>
              <w:jc w:val="center"/>
              <w:rPr>
                <w:noProof/>
                <w:sz w:val="16"/>
                <w:szCs w:val="18"/>
              </w:rPr>
            </w:pPr>
            <w:r w:rsidRPr="00143EBC">
              <w:rPr>
                <w:noProof/>
                <w:sz w:val="16"/>
                <w:szCs w:val="18"/>
              </w:rPr>
              <w:t>Impact type</w:t>
            </w:r>
          </w:p>
        </w:tc>
        <w:tc>
          <w:tcPr>
            <w:tcW w:w="0" w:type="auto"/>
            <w:shd w:val="clear" w:color="auto" w:fill="002395"/>
            <w:tcMar>
              <w:top w:w="15" w:type="dxa"/>
              <w:left w:w="15" w:type="dxa"/>
              <w:bottom w:w="0" w:type="dxa"/>
              <w:right w:w="15" w:type="dxa"/>
            </w:tcMar>
            <w:vAlign w:val="center"/>
            <w:hideMark/>
          </w:tcPr>
          <w:p w14:paraId="3099166F" w14:textId="77777777" w:rsidR="006D5E5B" w:rsidRPr="00143EBC" w:rsidRDefault="006D5E5B">
            <w:pPr>
              <w:pStyle w:val="TableHeading"/>
              <w:spacing w:line="276" w:lineRule="auto"/>
              <w:jc w:val="center"/>
              <w:rPr>
                <w:noProof/>
                <w:sz w:val="16"/>
                <w:szCs w:val="18"/>
              </w:rPr>
            </w:pPr>
            <w:r w:rsidRPr="00143EBC">
              <w:rPr>
                <w:noProof/>
                <w:sz w:val="16"/>
                <w:szCs w:val="18"/>
              </w:rPr>
              <w:t>Expected magnitude</w:t>
            </w:r>
          </w:p>
        </w:tc>
        <w:tc>
          <w:tcPr>
            <w:tcW w:w="0" w:type="auto"/>
            <w:shd w:val="clear" w:color="auto" w:fill="002395"/>
            <w:tcMar>
              <w:top w:w="15" w:type="dxa"/>
              <w:left w:w="15" w:type="dxa"/>
              <w:bottom w:w="0" w:type="dxa"/>
              <w:right w:w="15" w:type="dxa"/>
            </w:tcMar>
            <w:vAlign w:val="center"/>
            <w:hideMark/>
          </w:tcPr>
          <w:p w14:paraId="7BFE6794" w14:textId="77777777" w:rsidR="006D5E5B" w:rsidRPr="00143EBC" w:rsidRDefault="006D5E5B">
            <w:pPr>
              <w:pStyle w:val="TableHeading"/>
              <w:spacing w:line="276" w:lineRule="auto"/>
              <w:jc w:val="center"/>
              <w:rPr>
                <w:noProof/>
                <w:sz w:val="16"/>
                <w:szCs w:val="18"/>
              </w:rPr>
            </w:pPr>
            <w:r w:rsidRPr="00143EBC">
              <w:rPr>
                <w:noProof/>
                <w:sz w:val="16"/>
                <w:szCs w:val="18"/>
              </w:rPr>
              <w:t>Likelihood</w:t>
            </w:r>
          </w:p>
        </w:tc>
        <w:tc>
          <w:tcPr>
            <w:tcW w:w="0" w:type="auto"/>
            <w:shd w:val="clear" w:color="auto" w:fill="002395"/>
            <w:vAlign w:val="center"/>
          </w:tcPr>
          <w:p w14:paraId="69D88F00" w14:textId="77777777" w:rsidR="006D5E5B" w:rsidRPr="00143EBC" w:rsidRDefault="006D5E5B">
            <w:pPr>
              <w:pStyle w:val="TableHeading"/>
              <w:spacing w:line="276" w:lineRule="auto"/>
              <w:jc w:val="center"/>
              <w:rPr>
                <w:noProof/>
                <w:sz w:val="16"/>
                <w:szCs w:val="18"/>
              </w:rPr>
            </w:pPr>
            <w:r w:rsidRPr="00143EBC">
              <w:rPr>
                <w:noProof/>
                <w:sz w:val="16"/>
                <w:szCs w:val="18"/>
              </w:rPr>
              <w:t>Relevance for stakeholders</w:t>
            </w:r>
          </w:p>
        </w:tc>
        <w:tc>
          <w:tcPr>
            <w:tcW w:w="0" w:type="auto"/>
            <w:shd w:val="clear" w:color="auto" w:fill="002395"/>
            <w:tcMar>
              <w:top w:w="15" w:type="dxa"/>
              <w:left w:w="15" w:type="dxa"/>
              <w:bottom w:w="0" w:type="dxa"/>
              <w:right w:w="15" w:type="dxa"/>
            </w:tcMar>
            <w:vAlign w:val="center"/>
            <w:hideMark/>
          </w:tcPr>
          <w:p w14:paraId="33F2E51E" w14:textId="77777777" w:rsidR="006D5E5B" w:rsidRPr="00143EBC" w:rsidRDefault="006D5E5B">
            <w:pPr>
              <w:pStyle w:val="TableHeading"/>
              <w:spacing w:line="276" w:lineRule="auto"/>
              <w:jc w:val="center"/>
              <w:rPr>
                <w:noProof/>
                <w:sz w:val="16"/>
                <w:szCs w:val="18"/>
              </w:rPr>
            </w:pPr>
            <w:r>
              <w:rPr>
                <w:noProof/>
                <w:sz w:val="16"/>
                <w:szCs w:val="18"/>
              </w:rPr>
              <w:t>Link with the objectives (</w:t>
            </w:r>
            <w:r>
              <w:rPr>
                <w:rFonts w:ascii="Wingdings" w:eastAsia="Wingdings" w:hAnsi="Wingdings" w:cs="Wingdings"/>
                <w:noProof/>
                <w:sz w:val="16"/>
                <w:szCs w:val="18"/>
              </w:rPr>
              <w:t></w:t>
            </w:r>
            <w:r>
              <w:rPr>
                <w:noProof/>
                <w:sz w:val="16"/>
                <w:szCs w:val="18"/>
              </w:rPr>
              <w:t>)</w:t>
            </w:r>
          </w:p>
        </w:tc>
        <w:tc>
          <w:tcPr>
            <w:tcW w:w="0" w:type="auto"/>
            <w:shd w:val="clear" w:color="auto" w:fill="002395"/>
            <w:tcMar>
              <w:top w:w="15" w:type="dxa"/>
              <w:left w:w="15" w:type="dxa"/>
              <w:bottom w:w="0" w:type="dxa"/>
              <w:right w:w="15" w:type="dxa"/>
            </w:tcMar>
            <w:vAlign w:val="center"/>
            <w:hideMark/>
          </w:tcPr>
          <w:p w14:paraId="084C7BE1" w14:textId="77777777" w:rsidR="006D5E5B" w:rsidRPr="00143EBC" w:rsidRDefault="006D5E5B">
            <w:pPr>
              <w:pStyle w:val="TableHeading"/>
              <w:spacing w:line="276" w:lineRule="auto"/>
              <w:jc w:val="center"/>
              <w:rPr>
                <w:noProof/>
                <w:sz w:val="16"/>
                <w:szCs w:val="18"/>
              </w:rPr>
            </w:pPr>
            <w:r w:rsidRPr="00143EBC">
              <w:rPr>
                <w:noProof/>
                <w:sz w:val="16"/>
                <w:szCs w:val="18"/>
              </w:rPr>
              <w:t>Comment</w:t>
            </w:r>
          </w:p>
        </w:tc>
        <w:tc>
          <w:tcPr>
            <w:tcW w:w="0" w:type="auto"/>
            <w:shd w:val="clear" w:color="auto" w:fill="002395"/>
            <w:vAlign w:val="center"/>
          </w:tcPr>
          <w:p w14:paraId="79392141" w14:textId="77777777" w:rsidR="006D5E5B" w:rsidRPr="00143EBC" w:rsidRDefault="006D5E5B">
            <w:pPr>
              <w:pStyle w:val="TableHeading"/>
              <w:spacing w:line="276" w:lineRule="auto"/>
              <w:jc w:val="center"/>
              <w:rPr>
                <w:noProof/>
                <w:sz w:val="16"/>
                <w:szCs w:val="18"/>
              </w:rPr>
            </w:pPr>
            <w:r>
              <w:rPr>
                <w:noProof/>
                <w:sz w:val="16"/>
                <w:szCs w:val="18"/>
              </w:rPr>
              <w:t>Retained (</w:t>
            </w:r>
            <w:r>
              <w:rPr>
                <w:rFonts w:ascii="Wingdings" w:eastAsia="Wingdings" w:hAnsi="Wingdings" w:cs="Wingdings"/>
                <w:noProof/>
                <w:sz w:val="16"/>
                <w:szCs w:val="18"/>
              </w:rPr>
              <w:t></w:t>
            </w:r>
            <w:r>
              <w:rPr>
                <w:noProof/>
                <w:sz w:val="16"/>
                <w:szCs w:val="18"/>
              </w:rPr>
              <w:t>)</w:t>
            </w:r>
          </w:p>
        </w:tc>
      </w:tr>
      <w:tr w:rsidR="000C1549" w:rsidRPr="00C313A1" w14:paraId="79E2DE37" w14:textId="77777777" w:rsidTr="00294B49">
        <w:trPr>
          <w:trHeight w:val="300"/>
        </w:trPr>
        <w:tc>
          <w:tcPr>
            <w:tcW w:w="0" w:type="auto"/>
            <w:shd w:val="clear" w:color="auto" w:fill="DBE5F1" w:themeFill="accent1" w:themeFillTint="33"/>
            <w:tcMar>
              <w:top w:w="15" w:type="dxa"/>
              <w:left w:w="15" w:type="dxa"/>
              <w:bottom w:w="0" w:type="dxa"/>
              <w:right w:w="15" w:type="dxa"/>
            </w:tcMar>
            <w:vAlign w:val="center"/>
          </w:tcPr>
          <w:p w14:paraId="4BE89EC8" w14:textId="77777777" w:rsidR="006D5E5B" w:rsidRPr="00C313A1" w:rsidRDefault="006D5E5B">
            <w:pPr>
              <w:pStyle w:val="TableText"/>
              <w:spacing w:line="276" w:lineRule="auto"/>
              <w:rPr>
                <w:b/>
                <w:bCs/>
                <w:noProof/>
                <w:color w:val="000000"/>
                <w:sz w:val="16"/>
                <w:szCs w:val="18"/>
              </w:rPr>
            </w:pPr>
            <w:r w:rsidRPr="00C313A1">
              <w:rPr>
                <w:b/>
                <w:bCs/>
                <w:noProof/>
                <w:color w:val="000000"/>
                <w:sz w:val="16"/>
                <w:szCs w:val="18"/>
              </w:rPr>
              <w:t>Economic impacts</w:t>
            </w:r>
          </w:p>
        </w:tc>
        <w:tc>
          <w:tcPr>
            <w:tcW w:w="0" w:type="auto"/>
            <w:shd w:val="clear" w:color="auto" w:fill="DBE5F1" w:themeFill="accent1" w:themeFillTint="33"/>
            <w:tcMar>
              <w:top w:w="15" w:type="dxa"/>
              <w:left w:w="15" w:type="dxa"/>
              <w:bottom w:w="0" w:type="dxa"/>
              <w:right w:w="15" w:type="dxa"/>
            </w:tcMar>
            <w:vAlign w:val="center"/>
          </w:tcPr>
          <w:p w14:paraId="362029BC" w14:textId="77777777" w:rsidR="006D5E5B" w:rsidRPr="00C313A1"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tcMar>
              <w:top w:w="15" w:type="dxa"/>
              <w:left w:w="15" w:type="dxa"/>
              <w:bottom w:w="0" w:type="dxa"/>
              <w:right w:w="15" w:type="dxa"/>
            </w:tcMar>
            <w:vAlign w:val="center"/>
          </w:tcPr>
          <w:p w14:paraId="0AEDEB4A" w14:textId="77777777" w:rsidR="006D5E5B" w:rsidRPr="00C313A1" w:rsidRDefault="006D5E5B">
            <w:pPr>
              <w:pStyle w:val="TableText"/>
              <w:spacing w:line="276" w:lineRule="auto"/>
              <w:rPr>
                <w:rFonts w:ascii="Arial" w:hAnsi="Arial" w:cs="Arial"/>
                <w:b/>
                <w:bCs/>
                <w:i/>
                <w:iCs/>
                <w:noProof/>
                <w:color w:val="1F497D" w:themeColor="text2"/>
              </w:rPr>
            </w:pPr>
          </w:p>
        </w:tc>
        <w:tc>
          <w:tcPr>
            <w:tcW w:w="0" w:type="auto"/>
            <w:shd w:val="clear" w:color="auto" w:fill="DBE5F1" w:themeFill="accent1" w:themeFillTint="33"/>
            <w:vAlign w:val="center"/>
          </w:tcPr>
          <w:p w14:paraId="64682F20" w14:textId="77777777" w:rsidR="006D5E5B" w:rsidRPr="00C313A1" w:rsidRDefault="006D5E5B">
            <w:pPr>
              <w:pStyle w:val="TableText"/>
              <w:spacing w:line="276" w:lineRule="auto"/>
              <w:rPr>
                <w:rFonts w:ascii="Arial" w:hAnsi="Arial" w:cs="Arial"/>
                <w:b/>
                <w:bCs/>
                <w:i/>
                <w:iCs/>
                <w:noProof/>
                <w:color w:val="1F497D" w:themeColor="text2"/>
              </w:rPr>
            </w:pPr>
          </w:p>
        </w:tc>
        <w:tc>
          <w:tcPr>
            <w:tcW w:w="0" w:type="auto"/>
            <w:shd w:val="clear" w:color="auto" w:fill="DBE5F1" w:themeFill="accent1" w:themeFillTint="33"/>
            <w:tcMar>
              <w:top w:w="15" w:type="dxa"/>
              <w:left w:w="15" w:type="dxa"/>
              <w:bottom w:w="0" w:type="dxa"/>
              <w:right w:w="15" w:type="dxa"/>
            </w:tcMar>
            <w:vAlign w:val="center"/>
          </w:tcPr>
          <w:p w14:paraId="0BE4D624" w14:textId="77777777" w:rsidR="006D5E5B" w:rsidRPr="00C313A1" w:rsidRDefault="006D5E5B">
            <w:pPr>
              <w:pStyle w:val="TableText"/>
              <w:spacing w:line="276" w:lineRule="auto"/>
              <w:rPr>
                <w:b/>
                <w:bCs/>
                <w:noProof/>
                <w:color w:val="002395"/>
                <w:sz w:val="16"/>
                <w:szCs w:val="18"/>
              </w:rPr>
            </w:pPr>
          </w:p>
        </w:tc>
        <w:tc>
          <w:tcPr>
            <w:tcW w:w="0" w:type="auto"/>
            <w:shd w:val="clear" w:color="auto" w:fill="DBE5F1" w:themeFill="accent1" w:themeFillTint="33"/>
            <w:tcMar>
              <w:top w:w="15" w:type="dxa"/>
              <w:left w:w="15" w:type="dxa"/>
              <w:bottom w:w="0" w:type="dxa"/>
              <w:right w:w="15" w:type="dxa"/>
            </w:tcMar>
            <w:vAlign w:val="center"/>
          </w:tcPr>
          <w:p w14:paraId="64F7CBB0" w14:textId="77777777" w:rsidR="006D5E5B" w:rsidRPr="00C313A1" w:rsidRDefault="006D5E5B">
            <w:pPr>
              <w:pStyle w:val="TableText"/>
              <w:spacing w:line="276" w:lineRule="auto"/>
              <w:rPr>
                <w:b/>
                <w:bCs/>
                <w:noProof/>
                <w:color w:val="auto"/>
                <w:sz w:val="16"/>
                <w:szCs w:val="18"/>
              </w:rPr>
            </w:pPr>
          </w:p>
        </w:tc>
        <w:tc>
          <w:tcPr>
            <w:tcW w:w="0" w:type="auto"/>
            <w:tcBorders>
              <w:bottom w:val="single" w:sz="4" w:space="0" w:color="auto"/>
            </w:tcBorders>
            <w:shd w:val="clear" w:color="auto" w:fill="DBE5F1" w:themeFill="accent1" w:themeFillTint="33"/>
            <w:vAlign w:val="center"/>
          </w:tcPr>
          <w:p w14:paraId="114E0A03" w14:textId="77777777" w:rsidR="006D5E5B" w:rsidRPr="00C313A1" w:rsidRDefault="006D5E5B">
            <w:pPr>
              <w:pStyle w:val="TableText"/>
              <w:spacing w:line="276" w:lineRule="auto"/>
              <w:jc w:val="center"/>
              <w:rPr>
                <w:b/>
                <w:bCs/>
                <w:noProof/>
                <w:color w:val="auto"/>
                <w:sz w:val="16"/>
                <w:szCs w:val="18"/>
              </w:rPr>
            </w:pPr>
          </w:p>
        </w:tc>
      </w:tr>
      <w:tr w:rsidR="000C1549" w:rsidRPr="00143EBC" w14:paraId="01E15176"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hideMark/>
          </w:tcPr>
          <w:p w14:paraId="3FC0DA2F" w14:textId="77777777" w:rsidR="00012A60" w:rsidRPr="00414C36" w:rsidRDefault="00012A60">
            <w:pPr>
              <w:pStyle w:val="Bullet1"/>
              <w:numPr>
                <w:ilvl w:val="0"/>
                <w:numId w:val="0"/>
              </w:numPr>
              <w:spacing w:line="276" w:lineRule="auto"/>
              <w:ind w:left="340"/>
              <w:rPr>
                <w:noProof/>
                <w:sz w:val="18"/>
                <w:szCs w:val="18"/>
              </w:rPr>
            </w:pPr>
            <w:r>
              <w:rPr>
                <w:noProof/>
              </w:rPr>
              <w:t>Conduct of business / Ease of doing business</w:t>
            </w:r>
          </w:p>
          <w:p w14:paraId="647F1291" w14:textId="77777777" w:rsidR="00012A60" w:rsidRPr="00143EBC" w:rsidRDefault="00012A60">
            <w:pPr>
              <w:pStyle w:val="TableText"/>
              <w:spacing w:line="276" w:lineRule="auto"/>
              <w:rPr>
                <w:rFonts w:ascii="Wingdings" w:hAnsi="Wingdings"/>
                <w:noProof/>
                <w:color w:val="002395"/>
                <w:sz w:val="16"/>
                <w:szCs w:val="18"/>
              </w:rPr>
            </w:pPr>
          </w:p>
        </w:tc>
        <w:tc>
          <w:tcPr>
            <w:tcW w:w="0" w:type="auto"/>
            <w:shd w:val="clear" w:color="auto" w:fill="F2F2F2" w:themeFill="background1" w:themeFillShade="F2"/>
            <w:tcMar>
              <w:top w:w="15" w:type="dxa"/>
              <w:left w:w="15" w:type="dxa"/>
              <w:bottom w:w="0" w:type="dxa"/>
              <w:right w:w="15" w:type="dxa"/>
            </w:tcMar>
            <w:vAlign w:val="center"/>
          </w:tcPr>
          <w:p w14:paraId="79F8282D" w14:textId="77777777" w:rsidR="00012A60" w:rsidRPr="00143EBC" w:rsidRDefault="00012A60">
            <w:pPr>
              <w:pStyle w:val="TableText"/>
              <w:spacing w:line="276" w:lineRule="auto"/>
              <w:rPr>
                <w:noProof/>
                <w:color w:val="002395"/>
                <w:sz w:val="16"/>
                <w:szCs w:val="18"/>
              </w:rPr>
            </w:pPr>
            <w:r w:rsidRPr="003750E1">
              <w:rPr>
                <w:rFonts w:ascii="Arial" w:hAnsi="Arial" w:cs="Arial"/>
                <w:i/>
                <w:iCs/>
                <w:noProof/>
                <w:color w:val="1F497D" w:themeColor="text2"/>
              </w:rPr>
              <w:t>●●●</w:t>
            </w:r>
          </w:p>
        </w:tc>
        <w:tc>
          <w:tcPr>
            <w:tcW w:w="0" w:type="auto"/>
            <w:shd w:val="clear" w:color="auto" w:fill="F2F2F2" w:themeFill="background1" w:themeFillShade="F2"/>
            <w:tcMar>
              <w:top w:w="15" w:type="dxa"/>
              <w:left w:w="15" w:type="dxa"/>
              <w:bottom w:w="0" w:type="dxa"/>
              <w:right w:w="15" w:type="dxa"/>
            </w:tcMar>
            <w:vAlign w:val="center"/>
          </w:tcPr>
          <w:p w14:paraId="402A4EF1" w14:textId="77777777" w:rsidR="00012A60" w:rsidRPr="00143EBC" w:rsidRDefault="00012A60">
            <w:pPr>
              <w:pStyle w:val="TableText"/>
              <w:spacing w:line="276" w:lineRule="auto"/>
              <w:rPr>
                <w:noProof/>
                <w:color w:val="002395"/>
                <w:sz w:val="16"/>
                <w:szCs w:val="18"/>
              </w:rPr>
            </w:pPr>
            <w:r w:rsidRPr="002C6AE3">
              <w:rPr>
                <w:rFonts w:ascii="Arial" w:hAnsi="Arial" w:cs="Arial"/>
                <w:i/>
                <w:iCs/>
                <w:noProof/>
                <w:color w:val="1F497D" w:themeColor="text2"/>
              </w:rPr>
              <w:t>●●●</w:t>
            </w:r>
          </w:p>
        </w:tc>
        <w:tc>
          <w:tcPr>
            <w:tcW w:w="0" w:type="auto"/>
            <w:shd w:val="clear" w:color="auto" w:fill="F2F2F2" w:themeFill="background1" w:themeFillShade="F2"/>
            <w:vAlign w:val="center"/>
          </w:tcPr>
          <w:p w14:paraId="3223527C" w14:textId="77777777" w:rsidR="00012A60" w:rsidRDefault="00012A60">
            <w:pPr>
              <w:pStyle w:val="TableText"/>
              <w:spacing w:line="276" w:lineRule="auto"/>
              <w:rPr>
                <w:noProof/>
                <w:color w:val="002395"/>
                <w:sz w:val="16"/>
                <w:szCs w:val="18"/>
              </w:rPr>
            </w:pPr>
            <w:r w:rsidRPr="002C6AE3">
              <w:rPr>
                <w:rFonts w:ascii="Arial" w:hAnsi="Arial" w:cs="Arial"/>
                <w:i/>
                <w:iCs/>
                <w:noProof/>
                <w:color w:val="1F497D" w:themeColor="text2"/>
              </w:rPr>
              <w:t>●●●</w:t>
            </w:r>
          </w:p>
        </w:tc>
        <w:tc>
          <w:tcPr>
            <w:tcW w:w="0" w:type="auto"/>
            <w:shd w:val="clear" w:color="auto" w:fill="F2F2F2" w:themeFill="background1" w:themeFillShade="F2"/>
            <w:tcMar>
              <w:top w:w="15" w:type="dxa"/>
              <w:left w:w="15" w:type="dxa"/>
              <w:bottom w:w="0" w:type="dxa"/>
              <w:right w:w="15" w:type="dxa"/>
            </w:tcMar>
            <w:vAlign w:val="center"/>
          </w:tcPr>
          <w:p w14:paraId="10203E36" w14:textId="77777777" w:rsidR="00012A60" w:rsidRPr="00143EBC" w:rsidRDefault="00012A60">
            <w:pPr>
              <w:pStyle w:val="TableText"/>
              <w:spacing w:line="276" w:lineRule="auto"/>
              <w:rPr>
                <w:noProof/>
                <w:color w:val="002395"/>
                <w:sz w:val="16"/>
                <w:szCs w:val="18"/>
              </w:rPr>
            </w:pPr>
            <w:r w:rsidRPr="002C6AE3">
              <w:rPr>
                <w:rFonts w:ascii="Wingdings" w:eastAsia="Wingdings" w:hAnsi="Wingdings" w:cs="Wingdings"/>
                <w:noProof/>
                <w:color w:val="002395"/>
                <w:sz w:val="24"/>
                <w:szCs w:val="28"/>
              </w:rPr>
              <w:t></w:t>
            </w:r>
          </w:p>
        </w:tc>
        <w:tc>
          <w:tcPr>
            <w:tcW w:w="0" w:type="auto"/>
            <w:shd w:val="clear" w:color="auto" w:fill="F2F2F2" w:themeFill="background1" w:themeFillShade="F2"/>
            <w:tcMar>
              <w:top w:w="15" w:type="dxa"/>
              <w:left w:w="15" w:type="dxa"/>
              <w:bottom w:w="0" w:type="dxa"/>
              <w:right w:w="15" w:type="dxa"/>
            </w:tcMar>
            <w:vAlign w:val="center"/>
          </w:tcPr>
          <w:p w14:paraId="3FFF44F4" w14:textId="68C7B806" w:rsidR="00012A60" w:rsidRPr="006567F6" w:rsidRDefault="00012A60">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 xml:space="preserve">The initiative is expected to affect how companies conduct cross-border business by shaping the clarity, transparency and predictability of the legal framework under which they are set-up and operate in the EU. The availability of a single, coherent corporate legal framework can reduce the need for country-specific legal interpretation, lower perceived regulatory risk and simplify </w:t>
            </w:r>
            <w:r w:rsidR="00E51549" w:rsidRPr="006567F6">
              <w:rPr>
                <w:rFonts w:eastAsia="Times New Roman" w:cs="Times New Roman"/>
                <w:noProof/>
                <w:color w:val="auto"/>
                <w:szCs w:val="20"/>
                <w:lang w:eastAsia="nl-BE"/>
              </w:rPr>
              <w:t>companies</w:t>
            </w:r>
            <w:r w:rsidRPr="006567F6">
              <w:rPr>
                <w:rFonts w:eastAsia="Times New Roman" w:cs="Times New Roman"/>
                <w:noProof/>
                <w:color w:val="auto"/>
                <w:szCs w:val="20"/>
                <w:lang w:eastAsia="nl-BE"/>
              </w:rPr>
              <w:t>’ interaction with different national legal systems. These effects influence firms’ ability to enter cross-border markets, scale their operations across Member States and, where relevant, adapt or exit business activities.</w:t>
            </w:r>
          </w:p>
          <w:p w14:paraId="3F052C57" w14:textId="7E808C71" w:rsidR="00012A60" w:rsidRPr="006567F6" w:rsidRDefault="00012A60">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 xml:space="preserve">While </w:t>
            </w:r>
            <w:r w:rsidR="00E51549" w:rsidRPr="006567F6">
              <w:rPr>
                <w:rFonts w:eastAsia="Times New Roman" w:cs="Times New Roman"/>
                <w:noProof/>
                <w:color w:val="auto"/>
                <w:szCs w:val="20"/>
                <w:lang w:eastAsia="nl-BE"/>
              </w:rPr>
              <w:t>companies</w:t>
            </w:r>
            <w:r w:rsidRPr="006567F6">
              <w:rPr>
                <w:rFonts w:eastAsia="Times New Roman" w:cs="Times New Roman"/>
                <w:noProof/>
                <w:color w:val="auto"/>
                <w:szCs w:val="20"/>
                <w:lang w:eastAsia="nl-BE"/>
              </w:rPr>
              <w:t xml:space="preserve"> may face some initial familiarisation or adjustment efforts when operating under the 28th regime legal framework, longer-term efficiency gains are expected through clearer legal pathways and reduced complexity for businesses active in more than one Member State. These effects are particularly relevant for </w:t>
            </w:r>
            <w:r w:rsidR="00E51549" w:rsidRPr="006567F6">
              <w:rPr>
                <w:rFonts w:eastAsia="Times New Roman" w:cs="Times New Roman"/>
                <w:noProof/>
                <w:color w:val="auto"/>
                <w:szCs w:val="20"/>
                <w:lang w:eastAsia="nl-BE"/>
              </w:rPr>
              <w:t>companies</w:t>
            </w:r>
            <w:r w:rsidRPr="006567F6">
              <w:rPr>
                <w:rFonts w:eastAsia="Times New Roman" w:cs="Times New Roman"/>
                <w:noProof/>
                <w:color w:val="auto"/>
                <w:szCs w:val="20"/>
                <w:lang w:eastAsia="nl-BE"/>
              </w:rPr>
              <w:t xml:space="preserve"> with limited legal and administrative capacity, notably SMEs, for which complexity and uncertainty constitute proportionally higher barriers to cross-border activity.</w:t>
            </w:r>
          </w:p>
          <w:p w14:paraId="4482EE6E" w14:textId="165DFB7B" w:rsidR="00012A60" w:rsidRPr="006567F6" w:rsidRDefault="00012A60">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 xml:space="preserve">These conduct-of-business effects are closely linked to broader changes in the usability of the regulatory framework and are therefore best assessed as part of the priority impact </w:t>
            </w:r>
            <w:r w:rsidRPr="006567F6">
              <w:rPr>
                <w:rFonts w:eastAsia="Times New Roman" w:cs="Times New Roman"/>
                <w:b/>
                <w:bCs/>
                <w:noProof/>
                <w:color w:val="auto"/>
                <w:szCs w:val="20"/>
                <w:lang w:eastAsia="nl-BE"/>
              </w:rPr>
              <w:t>“Ease of doing business”</w:t>
            </w:r>
            <w:r w:rsidRPr="006567F6">
              <w:rPr>
                <w:rFonts w:eastAsia="Times New Roman" w:cs="Times New Roman"/>
                <w:noProof/>
                <w:color w:val="auto"/>
                <w:szCs w:val="20"/>
                <w:lang w:eastAsia="nl-BE"/>
              </w:rPr>
              <w:t>, which captures how the initiative affects firms’ practical ability and willingness to operate in the Single Market. The impact is therefore retained but not assessed as a standalone impact.</w:t>
            </w:r>
          </w:p>
          <w:p w14:paraId="6E01D038" w14:textId="77777777" w:rsidR="00012A60" w:rsidRPr="009E21B2" w:rsidRDefault="00012A60">
            <w:pPr>
              <w:pStyle w:val="TableText"/>
              <w:spacing w:line="276" w:lineRule="auto"/>
              <w:ind w:left="0"/>
              <w:jc w:val="both"/>
              <w:rPr>
                <w:noProof/>
                <w:color w:val="002395"/>
                <w:szCs w:val="20"/>
              </w:rPr>
            </w:pPr>
          </w:p>
        </w:tc>
        <w:tc>
          <w:tcPr>
            <w:tcW w:w="0" w:type="auto"/>
            <w:shd w:val="clear" w:color="auto" w:fill="D6E3BC" w:themeFill="accent3" w:themeFillTint="66"/>
            <w:vAlign w:val="center"/>
          </w:tcPr>
          <w:p w14:paraId="569DE183" w14:textId="77777777" w:rsidR="00012A60" w:rsidRPr="00EA5E62" w:rsidRDefault="00012A60">
            <w:pPr>
              <w:pStyle w:val="TableText"/>
              <w:spacing w:line="276" w:lineRule="auto"/>
              <w:jc w:val="center"/>
              <w:rPr>
                <w:noProof/>
                <w:color w:val="auto"/>
                <w:sz w:val="16"/>
                <w:szCs w:val="18"/>
              </w:rPr>
            </w:pPr>
            <w:r w:rsidRPr="002C6AE3">
              <w:rPr>
                <w:rFonts w:ascii="Wingdings" w:eastAsia="Wingdings" w:hAnsi="Wingdings" w:cs="Wingdings"/>
                <w:noProof/>
                <w:color w:val="002395"/>
                <w:sz w:val="24"/>
                <w:szCs w:val="28"/>
              </w:rPr>
              <w:t></w:t>
            </w:r>
          </w:p>
        </w:tc>
      </w:tr>
      <w:tr w:rsidR="000C1549" w:rsidRPr="00143EBC" w14:paraId="02D0155B"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7B9AEE79" w14:textId="77777777" w:rsidR="00DF767E" w:rsidRPr="00414C36" w:rsidRDefault="00DF767E">
            <w:pPr>
              <w:pStyle w:val="Bullet1"/>
              <w:numPr>
                <w:ilvl w:val="0"/>
                <w:numId w:val="0"/>
              </w:numPr>
              <w:spacing w:line="276" w:lineRule="auto"/>
              <w:ind w:left="680" w:hanging="340"/>
              <w:rPr>
                <w:noProof/>
                <w:sz w:val="18"/>
                <w:szCs w:val="18"/>
              </w:rPr>
            </w:pPr>
            <w:r>
              <w:rPr>
                <w:noProof/>
              </w:rPr>
              <w:t>Position of SMEs</w:t>
            </w:r>
          </w:p>
          <w:p w14:paraId="01BB904C" w14:textId="77777777" w:rsidR="00DF767E" w:rsidRDefault="00DF767E">
            <w:pPr>
              <w:pStyle w:val="Bullet1"/>
              <w:numPr>
                <w:ilvl w:val="0"/>
                <w:numId w:val="0"/>
              </w:numPr>
              <w:spacing w:line="276" w:lineRule="auto"/>
              <w:ind w:left="340"/>
              <w:rPr>
                <w:noProof/>
              </w:rPr>
            </w:pPr>
          </w:p>
        </w:tc>
        <w:tc>
          <w:tcPr>
            <w:tcW w:w="0" w:type="auto"/>
            <w:shd w:val="clear" w:color="auto" w:fill="F2F2F2" w:themeFill="background1" w:themeFillShade="F2"/>
            <w:tcMar>
              <w:top w:w="15" w:type="dxa"/>
              <w:left w:w="15" w:type="dxa"/>
              <w:bottom w:w="0" w:type="dxa"/>
              <w:right w:w="15" w:type="dxa"/>
            </w:tcMar>
            <w:vAlign w:val="center"/>
          </w:tcPr>
          <w:p w14:paraId="139B5C4C" w14:textId="77777777" w:rsidR="00DF767E" w:rsidRPr="002C6AE3" w:rsidRDefault="00DF767E">
            <w:pPr>
              <w:pStyle w:val="TableText"/>
              <w:spacing w:line="276" w:lineRule="auto"/>
              <w:rPr>
                <w:rFonts w:ascii="Arial" w:hAnsi="Arial" w:cs="Arial"/>
                <w:noProof/>
                <w:color w:val="1F497D" w:themeColor="text2"/>
              </w:rPr>
            </w:pPr>
            <w:r w:rsidRPr="002C6AE3">
              <w:rPr>
                <w:rFonts w:ascii="Arial" w:hAnsi="Arial" w:cs="Arial"/>
                <w:i/>
                <w:iCs/>
                <w:noProof/>
                <w:color w:val="1F497D" w:themeColor="text2"/>
              </w:rPr>
              <w:t>●●</w:t>
            </w:r>
          </w:p>
        </w:tc>
        <w:tc>
          <w:tcPr>
            <w:tcW w:w="0" w:type="auto"/>
            <w:shd w:val="clear" w:color="auto" w:fill="F2F2F2" w:themeFill="background1" w:themeFillShade="F2"/>
            <w:tcMar>
              <w:top w:w="15" w:type="dxa"/>
              <w:left w:w="15" w:type="dxa"/>
              <w:bottom w:w="0" w:type="dxa"/>
              <w:right w:w="15" w:type="dxa"/>
            </w:tcMar>
            <w:vAlign w:val="center"/>
          </w:tcPr>
          <w:p w14:paraId="4A309B4A" w14:textId="77777777" w:rsidR="00DF767E" w:rsidRPr="002C6AE3" w:rsidRDefault="00DF767E">
            <w:pPr>
              <w:pStyle w:val="TableText"/>
              <w:spacing w:line="276" w:lineRule="auto"/>
              <w:rPr>
                <w:rFonts w:ascii="Arial" w:hAnsi="Arial" w:cs="Arial"/>
                <w:i/>
                <w:iCs/>
                <w:noProof/>
                <w:color w:val="1F497D" w:themeColor="text2"/>
              </w:rPr>
            </w:pPr>
            <w:r w:rsidRPr="002C6AE3">
              <w:rPr>
                <w:rFonts w:ascii="Arial" w:hAnsi="Arial" w:cs="Arial"/>
                <w:i/>
                <w:iCs/>
                <w:noProof/>
                <w:color w:val="1F497D" w:themeColor="text2"/>
              </w:rPr>
              <w:t>●●</w:t>
            </w:r>
          </w:p>
        </w:tc>
        <w:tc>
          <w:tcPr>
            <w:tcW w:w="0" w:type="auto"/>
            <w:shd w:val="clear" w:color="auto" w:fill="F2F2F2" w:themeFill="background1" w:themeFillShade="F2"/>
            <w:vAlign w:val="center"/>
          </w:tcPr>
          <w:p w14:paraId="45C241E5" w14:textId="77777777" w:rsidR="00DF767E" w:rsidRPr="002C6AE3" w:rsidRDefault="00DF767E">
            <w:pPr>
              <w:pStyle w:val="TableText"/>
              <w:spacing w:line="276" w:lineRule="auto"/>
              <w:rPr>
                <w:rFonts w:ascii="Arial" w:hAnsi="Arial" w:cs="Arial"/>
                <w:i/>
                <w:iCs/>
                <w:noProof/>
                <w:color w:val="1F497D" w:themeColor="text2"/>
              </w:rPr>
            </w:pPr>
            <w:r w:rsidRPr="002C6AE3">
              <w:rPr>
                <w:rFonts w:ascii="Arial" w:hAnsi="Arial" w:cs="Arial"/>
                <w:i/>
                <w:iCs/>
                <w:noProof/>
                <w:color w:val="1F497D" w:themeColor="text2"/>
              </w:rPr>
              <w:t>●●●</w:t>
            </w:r>
          </w:p>
        </w:tc>
        <w:tc>
          <w:tcPr>
            <w:tcW w:w="0" w:type="auto"/>
            <w:shd w:val="clear" w:color="auto" w:fill="F2F2F2" w:themeFill="background1" w:themeFillShade="F2"/>
            <w:tcMar>
              <w:top w:w="15" w:type="dxa"/>
              <w:left w:w="15" w:type="dxa"/>
              <w:bottom w:w="0" w:type="dxa"/>
              <w:right w:w="15" w:type="dxa"/>
            </w:tcMar>
            <w:vAlign w:val="center"/>
          </w:tcPr>
          <w:p w14:paraId="4866CA21" w14:textId="77777777" w:rsidR="00DF767E" w:rsidRPr="00143EBC" w:rsidRDefault="00DF767E">
            <w:pPr>
              <w:pStyle w:val="TableText"/>
              <w:spacing w:line="276" w:lineRule="auto"/>
              <w:rPr>
                <w:noProof/>
                <w:color w:val="002395"/>
                <w:sz w:val="16"/>
                <w:szCs w:val="18"/>
              </w:rPr>
            </w:pPr>
            <w:r w:rsidRPr="002C6AE3">
              <w:rPr>
                <w:rFonts w:ascii="Wingdings" w:eastAsia="Wingdings" w:hAnsi="Wingdings" w:cs="Wingdings"/>
                <w:noProof/>
                <w:color w:val="002395"/>
                <w:sz w:val="24"/>
                <w:szCs w:val="28"/>
              </w:rPr>
              <w:t></w:t>
            </w:r>
          </w:p>
        </w:tc>
        <w:tc>
          <w:tcPr>
            <w:tcW w:w="0" w:type="auto"/>
            <w:shd w:val="clear" w:color="auto" w:fill="F2F2F2" w:themeFill="background1" w:themeFillShade="F2"/>
            <w:tcMar>
              <w:top w:w="15" w:type="dxa"/>
              <w:left w:w="15" w:type="dxa"/>
              <w:bottom w:w="0" w:type="dxa"/>
              <w:right w:w="15" w:type="dxa"/>
            </w:tcMar>
            <w:vAlign w:val="center"/>
          </w:tcPr>
          <w:p w14:paraId="2A6528F5" w14:textId="7A008F61" w:rsidR="00DF767E" w:rsidRPr="009E21B2" w:rsidRDefault="00DF767E">
            <w:pPr>
              <w:spacing w:before="100" w:beforeAutospacing="1" w:after="100" w:afterAutospacing="1"/>
              <w:jc w:val="both"/>
              <w:rPr>
                <w:rFonts w:eastAsia="Times New Roman" w:cs="Times New Roman"/>
                <w:noProof/>
                <w:color w:val="auto"/>
                <w:lang w:eastAsia="nl-BE"/>
              </w:rPr>
            </w:pPr>
            <w:r w:rsidRPr="009E21B2">
              <w:rPr>
                <w:rFonts w:eastAsia="Times New Roman" w:cs="Times New Roman"/>
                <w:noProof/>
                <w:color w:val="auto"/>
                <w:lang w:eastAsia="nl-BE"/>
              </w:rPr>
              <w:t xml:space="preserve">This initiative is expected to have differentiated effects across </w:t>
            </w:r>
            <w:r w:rsidR="00E51549" w:rsidRPr="009E21B2">
              <w:rPr>
                <w:rFonts w:eastAsia="Times New Roman" w:cs="Times New Roman"/>
                <w:noProof/>
                <w:color w:val="auto"/>
                <w:lang w:eastAsia="nl-BE"/>
              </w:rPr>
              <w:t>companies</w:t>
            </w:r>
            <w:r w:rsidRPr="009E21B2">
              <w:rPr>
                <w:rFonts w:eastAsia="Times New Roman" w:cs="Times New Roman"/>
                <w:noProof/>
                <w:color w:val="auto"/>
                <w:lang w:eastAsia="nl-BE"/>
              </w:rPr>
              <w:t xml:space="preserve"> depending on their size, in particular aiming to make it easier for SMEs and </w:t>
            </w:r>
            <w:r w:rsidR="75E25A44" w:rsidRPr="605EB176">
              <w:rPr>
                <w:rFonts w:eastAsia="Times New Roman" w:cs="Times New Roman"/>
                <w:noProof/>
                <w:color w:val="auto"/>
                <w:lang w:eastAsia="nl-BE"/>
              </w:rPr>
              <w:t>s</w:t>
            </w:r>
            <w:r w:rsidR="5B6D60E0" w:rsidRPr="605EB176">
              <w:rPr>
                <w:rFonts w:eastAsia="Times New Roman" w:cs="Times New Roman"/>
                <w:noProof/>
                <w:color w:val="auto"/>
                <w:lang w:eastAsia="nl-BE"/>
              </w:rPr>
              <w:t>tartup</w:t>
            </w:r>
            <w:r w:rsidR="75E25A44" w:rsidRPr="605EB176">
              <w:rPr>
                <w:rFonts w:eastAsia="Times New Roman" w:cs="Times New Roman"/>
                <w:noProof/>
                <w:color w:val="auto"/>
                <w:lang w:eastAsia="nl-BE"/>
              </w:rPr>
              <w:t>s</w:t>
            </w:r>
            <w:r w:rsidRPr="009E21B2">
              <w:rPr>
                <w:rFonts w:eastAsia="Times New Roman" w:cs="Times New Roman"/>
                <w:noProof/>
                <w:color w:val="auto"/>
                <w:lang w:eastAsia="nl-BE"/>
              </w:rPr>
              <w:t>, which typically face higher relative legal, administrative and compliance constraints when setting up, operating or scaling across borders. Measures aimed at increasing clarity, predictability and coherence of the legal framework are therefore likely to affect SMEs more strongly, as these firms often lack in-house legal and compliance capacity and are more sensitive to regulatory complexity and uncertainty.</w:t>
            </w:r>
          </w:p>
          <w:p w14:paraId="743772DE" w14:textId="5706F1A5" w:rsidR="00DF767E" w:rsidRPr="009E21B2" w:rsidRDefault="00DF767E">
            <w:pPr>
              <w:spacing w:before="100" w:beforeAutospacing="1" w:after="100" w:afterAutospacing="1"/>
              <w:jc w:val="both"/>
              <w:rPr>
                <w:rFonts w:eastAsia="Times New Roman" w:cs="Times New Roman"/>
                <w:noProof/>
                <w:color w:val="auto"/>
                <w:lang w:eastAsia="nl-BE"/>
              </w:rPr>
            </w:pPr>
            <w:r w:rsidRPr="009E21B2">
              <w:rPr>
                <w:rFonts w:eastAsia="Times New Roman" w:cs="Times New Roman"/>
                <w:noProof/>
                <w:color w:val="auto"/>
                <w:lang w:eastAsia="nl-BE"/>
              </w:rPr>
              <w:t>The initiative is expected to reduce barriers to cross-border activity for SMEs by simplifying the legal environment in which they operate, lowering relative entry and transaction costs, and facilitating cross-border scaling and restructuring. These effects may enhance SME competitiveness and expand opportunities for growth across the Single Market. At the same time, potential challenges related to familiarisation with the new framework or to digital and legal approach in adopting the regime need to be considered to ensure proportionality.</w:t>
            </w:r>
          </w:p>
          <w:p w14:paraId="0E3EA138" w14:textId="75DE2D16" w:rsidR="00DF767E" w:rsidRPr="009E21B2" w:rsidRDefault="00DF767E">
            <w:pPr>
              <w:spacing w:before="100" w:beforeAutospacing="1" w:after="100" w:afterAutospacing="1"/>
              <w:jc w:val="both"/>
              <w:rPr>
                <w:rFonts w:eastAsia="Times New Roman" w:cs="Times New Roman"/>
                <w:noProof/>
                <w:color w:val="auto"/>
                <w:lang w:eastAsia="nl-BE"/>
              </w:rPr>
            </w:pPr>
            <w:r w:rsidRPr="009E21B2">
              <w:rPr>
                <w:rFonts w:eastAsia="Times New Roman" w:cs="Times New Roman"/>
                <w:noProof/>
                <w:color w:val="auto"/>
                <w:lang w:eastAsia="nl-BE"/>
              </w:rPr>
              <w:t>SME-related effects are therefore assessed as an integral, cross-cutting dimension of the analysis rather than as a separate impact category. They are explicitly addressed within the relevant priority impacts, notably Ease of doing business, Administrative burden and adjustment costs, and Ease of attracting investment, which capture the main channels through which the position of SMEs is affected. As changes in the position of SMEs result from these impacts rather than constituting an independent transmission channel, the impact is retained through clustering and not assessed as a standalone impact.</w:t>
            </w:r>
          </w:p>
          <w:p w14:paraId="15506390" w14:textId="77777777" w:rsidR="00DF767E" w:rsidRDefault="00DF767E">
            <w:pPr>
              <w:pStyle w:val="TableText"/>
              <w:spacing w:line="276" w:lineRule="auto"/>
              <w:jc w:val="both"/>
              <w:rPr>
                <w:noProof/>
              </w:rPr>
            </w:pPr>
          </w:p>
        </w:tc>
        <w:tc>
          <w:tcPr>
            <w:tcW w:w="0" w:type="auto"/>
            <w:shd w:val="clear" w:color="auto" w:fill="D6E3BC" w:themeFill="accent3" w:themeFillTint="66"/>
            <w:vAlign w:val="center"/>
          </w:tcPr>
          <w:p w14:paraId="480855CB" w14:textId="77777777" w:rsidR="00DF767E" w:rsidRPr="002C6AE3" w:rsidRDefault="00DF767E">
            <w:pPr>
              <w:pStyle w:val="TableText"/>
              <w:spacing w:line="276" w:lineRule="auto"/>
              <w:jc w:val="center"/>
              <w:rPr>
                <w:noProof/>
                <w:color w:val="002395"/>
                <w:sz w:val="24"/>
                <w:szCs w:val="28"/>
              </w:rPr>
            </w:pPr>
            <w:r w:rsidRPr="002C6AE3">
              <w:rPr>
                <w:rFonts w:ascii="Wingdings" w:eastAsia="Wingdings" w:hAnsi="Wingdings" w:cs="Wingdings"/>
                <w:noProof/>
                <w:color w:val="002395"/>
                <w:sz w:val="24"/>
                <w:szCs w:val="28"/>
              </w:rPr>
              <w:t></w:t>
            </w:r>
          </w:p>
        </w:tc>
      </w:tr>
      <w:tr w:rsidR="000C1549" w:rsidRPr="00143EBC" w14:paraId="3D13180A"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199F6BF3" w14:textId="77777777" w:rsidR="007C7C1C" w:rsidRPr="00C87494" w:rsidRDefault="007C7C1C" w:rsidP="004A7F9D">
            <w:pPr>
              <w:spacing w:line="276" w:lineRule="auto"/>
              <w:ind w:left="124"/>
              <w:contextualSpacing/>
              <w:rPr>
                <w:noProof/>
                <w:sz w:val="18"/>
                <w:szCs w:val="18"/>
              </w:rPr>
            </w:pPr>
            <w:r w:rsidRPr="00C87494">
              <w:rPr>
                <w:noProof/>
              </w:rPr>
              <w:t>Administrative burdens on business</w:t>
            </w:r>
          </w:p>
          <w:p w14:paraId="13FD05E6" w14:textId="77777777" w:rsidR="007C7C1C" w:rsidRDefault="007C7C1C">
            <w:pPr>
              <w:pStyle w:val="Bullet1"/>
              <w:numPr>
                <w:ilvl w:val="0"/>
                <w:numId w:val="0"/>
              </w:numPr>
              <w:spacing w:line="276" w:lineRule="auto"/>
              <w:ind w:left="680" w:hanging="340"/>
              <w:rPr>
                <w:noProof/>
              </w:rPr>
            </w:pPr>
          </w:p>
        </w:tc>
        <w:tc>
          <w:tcPr>
            <w:tcW w:w="0" w:type="auto"/>
            <w:shd w:val="clear" w:color="auto" w:fill="F2F2F2" w:themeFill="background1" w:themeFillShade="F2"/>
            <w:tcMar>
              <w:top w:w="15" w:type="dxa"/>
              <w:left w:w="15" w:type="dxa"/>
              <w:bottom w:w="0" w:type="dxa"/>
              <w:right w:w="15" w:type="dxa"/>
            </w:tcMar>
          </w:tcPr>
          <w:p w14:paraId="6CD7FA01" w14:textId="77777777" w:rsidR="007C7C1C" w:rsidRPr="002C6AE3" w:rsidRDefault="007C7C1C">
            <w:pPr>
              <w:pStyle w:val="TableText"/>
              <w:spacing w:line="276" w:lineRule="auto"/>
              <w:rPr>
                <w:rFonts w:ascii="Arial" w:hAnsi="Arial" w:cs="Arial"/>
                <w:i/>
                <w:iCs/>
                <w:noProof/>
                <w:color w:val="1F497D" w:themeColor="text2"/>
              </w:rPr>
            </w:pPr>
            <w:r w:rsidRPr="00136092">
              <w:rPr>
                <w:noProof/>
              </w:rPr>
              <w:t>●●</w:t>
            </w:r>
          </w:p>
        </w:tc>
        <w:tc>
          <w:tcPr>
            <w:tcW w:w="0" w:type="auto"/>
            <w:shd w:val="clear" w:color="auto" w:fill="F2F2F2" w:themeFill="background1" w:themeFillShade="F2"/>
            <w:tcMar>
              <w:top w:w="15" w:type="dxa"/>
              <w:left w:w="15" w:type="dxa"/>
              <w:bottom w:w="0" w:type="dxa"/>
              <w:right w:w="15" w:type="dxa"/>
            </w:tcMar>
          </w:tcPr>
          <w:p w14:paraId="349EF412" w14:textId="77777777" w:rsidR="007C7C1C" w:rsidRPr="002C6AE3" w:rsidRDefault="007C7C1C">
            <w:pPr>
              <w:pStyle w:val="TableText"/>
              <w:spacing w:line="276" w:lineRule="auto"/>
              <w:rPr>
                <w:rFonts w:ascii="Arial" w:hAnsi="Arial" w:cs="Arial"/>
                <w:i/>
                <w:iCs/>
                <w:noProof/>
                <w:color w:val="1F497D" w:themeColor="text2"/>
              </w:rPr>
            </w:pPr>
            <w:r w:rsidRPr="00136092">
              <w:rPr>
                <w:noProof/>
              </w:rPr>
              <w:t>●●</w:t>
            </w:r>
          </w:p>
        </w:tc>
        <w:tc>
          <w:tcPr>
            <w:tcW w:w="0" w:type="auto"/>
            <w:shd w:val="clear" w:color="auto" w:fill="F2F2F2" w:themeFill="background1" w:themeFillShade="F2"/>
          </w:tcPr>
          <w:p w14:paraId="51062C2E" w14:textId="77777777" w:rsidR="007C7C1C" w:rsidRPr="002C6AE3" w:rsidRDefault="007C7C1C">
            <w:pPr>
              <w:pStyle w:val="TableText"/>
              <w:spacing w:line="276" w:lineRule="auto"/>
              <w:rPr>
                <w:rFonts w:ascii="Arial" w:hAnsi="Arial" w:cs="Arial"/>
                <w:i/>
                <w:iCs/>
                <w:noProof/>
                <w:color w:val="1F497D" w:themeColor="text2"/>
              </w:rPr>
            </w:pPr>
            <w:r w:rsidRPr="00136092">
              <w:rPr>
                <w:noProof/>
              </w:rPr>
              <w:t>●●●</w:t>
            </w:r>
          </w:p>
        </w:tc>
        <w:tc>
          <w:tcPr>
            <w:tcW w:w="0" w:type="auto"/>
            <w:shd w:val="clear" w:color="auto" w:fill="F2F2F2" w:themeFill="background1" w:themeFillShade="F2"/>
            <w:tcMar>
              <w:top w:w="15" w:type="dxa"/>
              <w:left w:w="15" w:type="dxa"/>
              <w:bottom w:w="0" w:type="dxa"/>
              <w:right w:w="15" w:type="dxa"/>
            </w:tcMar>
          </w:tcPr>
          <w:p w14:paraId="74D9D226" w14:textId="77777777" w:rsidR="007C7C1C" w:rsidRPr="002C6AE3" w:rsidRDefault="007C7C1C">
            <w:pPr>
              <w:pStyle w:val="TableText"/>
              <w:spacing w:line="276" w:lineRule="auto"/>
              <w:rPr>
                <w:noProof/>
                <w:color w:val="002395"/>
                <w:sz w:val="24"/>
                <w:szCs w:val="28"/>
              </w:rPr>
            </w:pPr>
            <w:r w:rsidRPr="002C6AE3">
              <w:rPr>
                <w:rFonts w:ascii="Wingdings" w:eastAsia="Wingdings" w:hAnsi="Wingdings" w:cs="Wingdings"/>
                <w:noProof/>
                <w:color w:val="002395"/>
                <w:sz w:val="24"/>
                <w:szCs w:val="28"/>
              </w:rPr>
              <w:t></w:t>
            </w:r>
          </w:p>
        </w:tc>
        <w:tc>
          <w:tcPr>
            <w:tcW w:w="0" w:type="auto"/>
            <w:shd w:val="clear" w:color="auto" w:fill="F2F2F2" w:themeFill="background1" w:themeFillShade="F2"/>
            <w:tcMar>
              <w:top w:w="15" w:type="dxa"/>
              <w:left w:w="15" w:type="dxa"/>
              <w:bottom w:w="0" w:type="dxa"/>
              <w:right w:w="15" w:type="dxa"/>
            </w:tcMar>
            <w:vAlign w:val="center"/>
          </w:tcPr>
          <w:p w14:paraId="635FFC28" w14:textId="640C3746" w:rsidR="007C7C1C" w:rsidRPr="006567F6" w:rsidRDefault="007C7C1C">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The 28th regime corporate proposal is expected to generate direct compliance effects for businesses and is therefore retained as a separate impact type. The initiative may reduce administrative burdens over time through common rules and more streamlined and digital procedures related to company registration, operation, closure and attracting investment. In particular, the use of harmonised templates and digital processes has the potential to reduce repetitive information obligations and simplify interactions with public authorities, including through the application of the once-only principle, and also with investors.</w:t>
            </w:r>
          </w:p>
          <w:p w14:paraId="74596A36" w14:textId="0F87159F" w:rsidR="007C7C1C" w:rsidRPr="006567F6" w:rsidRDefault="007C7C1C">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 xml:space="preserve">At the same time, the initiative is expected to entail </w:t>
            </w:r>
            <w:r w:rsidRPr="006567F6">
              <w:rPr>
                <w:rFonts w:eastAsia="Times New Roman" w:cs="Times New Roman"/>
                <w:b/>
                <w:bCs/>
                <w:noProof/>
                <w:color w:val="auto"/>
                <w:szCs w:val="20"/>
                <w:lang w:eastAsia="nl-BE"/>
              </w:rPr>
              <w:t>adjustment costs</w:t>
            </w:r>
            <w:r w:rsidRPr="006567F6">
              <w:rPr>
                <w:rFonts w:eastAsia="Times New Roman" w:cs="Times New Roman"/>
                <w:noProof/>
                <w:color w:val="auto"/>
                <w:szCs w:val="20"/>
                <w:lang w:eastAsia="nl-BE"/>
              </w:rPr>
              <w:t>, notably one-off costs linked to familiarisation with the new framework, adaptation of internal processes, and potential changes to reporting or documentation practices, especially during the initial implementation phase. These adjustment costs are relevant for assessing proportionality and may affect firms differently depending on their size and administrative capacity.</w:t>
            </w:r>
          </w:p>
          <w:p w14:paraId="254C9819" w14:textId="77777777" w:rsidR="007C7C1C" w:rsidRPr="006567F6" w:rsidRDefault="007C7C1C">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Assessing administrative burden together with adjustment costs allows for a balanced assessment of both short-term compliance efforts and longer-term efficiency gains, in line with the Better Regulation Toolbox. Behavioural or strategic business decisions are excluded from this impact and addressed under other impacts. The impact is therefore retained as a standalone priority impact to ensure transparency regarding direct compliance costs and to avoid overlap with broader usability effects captured under Ease of doing business.</w:t>
            </w:r>
          </w:p>
          <w:p w14:paraId="0673C1F0" w14:textId="77777777" w:rsidR="007C7C1C" w:rsidRDefault="007C7C1C">
            <w:pPr>
              <w:pStyle w:val="TableText"/>
              <w:spacing w:line="276" w:lineRule="auto"/>
              <w:jc w:val="both"/>
              <w:rPr>
                <w:noProof/>
              </w:rPr>
            </w:pPr>
          </w:p>
        </w:tc>
        <w:tc>
          <w:tcPr>
            <w:tcW w:w="0" w:type="auto"/>
            <w:shd w:val="clear" w:color="auto" w:fill="D6E3BC" w:themeFill="accent3" w:themeFillTint="66"/>
            <w:vAlign w:val="center"/>
          </w:tcPr>
          <w:p w14:paraId="21E3D946" w14:textId="77777777" w:rsidR="007C7C1C" w:rsidRPr="002C6AE3" w:rsidRDefault="007C7C1C">
            <w:pPr>
              <w:pStyle w:val="TableText"/>
              <w:spacing w:line="276" w:lineRule="auto"/>
              <w:jc w:val="center"/>
              <w:rPr>
                <w:noProof/>
                <w:color w:val="002395"/>
                <w:sz w:val="24"/>
                <w:szCs w:val="28"/>
              </w:rPr>
            </w:pPr>
            <w:r w:rsidRPr="002C6AE3">
              <w:rPr>
                <w:rFonts w:ascii="Wingdings" w:eastAsia="Wingdings" w:hAnsi="Wingdings" w:cs="Wingdings"/>
                <w:noProof/>
                <w:color w:val="002395"/>
                <w:sz w:val="24"/>
                <w:szCs w:val="28"/>
              </w:rPr>
              <w:t></w:t>
            </w:r>
          </w:p>
        </w:tc>
      </w:tr>
      <w:tr w:rsidR="000C1549" w:rsidRPr="00143EBC" w14:paraId="50D18E2A" w14:textId="77777777" w:rsidTr="00294B49">
        <w:trPr>
          <w:trHeight w:val="986"/>
        </w:trPr>
        <w:tc>
          <w:tcPr>
            <w:tcW w:w="0" w:type="auto"/>
            <w:shd w:val="clear" w:color="auto" w:fill="F2F2F2" w:themeFill="background1" w:themeFillShade="F2"/>
            <w:tcMar>
              <w:top w:w="15" w:type="dxa"/>
              <w:left w:w="15" w:type="dxa"/>
              <w:bottom w:w="0" w:type="dxa"/>
              <w:right w:w="15" w:type="dxa"/>
            </w:tcMar>
            <w:vAlign w:val="center"/>
          </w:tcPr>
          <w:p w14:paraId="2D5C1F4F" w14:textId="75A0D05E" w:rsidR="00E66D2F" w:rsidRPr="00C87494" w:rsidRDefault="00E66D2F" w:rsidP="004A7F9D">
            <w:pPr>
              <w:pStyle w:val="Bullet1"/>
              <w:numPr>
                <w:ilvl w:val="0"/>
                <w:numId w:val="0"/>
              </w:numPr>
              <w:spacing w:line="276" w:lineRule="auto"/>
              <w:rPr>
                <w:noProof/>
              </w:rPr>
            </w:pPr>
            <w:r>
              <w:rPr>
                <w:noProof/>
              </w:rPr>
              <w:t xml:space="preserve">Sectoral competitiveness, trade, and investment flows </w:t>
            </w:r>
            <w:r w:rsidR="00270E9A">
              <w:rPr>
                <w:noProof/>
              </w:rPr>
              <w:t>/Ease of attracting investment</w:t>
            </w:r>
          </w:p>
        </w:tc>
        <w:tc>
          <w:tcPr>
            <w:tcW w:w="0" w:type="auto"/>
            <w:shd w:val="clear" w:color="auto" w:fill="F2F2F2" w:themeFill="background1" w:themeFillShade="F2"/>
            <w:tcMar>
              <w:top w:w="15" w:type="dxa"/>
              <w:left w:w="15" w:type="dxa"/>
              <w:bottom w:w="0" w:type="dxa"/>
              <w:right w:w="15" w:type="dxa"/>
            </w:tcMar>
          </w:tcPr>
          <w:p w14:paraId="4229F111" w14:textId="77777777" w:rsidR="00E66D2F" w:rsidRPr="003750E1" w:rsidRDefault="00E66D2F">
            <w:pPr>
              <w:pStyle w:val="TableText"/>
              <w:spacing w:line="276" w:lineRule="auto"/>
              <w:rPr>
                <w:noProof/>
              </w:rPr>
            </w:pPr>
            <w:r w:rsidRPr="003750E1">
              <w:rPr>
                <w:noProof/>
              </w:rPr>
              <w:t>●</w:t>
            </w:r>
          </w:p>
        </w:tc>
        <w:tc>
          <w:tcPr>
            <w:tcW w:w="0" w:type="auto"/>
            <w:shd w:val="clear" w:color="auto" w:fill="F2F2F2" w:themeFill="background1" w:themeFillShade="F2"/>
            <w:tcMar>
              <w:top w:w="15" w:type="dxa"/>
              <w:left w:w="15" w:type="dxa"/>
              <w:bottom w:w="0" w:type="dxa"/>
              <w:right w:w="15" w:type="dxa"/>
            </w:tcMar>
          </w:tcPr>
          <w:p w14:paraId="5E11EB12" w14:textId="77777777" w:rsidR="00E66D2F" w:rsidRPr="003750E1" w:rsidRDefault="00E66D2F">
            <w:pPr>
              <w:pStyle w:val="TableText"/>
              <w:spacing w:line="276" w:lineRule="auto"/>
              <w:rPr>
                <w:noProof/>
              </w:rPr>
            </w:pPr>
            <w:r w:rsidRPr="003750E1">
              <w:rPr>
                <w:noProof/>
              </w:rPr>
              <w:t>●</w:t>
            </w:r>
          </w:p>
        </w:tc>
        <w:tc>
          <w:tcPr>
            <w:tcW w:w="0" w:type="auto"/>
            <w:shd w:val="clear" w:color="auto" w:fill="F2F2F2" w:themeFill="background1" w:themeFillShade="F2"/>
          </w:tcPr>
          <w:p w14:paraId="7073FFD5" w14:textId="77777777" w:rsidR="00E66D2F" w:rsidRPr="003750E1" w:rsidRDefault="00E66D2F">
            <w:pPr>
              <w:pStyle w:val="TableText"/>
              <w:spacing w:line="276" w:lineRule="auto"/>
              <w:rPr>
                <w:noProof/>
              </w:rPr>
            </w:pPr>
            <w:r w:rsidRPr="003750E1">
              <w:rPr>
                <w:noProof/>
              </w:rPr>
              <w:t>●</w:t>
            </w:r>
          </w:p>
        </w:tc>
        <w:tc>
          <w:tcPr>
            <w:tcW w:w="0" w:type="auto"/>
            <w:shd w:val="clear" w:color="auto" w:fill="F2F2F2" w:themeFill="background1" w:themeFillShade="F2"/>
            <w:tcMar>
              <w:top w:w="15" w:type="dxa"/>
              <w:left w:w="15" w:type="dxa"/>
              <w:bottom w:w="0" w:type="dxa"/>
              <w:right w:w="15" w:type="dxa"/>
            </w:tcMar>
          </w:tcPr>
          <w:p w14:paraId="2D2A769B" w14:textId="77777777" w:rsidR="00E66D2F" w:rsidRPr="002C6AE3" w:rsidRDefault="00E66D2F">
            <w:pPr>
              <w:pStyle w:val="TableText"/>
              <w:spacing w:line="276" w:lineRule="auto"/>
              <w:rPr>
                <w:noProof/>
                <w:color w:val="002395"/>
                <w:sz w:val="24"/>
                <w:szCs w:val="28"/>
              </w:rPr>
            </w:pPr>
          </w:p>
        </w:tc>
        <w:tc>
          <w:tcPr>
            <w:tcW w:w="0" w:type="auto"/>
            <w:shd w:val="clear" w:color="auto" w:fill="F2F2F2" w:themeFill="background1" w:themeFillShade="F2"/>
            <w:tcMar>
              <w:top w:w="15" w:type="dxa"/>
              <w:left w:w="15" w:type="dxa"/>
              <w:bottom w:w="0" w:type="dxa"/>
              <w:right w:w="15" w:type="dxa"/>
            </w:tcMar>
            <w:vAlign w:val="center"/>
          </w:tcPr>
          <w:p w14:paraId="5114E542" w14:textId="055B3578" w:rsidR="00E66D2F" w:rsidRPr="006567F6" w:rsidRDefault="00E66D2F">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 xml:space="preserve">This initiative is expected to affect the competitive conditions under which </w:t>
            </w:r>
            <w:r w:rsidR="00C62BD2" w:rsidRPr="006567F6">
              <w:rPr>
                <w:rFonts w:eastAsia="Times New Roman" w:cs="Times New Roman"/>
                <w:noProof/>
                <w:color w:val="auto"/>
                <w:szCs w:val="20"/>
                <w:lang w:eastAsia="nl-BE"/>
              </w:rPr>
              <w:t>companies</w:t>
            </w:r>
            <w:r w:rsidRPr="006567F6">
              <w:rPr>
                <w:rFonts w:eastAsia="Times New Roman" w:cs="Times New Roman"/>
                <w:noProof/>
                <w:color w:val="auto"/>
                <w:szCs w:val="20"/>
                <w:lang w:eastAsia="nl-BE"/>
              </w:rPr>
              <w:t xml:space="preserve"> operate across the Single Market by reducing legal fragmentation and lowering barriers to cross-border establishment and expansion. By offering a single, coherent legal framework, the initiative may facilitate </w:t>
            </w:r>
            <w:r w:rsidR="00C62BD2" w:rsidRPr="006567F6">
              <w:rPr>
                <w:rFonts w:eastAsia="Times New Roman" w:cs="Times New Roman"/>
                <w:noProof/>
                <w:color w:val="auto"/>
                <w:szCs w:val="20"/>
                <w:lang w:eastAsia="nl-BE"/>
              </w:rPr>
              <w:t xml:space="preserve">company </w:t>
            </w:r>
            <w:r w:rsidRPr="006567F6">
              <w:rPr>
                <w:rFonts w:eastAsia="Times New Roman" w:cs="Times New Roman"/>
                <w:noProof/>
                <w:color w:val="auto"/>
                <w:szCs w:val="20"/>
                <w:lang w:eastAsia="nl-BE"/>
              </w:rPr>
              <w:t xml:space="preserve">creation, cross-border scaling and restructuring, particularly for </w:t>
            </w:r>
            <w:r w:rsidR="00C62BD2" w:rsidRPr="006567F6">
              <w:rPr>
                <w:rFonts w:eastAsia="Times New Roman" w:cs="Times New Roman"/>
                <w:noProof/>
                <w:color w:val="auto"/>
                <w:szCs w:val="20"/>
                <w:lang w:eastAsia="nl-BE"/>
              </w:rPr>
              <w:t>companies</w:t>
            </w:r>
            <w:r w:rsidRPr="006567F6">
              <w:rPr>
                <w:rFonts w:eastAsia="Times New Roman" w:cs="Times New Roman"/>
                <w:noProof/>
                <w:color w:val="auto"/>
                <w:szCs w:val="20"/>
                <w:lang w:eastAsia="nl-BE"/>
              </w:rPr>
              <w:t xml:space="preserve"> active in innovative or internationally oriented sectors for which regulatory complexity currently represents a constraint.</w:t>
            </w:r>
          </w:p>
          <w:p w14:paraId="29AC03B9" w14:textId="171EEC53" w:rsidR="00E66D2F" w:rsidRPr="006567F6" w:rsidRDefault="00E66D2F">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 xml:space="preserve">The initiative is not expected to directly influence aggregate trade volumes or macro-economic investment flows. Instead, its effects are expected to materialise through improvements in the business environment, notably increased legal clarity, predictability and reduced need for country-specific adaptations. These changes may enhance </w:t>
            </w:r>
            <w:r w:rsidR="00C62BD2" w:rsidRPr="006567F6">
              <w:rPr>
                <w:rFonts w:eastAsia="Times New Roman" w:cs="Times New Roman"/>
                <w:noProof/>
                <w:color w:val="auto"/>
                <w:szCs w:val="20"/>
                <w:lang w:eastAsia="nl-BE"/>
              </w:rPr>
              <w:t>companies</w:t>
            </w:r>
            <w:r w:rsidRPr="006567F6">
              <w:rPr>
                <w:rFonts w:eastAsia="Times New Roman" w:cs="Times New Roman"/>
                <w:noProof/>
                <w:color w:val="auto"/>
                <w:szCs w:val="20"/>
                <w:lang w:eastAsia="nl-BE"/>
              </w:rPr>
              <w:t>’ competitive positioning and make the EU a more attractive location for entrepreneurial activity and firm growth, including by strengthening incentives for companies to establish and scale operations within the EU rather than outside it.</w:t>
            </w:r>
          </w:p>
          <w:p w14:paraId="47179584" w14:textId="074451D1" w:rsidR="00E66D2F" w:rsidRPr="006567F6" w:rsidRDefault="00E66D2F">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 xml:space="preserve">Effects related to </w:t>
            </w:r>
            <w:r w:rsidR="00C62BD2" w:rsidRPr="006567F6">
              <w:rPr>
                <w:rFonts w:eastAsia="Times New Roman" w:cs="Times New Roman"/>
                <w:noProof/>
                <w:color w:val="auto"/>
                <w:szCs w:val="20"/>
                <w:lang w:eastAsia="nl-BE"/>
              </w:rPr>
              <w:t>companies</w:t>
            </w:r>
            <w:r w:rsidRPr="006567F6">
              <w:rPr>
                <w:rFonts w:eastAsia="Times New Roman" w:cs="Times New Roman"/>
                <w:noProof/>
                <w:color w:val="auto"/>
                <w:szCs w:val="20"/>
                <w:lang w:eastAsia="nl-BE"/>
              </w:rPr>
              <w:t xml:space="preserve">’ ability to attract investors and support cross-border growth strategies are addressed under the priority impact </w:t>
            </w:r>
            <w:r w:rsidRPr="006567F6">
              <w:rPr>
                <w:rFonts w:eastAsia="Times New Roman" w:cs="Times New Roman"/>
                <w:b/>
                <w:noProof/>
                <w:color w:val="auto"/>
                <w:szCs w:val="20"/>
                <w:lang w:eastAsia="nl-BE"/>
              </w:rPr>
              <w:t>Ease of attracting investment</w:t>
            </w:r>
            <w:r w:rsidRPr="006567F6">
              <w:rPr>
                <w:rFonts w:eastAsia="Times New Roman" w:cs="Times New Roman"/>
                <w:noProof/>
                <w:color w:val="auto"/>
                <w:szCs w:val="20"/>
                <w:lang w:eastAsia="nl-BE"/>
              </w:rPr>
              <w:t xml:space="preserve"> </w:t>
            </w:r>
            <w:r w:rsidR="00EF2C51" w:rsidRPr="006567F6">
              <w:rPr>
                <w:rFonts w:eastAsia="Times New Roman" w:cs="Times New Roman"/>
                <w:noProof/>
                <w:color w:val="auto"/>
                <w:szCs w:val="20"/>
                <w:lang w:eastAsia="nl-BE"/>
              </w:rPr>
              <w:t>(explained under the section on rationale for the selection and ordering of priority impacts below)</w:t>
            </w:r>
            <w:r w:rsidRPr="006567F6">
              <w:rPr>
                <w:rFonts w:eastAsia="Times New Roman" w:cs="Times New Roman"/>
                <w:noProof/>
                <w:color w:val="auto"/>
                <w:szCs w:val="20"/>
                <w:lang w:eastAsia="nl-BE"/>
              </w:rPr>
              <w:t xml:space="preserve">, focusing on firm-level incentives and perceived regulatory risk rather than capital availability. </w:t>
            </w:r>
          </w:p>
          <w:p w14:paraId="6ECFC377" w14:textId="63037AF1" w:rsidR="00E66D2F" w:rsidRPr="006567F6" w:rsidRDefault="00E66D2F">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 xml:space="preserve">Structural effects linked to reduced regulatory fragmentation and improved cross-border market access are addressed under </w:t>
            </w:r>
            <w:r w:rsidRPr="006567F6">
              <w:rPr>
                <w:rFonts w:eastAsia="Times New Roman" w:cs="Times New Roman"/>
                <w:b/>
                <w:bCs/>
                <w:noProof/>
                <w:color w:val="auto"/>
                <w:szCs w:val="20"/>
                <w:lang w:eastAsia="nl-BE"/>
              </w:rPr>
              <w:t>Functioning of the internal market and competitiveness</w:t>
            </w:r>
            <w:r w:rsidRPr="006567F6">
              <w:rPr>
                <w:rFonts w:eastAsia="Times New Roman" w:cs="Times New Roman"/>
                <w:noProof/>
                <w:color w:val="auto"/>
                <w:szCs w:val="20"/>
                <w:lang w:eastAsia="nl-BE"/>
              </w:rPr>
              <w:t xml:space="preserve">, capturing system-level integration outcomes rather than </w:t>
            </w:r>
            <w:r w:rsidR="00C62BD2" w:rsidRPr="006567F6">
              <w:rPr>
                <w:rFonts w:eastAsia="Times New Roman" w:cs="Times New Roman"/>
                <w:noProof/>
                <w:color w:val="auto"/>
                <w:szCs w:val="20"/>
                <w:lang w:eastAsia="nl-BE"/>
              </w:rPr>
              <w:t>company</w:t>
            </w:r>
            <w:r w:rsidRPr="006567F6">
              <w:rPr>
                <w:rFonts w:eastAsia="Times New Roman" w:cs="Times New Roman"/>
                <w:noProof/>
                <w:color w:val="auto"/>
                <w:szCs w:val="20"/>
                <w:lang w:eastAsia="nl-BE"/>
              </w:rPr>
              <w:t>-specific usability or cost effects.</w:t>
            </w:r>
          </w:p>
          <w:p w14:paraId="069F0961" w14:textId="0B6693BB" w:rsidR="00E66D2F" w:rsidRPr="00593B96" w:rsidRDefault="3DEC2AFB" w:rsidP="25CA0D31">
            <w:pPr>
              <w:pStyle w:val="TableText"/>
              <w:spacing w:line="276" w:lineRule="auto"/>
              <w:ind w:left="0"/>
              <w:jc w:val="both"/>
              <w:rPr>
                <w:noProof/>
                <w:lang w:val="en-US"/>
              </w:rPr>
            </w:pPr>
            <w:r w:rsidRPr="25CA0D31">
              <w:rPr>
                <w:rFonts w:eastAsia="Times New Roman" w:cs="Times New Roman"/>
                <w:noProof/>
                <w:color w:val="auto"/>
                <w:lang w:eastAsia="nl-BE"/>
              </w:rPr>
              <w:t>As these competitiveness-related effects are closely interlinked with broader changes in the usability of the regulatory framework and with internal market integration, they are not assessed as a standalone impact. Instead, they are retained through clustering under the relevant priority impacts, ensuring a proportionate and analytically coherent assessment while avoiding speculative macro-economic analysis.</w:t>
            </w:r>
          </w:p>
        </w:tc>
        <w:tc>
          <w:tcPr>
            <w:tcW w:w="0" w:type="auto"/>
            <w:shd w:val="clear" w:color="auto" w:fill="D6E3BC" w:themeFill="accent3" w:themeFillTint="66"/>
            <w:vAlign w:val="center"/>
          </w:tcPr>
          <w:p w14:paraId="1E3776B4" w14:textId="77777777" w:rsidR="00E66D2F" w:rsidRPr="002C6AE3" w:rsidRDefault="00E66D2F">
            <w:pPr>
              <w:pStyle w:val="TableText"/>
              <w:spacing w:line="276" w:lineRule="auto"/>
              <w:jc w:val="center"/>
              <w:rPr>
                <w:noProof/>
                <w:color w:val="002395"/>
                <w:sz w:val="24"/>
                <w:szCs w:val="28"/>
              </w:rPr>
            </w:pPr>
            <w:r w:rsidRPr="002C6AE3">
              <w:rPr>
                <w:rFonts w:ascii="Wingdings" w:eastAsia="Wingdings" w:hAnsi="Wingdings" w:cs="Wingdings"/>
                <w:noProof/>
                <w:color w:val="002395"/>
                <w:sz w:val="24"/>
                <w:szCs w:val="28"/>
              </w:rPr>
              <w:t></w:t>
            </w:r>
          </w:p>
        </w:tc>
      </w:tr>
      <w:tr w:rsidR="000C1549" w:rsidRPr="00143EBC" w14:paraId="67CC365D"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194CEABC" w14:textId="77777777" w:rsidR="001D3700" w:rsidRDefault="001D3700">
            <w:pPr>
              <w:pStyle w:val="Bullet1"/>
              <w:numPr>
                <w:ilvl w:val="0"/>
                <w:numId w:val="0"/>
              </w:numPr>
              <w:spacing w:line="276" w:lineRule="auto"/>
              <w:ind w:left="264"/>
              <w:rPr>
                <w:noProof/>
              </w:rPr>
            </w:pPr>
            <w:r>
              <w:rPr>
                <w:noProof/>
              </w:rPr>
              <w:t>Public authorities (and budgets)</w:t>
            </w:r>
          </w:p>
        </w:tc>
        <w:tc>
          <w:tcPr>
            <w:tcW w:w="0" w:type="auto"/>
            <w:shd w:val="clear" w:color="auto" w:fill="F2F2F2" w:themeFill="background1" w:themeFillShade="F2"/>
            <w:tcMar>
              <w:top w:w="15" w:type="dxa"/>
              <w:left w:w="15" w:type="dxa"/>
              <w:bottom w:w="0" w:type="dxa"/>
              <w:right w:w="15" w:type="dxa"/>
            </w:tcMar>
          </w:tcPr>
          <w:p w14:paraId="36D5EEBC" w14:textId="77777777" w:rsidR="001D3700" w:rsidRPr="00136092" w:rsidRDefault="001D3700">
            <w:pPr>
              <w:pStyle w:val="TableText"/>
              <w:spacing w:line="276" w:lineRule="auto"/>
              <w:rPr>
                <w:noProof/>
              </w:rPr>
            </w:pPr>
            <w:r w:rsidRPr="00136092">
              <w:rPr>
                <w:noProof/>
              </w:rPr>
              <w:t>●●</w:t>
            </w:r>
          </w:p>
        </w:tc>
        <w:tc>
          <w:tcPr>
            <w:tcW w:w="0" w:type="auto"/>
            <w:shd w:val="clear" w:color="auto" w:fill="F2F2F2" w:themeFill="background1" w:themeFillShade="F2"/>
            <w:tcMar>
              <w:top w:w="15" w:type="dxa"/>
              <w:left w:w="15" w:type="dxa"/>
              <w:bottom w:w="0" w:type="dxa"/>
              <w:right w:w="15" w:type="dxa"/>
            </w:tcMar>
          </w:tcPr>
          <w:p w14:paraId="4834843A" w14:textId="77777777" w:rsidR="001D3700" w:rsidRPr="00136092" w:rsidRDefault="001D3700">
            <w:pPr>
              <w:pStyle w:val="TableText"/>
              <w:spacing w:line="276" w:lineRule="auto"/>
              <w:rPr>
                <w:noProof/>
              </w:rPr>
            </w:pPr>
            <w:r w:rsidRPr="00136092">
              <w:rPr>
                <w:noProof/>
              </w:rPr>
              <w:t>●●</w:t>
            </w:r>
          </w:p>
        </w:tc>
        <w:tc>
          <w:tcPr>
            <w:tcW w:w="0" w:type="auto"/>
            <w:shd w:val="clear" w:color="auto" w:fill="F2F2F2" w:themeFill="background1" w:themeFillShade="F2"/>
          </w:tcPr>
          <w:p w14:paraId="21C18E6C" w14:textId="77777777" w:rsidR="001D3700" w:rsidRPr="00136092" w:rsidRDefault="001D3700">
            <w:pPr>
              <w:pStyle w:val="TableText"/>
              <w:spacing w:line="276" w:lineRule="auto"/>
              <w:rPr>
                <w:noProof/>
              </w:rPr>
            </w:pPr>
            <w:r w:rsidRPr="00136092">
              <w:rPr>
                <w:noProof/>
              </w:rPr>
              <w:t>●●●</w:t>
            </w:r>
          </w:p>
        </w:tc>
        <w:tc>
          <w:tcPr>
            <w:tcW w:w="0" w:type="auto"/>
            <w:shd w:val="clear" w:color="auto" w:fill="F2F2F2" w:themeFill="background1" w:themeFillShade="F2"/>
            <w:tcMar>
              <w:top w:w="15" w:type="dxa"/>
              <w:left w:w="15" w:type="dxa"/>
              <w:bottom w:w="0" w:type="dxa"/>
              <w:right w:w="15" w:type="dxa"/>
            </w:tcMar>
          </w:tcPr>
          <w:p w14:paraId="1981878C" w14:textId="77777777" w:rsidR="001D3700" w:rsidRPr="002C6AE3" w:rsidRDefault="001D3700">
            <w:pPr>
              <w:pStyle w:val="TableText"/>
              <w:spacing w:line="276" w:lineRule="auto"/>
              <w:rPr>
                <w:noProof/>
                <w:color w:val="002395"/>
                <w:sz w:val="24"/>
                <w:szCs w:val="28"/>
              </w:rPr>
            </w:pPr>
            <w:r w:rsidRPr="002C6AE3">
              <w:rPr>
                <w:rFonts w:ascii="Wingdings" w:eastAsia="Wingdings" w:hAnsi="Wingdings" w:cs="Wingdings"/>
                <w:noProof/>
                <w:color w:val="002395"/>
                <w:sz w:val="24"/>
                <w:szCs w:val="28"/>
              </w:rPr>
              <w:t></w:t>
            </w:r>
          </w:p>
        </w:tc>
        <w:tc>
          <w:tcPr>
            <w:tcW w:w="0" w:type="auto"/>
            <w:shd w:val="clear" w:color="auto" w:fill="F2F2F2" w:themeFill="background1" w:themeFillShade="F2"/>
            <w:tcMar>
              <w:top w:w="15" w:type="dxa"/>
              <w:left w:w="15" w:type="dxa"/>
              <w:bottom w:w="0" w:type="dxa"/>
              <w:right w:w="15" w:type="dxa"/>
            </w:tcMar>
            <w:vAlign w:val="center"/>
          </w:tcPr>
          <w:p w14:paraId="1939D62F" w14:textId="2BF52E39" w:rsidR="001D3700" w:rsidRPr="006567F6" w:rsidRDefault="001D3700">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This impact type is retained because the implementation of the 28th regime corporate proposal will have administrative and budgetary implications for public authorities. These implications may affect business registers in particular, but also other national authorities involved in company formation, operation or closure, such as for example tax and social security authorities or beneficial ownership registers.</w:t>
            </w:r>
          </w:p>
          <w:p w14:paraId="5ADA981F" w14:textId="77FB0E54" w:rsidR="001D3700" w:rsidRPr="006567F6" w:rsidRDefault="001D3700">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The corporate framework may generate efficiency gains for public authorities through increased digitalisation and the application of the once-only principle, notably by facilitating the transmission of information between business registers, tax and social security authorities and beneficial ownership registers. Over time, this may reduce duplication of administrative tasks and lower operational costs.</w:t>
            </w:r>
          </w:p>
          <w:p w14:paraId="0F0ACF4E" w14:textId="77777777" w:rsidR="001D3700" w:rsidRPr="006567F6" w:rsidRDefault="001D3700">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At the same time, the initiative may entail short-term adjustment costs for public authorities, including the adaptation of IT systems, ensuring interoperability between national registers and other administrative systems, staff training, and the management of a potentially increased volume of company registrations or related procedures. Where deadlines or performance obligations are introduced, this may require additional resources or organisational changes in some administrations.</w:t>
            </w:r>
          </w:p>
          <w:p w14:paraId="2CBFA859" w14:textId="5E4387C9" w:rsidR="001D3700" w:rsidRPr="006567F6" w:rsidRDefault="001D3700">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In addition, the initiative may have distributional effects on some public authorities and on legal professionals involved in company law procedures at national level, including potential changes in fee-based revenues resulting from more digital and streamlined registration processes.</w:t>
            </w:r>
          </w:p>
          <w:p w14:paraId="4FAA1CF9" w14:textId="77777777" w:rsidR="001D3700" w:rsidRPr="006567F6" w:rsidRDefault="001D3700">
            <w:pPr>
              <w:spacing w:before="100" w:beforeAutospacing="1" w:after="100" w:afterAutospacing="1"/>
              <w:jc w:val="both"/>
              <w:rPr>
                <w:rFonts w:eastAsia="Times New Roman" w:cs="Times New Roman"/>
                <w:noProof/>
                <w:color w:val="auto"/>
                <w:szCs w:val="20"/>
                <w:lang w:eastAsia="nl-BE"/>
              </w:rPr>
            </w:pPr>
            <w:r w:rsidRPr="006567F6">
              <w:rPr>
                <w:rFonts w:eastAsia="Times New Roman" w:cs="Times New Roman"/>
                <w:noProof/>
                <w:color w:val="auto"/>
                <w:szCs w:val="20"/>
                <w:lang w:eastAsia="nl-BE"/>
              </w:rPr>
              <w:t>The impact is therefore retained in order to assess both potential cost savings and additional administrative and adjustment costs for public authorities.</w:t>
            </w:r>
          </w:p>
          <w:p w14:paraId="3F7B8B51" w14:textId="77777777" w:rsidR="001D3700" w:rsidRPr="006567F6" w:rsidRDefault="001D3700" w:rsidP="00B017E4">
            <w:pPr>
              <w:pStyle w:val="TableText"/>
              <w:tabs>
                <w:tab w:val="left" w:pos="268"/>
              </w:tabs>
              <w:spacing w:line="276" w:lineRule="auto"/>
              <w:ind w:hanging="113"/>
              <w:jc w:val="both"/>
              <w:rPr>
                <w:rFonts w:cs="Times New Roman"/>
                <w:noProof/>
                <w:szCs w:val="20"/>
              </w:rPr>
            </w:pPr>
            <w:r w:rsidRPr="006567F6">
              <w:rPr>
                <w:rFonts w:cs="Times New Roman"/>
                <w:noProof/>
                <w:szCs w:val="20"/>
              </w:rPr>
              <w:t>These considerations link directly to:</w:t>
            </w:r>
          </w:p>
          <w:p w14:paraId="0F70FADC" w14:textId="56FADF7D" w:rsidR="001D3700" w:rsidRPr="006567F6" w:rsidRDefault="001D3700" w:rsidP="00C4288E">
            <w:pPr>
              <w:pStyle w:val="TableText"/>
              <w:numPr>
                <w:ilvl w:val="0"/>
                <w:numId w:val="17"/>
              </w:numPr>
              <w:tabs>
                <w:tab w:val="left" w:pos="607"/>
              </w:tabs>
              <w:spacing w:line="276" w:lineRule="auto"/>
              <w:ind w:hanging="310"/>
              <w:jc w:val="both"/>
              <w:rPr>
                <w:rFonts w:cs="Times New Roman"/>
                <w:noProof/>
                <w:szCs w:val="20"/>
              </w:rPr>
            </w:pPr>
            <w:r w:rsidRPr="006567F6">
              <w:rPr>
                <w:rFonts w:cs="Times New Roman"/>
                <w:noProof/>
                <w:szCs w:val="20"/>
              </w:rPr>
              <w:t xml:space="preserve">SDG 10 </w:t>
            </w:r>
            <w:r>
              <w:rPr>
                <w:noProof/>
                <w:szCs w:val="20"/>
              </w:rPr>
              <w:t xml:space="preserve">on reducing inequality within and among countries </w:t>
            </w:r>
            <w:r w:rsidRPr="006567F6">
              <w:rPr>
                <w:rFonts w:cs="Times New Roman"/>
                <w:noProof/>
                <w:szCs w:val="20"/>
              </w:rPr>
              <w:t>– by improving administrative capacity to deliver equal access to market entry and reducing regulatory disparities across Member States.</w:t>
            </w:r>
          </w:p>
          <w:p w14:paraId="7C547BBF" w14:textId="2274D688" w:rsidR="001D3700" w:rsidRDefault="001D3700" w:rsidP="00C4288E">
            <w:pPr>
              <w:pStyle w:val="TableText"/>
              <w:numPr>
                <w:ilvl w:val="0"/>
                <w:numId w:val="17"/>
              </w:numPr>
              <w:tabs>
                <w:tab w:val="left" w:pos="268"/>
              </w:tabs>
              <w:spacing w:line="276" w:lineRule="auto"/>
              <w:ind w:hanging="310"/>
              <w:jc w:val="both"/>
              <w:rPr>
                <w:noProof/>
              </w:rPr>
            </w:pPr>
            <w:r w:rsidRPr="006567F6">
              <w:rPr>
                <w:rFonts w:cs="Times New Roman"/>
                <w:noProof/>
                <w:szCs w:val="20"/>
              </w:rPr>
              <w:t xml:space="preserve">SDG 17 </w:t>
            </w:r>
            <w:r>
              <w:rPr>
                <w:noProof/>
                <w:szCs w:val="20"/>
              </w:rPr>
              <w:t>on partnership for the goals</w:t>
            </w:r>
            <w:r>
              <w:rPr>
                <w:rFonts w:cs="Times New Roman"/>
                <w:noProof/>
                <w:szCs w:val="20"/>
              </w:rPr>
              <w:t xml:space="preserve"> </w:t>
            </w:r>
            <w:r w:rsidRPr="006567F6">
              <w:rPr>
                <w:rFonts w:cs="Times New Roman"/>
                <w:noProof/>
                <w:szCs w:val="20"/>
              </w:rPr>
              <w:t>– by strengthening public institutions and digital cooperation frameworks across borders, supporting better governance in the internal market.</w:t>
            </w:r>
          </w:p>
        </w:tc>
        <w:tc>
          <w:tcPr>
            <w:tcW w:w="0" w:type="auto"/>
            <w:shd w:val="clear" w:color="auto" w:fill="D6E3BC" w:themeFill="accent3" w:themeFillTint="66"/>
            <w:vAlign w:val="center"/>
          </w:tcPr>
          <w:p w14:paraId="501C4692" w14:textId="77777777" w:rsidR="001D3700" w:rsidRPr="002C6AE3" w:rsidRDefault="001D3700">
            <w:pPr>
              <w:pStyle w:val="TableText"/>
              <w:spacing w:line="276" w:lineRule="auto"/>
              <w:jc w:val="center"/>
              <w:rPr>
                <w:noProof/>
                <w:color w:val="002395"/>
                <w:sz w:val="24"/>
                <w:szCs w:val="28"/>
              </w:rPr>
            </w:pPr>
            <w:r w:rsidRPr="002C6AE3">
              <w:rPr>
                <w:rFonts w:ascii="Wingdings" w:eastAsia="Wingdings" w:hAnsi="Wingdings" w:cs="Wingdings"/>
                <w:noProof/>
                <w:color w:val="002395"/>
                <w:sz w:val="24"/>
                <w:szCs w:val="28"/>
              </w:rPr>
              <w:t></w:t>
            </w:r>
          </w:p>
        </w:tc>
      </w:tr>
      <w:tr w:rsidR="000C1549" w:rsidRPr="00143EBC" w14:paraId="5DAD51AF" w14:textId="77777777" w:rsidTr="00294B49">
        <w:trPr>
          <w:trHeight w:val="300"/>
        </w:trPr>
        <w:tc>
          <w:tcPr>
            <w:tcW w:w="0" w:type="auto"/>
            <w:shd w:val="clear" w:color="auto" w:fill="DBE5F1" w:themeFill="accent1" w:themeFillTint="33"/>
            <w:tcMar>
              <w:top w:w="15" w:type="dxa"/>
              <w:left w:w="15" w:type="dxa"/>
              <w:bottom w:w="0" w:type="dxa"/>
              <w:right w:w="15" w:type="dxa"/>
            </w:tcMar>
            <w:vAlign w:val="center"/>
          </w:tcPr>
          <w:p w14:paraId="1A63B750" w14:textId="77777777" w:rsidR="006D5E5B" w:rsidRPr="00D952A3" w:rsidRDefault="006D5E5B">
            <w:pPr>
              <w:pStyle w:val="TableText"/>
              <w:spacing w:line="276" w:lineRule="auto"/>
              <w:rPr>
                <w:rFonts w:ascii="Arial" w:hAnsi="Arial" w:cs="Arial"/>
                <w:b/>
                <w:bCs/>
                <w:noProof/>
                <w:color w:val="1F497D" w:themeColor="text2"/>
              </w:rPr>
            </w:pPr>
            <w:r>
              <w:rPr>
                <w:rFonts w:ascii="Arial" w:hAnsi="Arial" w:cs="Arial"/>
                <w:b/>
                <w:bCs/>
                <w:noProof/>
                <w:color w:val="1F497D" w:themeColor="text2"/>
              </w:rPr>
              <w:t>Social Impacts</w:t>
            </w:r>
          </w:p>
        </w:tc>
        <w:tc>
          <w:tcPr>
            <w:tcW w:w="0" w:type="auto"/>
            <w:shd w:val="clear" w:color="auto" w:fill="DBE5F1" w:themeFill="accent1" w:themeFillTint="33"/>
            <w:tcMar>
              <w:top w:w="15" w:type="dxa"/>
              <w:left w:w="15" w:type="dxa"/>
              <w:bottom w:w="0" w:type="dxa"/>
              <w:right w:w="15" w:type="dxa"/>
            </w:tcMar>
            <w:vAlign w:val="center"/>
          </w:tcPr>
          <w:p w14:paraId="7E7C2C36"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tcMar>
              <w:top w:w="15" w:type="dxa"/>
              <w:left w:w="15" w:type="dxa"/>
              <w:bottom w:w="0" w:type="dxa"/>
              <w:right w:w="15" w:type="dxa"/>
            </w:tcMar>
            <w:vAlign w:val="center"/>
          </w:tcPr>
          <w:p w14:paraId="7CB8FDA3"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vAlign w:val="center"/>
          </w:tcPr>
          <w:p w14:paraId="5FE75751"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tcMar>
              <w:top w:w="15" w:type="dxa"/>
              <w:left w:w="15" w:type="dxa"/>
              <w:bottom w:w="0" w:type="dxa"/>
              <w:right w:w="15" w:type="dxa"/>
            </w:tcMar>
            <w:vAlign w:val="center"/>
          </w:tcPr>
          <w:p w14:paraId="490D9711"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tcMar>
              <w:top w:w="15" w:type="dxa"/>
              <w:left w:w="15" w:type="dxa"/>
              <w:bottom w:w="0" w:type="dxa"/>
              <w:right w:w="15" w:type="dxa"/>
            </w:tcMar>
            <w:vAlign w:val="center"/>
          </w:tcPr>
          <w:p w14:paraId="29693C72" w14:textId="77777777" w:rsidR="006D5E5B" w:rsidRPr="00D34CAE" w:rsidRDefault="006D5E5B">
            <w:pPr>
              <w:pStyle w:val="TableText"/>
              <w:spacing w:line="276" w:lineRule="auto"/>
              <w:rPr>
                <w:rFonts w:cs="Arial"/>
                <w:b/>
                <w:bCs/>
                <w:noProof/>
                <w:color w:val="1F497D" w:themeColor="text2"/>
                <w:szCs w:val="20"/>
              </w:rPr>
            </w:pPr>
          </w:p>
        </w:tc>
        <w:tc>
          <w:tcPr>
            <w:tcW w:w="0" w:type="auto"/>
            <w:shd w:val="clear" w:color="auto" w:fill="DBE5F1" w:themeFill="accent1" w:themeFillTint="33"/>
            <w:vAlign w:val="center"/>
          </w:tcPr>
          <w:p w14:paraId="4540B004" w14:textId="77777777" w:rsidR="006D5E5B" w:rsidRPr="00D952A3" w:rsidRDefault="006D5E5B">
            <w:pPr>
              <w:pStyle w:val="TableText"/>
              <w:spacing w:line="276" w:lineRule="auto"/>
              <w:rPr>
                <w:rFonts w:ascii="Arial" w:hAnsi="Arial" w:cs="Arial"/>
                <w:b/>
                <w:bCs/>
                <w:noProof/>
                <w:color w:val="1F497D" w:themeColor="text2"/>
              </w:rPr>
            </w:pPr>
          </w:p>
        </w:tc>
      </w:tr>
      <w:tr w:rsidR="000C1549" w:rsidRPr="00143EBC" w14:paraId="4F3F26C6"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194E80C8" w14:textId="77777777" w:rsidR="006E2DB6" w:rsidRPr="00C261ED" w:rsidRDefault="006E2DB6">
            <w:pPr>
              <w:pStyle w:val="TableText"/>
              <w:spacing w:line="276" w:lineRule="auto"/>
              <w:ind w:left="264"/>
              <w:rPr>
                <w:noProof/>
              </w:rPr>
            </w:pPr>
            <w:r>
              <w:rPr>
                <w:noProof/>
              </w:rPr>
              <w:t>Governance, participation, and good administration</w:t>
            </w:r>
            <w:r w:rsidRPr="00C261ED">
              <w:rPr>
                <w:noProof/>
              </w:rPr>
              <w:t xml:space="preserve"> </w:t>
            </w:r>
          </w:p>
          <w:p w14:paraId="73AF25C3" w14:textId="77777777" w:rsidR="006E2DB6" w:rsidRPr="00C261ED" w:rsidRDefault="006E2DB6">
            <w:pPr>
              <w:pStyle w:val="TableText"/>
              <w:spacing w:line="276" w:lineRule="auto"/>
              <w:ind w:left="0"/>
              <w:rPr>
                <w:noProof/>
              </w:rPr>
            </w:pPr>
          </w:p>
        </w:tc>
        <w:tc>
          <w:tcPr>
            <w:tcW w:w="0" w:type="auto"/>
            <w:shd w:val="clear" w:color="auto" w:fill="F2F2F2" w:themeFill="background1" w:themeFillShade="F2"/>
            <w:tcMar>
              <w:top w:w="15" w:type="dxa"/>
              <w:left w:w="15" w:type="dxa"/>
              <w:bottom w:w="0" w:type="dxa"/>
              <w:right w:w="15" w:type="dxa"/>
            </w:tcMar>
          </w:tcPr>
          <w:p w14:paraId="21489105" w14:textId="77777777" w:rsidR="006E2DB6" w:rsidRPr="00C261ED" w:rsidRDefault="006E2DB6">
            <w:pPr>
              <w:pStyle w:val="TableText"/>
              <w:spacing w:line="276" w:lineRule="auto"/>
              <w:ind w:left="0"/>
              <w:rPr>
                <w:noProof/>
              </w:rPr>
            </w:pPr>
            <w:r>
              <w:rPr>
                <w:noProof/>
              </w:rPr>
              <w:t>●●</w:t>
            </w:r>
          </w:p>
        </w:tc>
        <w:tc>
          <w:tcPr>
            <w:tcW w:w="0" w:type="auto"/>
            <w:shd w:val="clear" w:color="auto" w:fill="F2F2F2" w:themeFill="background1" w:themeFillShade="F2"/>
            <w:tcMar>
              <w:top w:w="15" w:type="dxa"/>
              <w:left w:w="15" w:type="dxa"/>
              <w:bottom w:w="0" w:type="dxa"/>
              <w:right w:w="15" w:type="dxa"/>
            </w:tcMar>
          </w:tcPr>
          <w:p w14:paraId="77F024EF" w14:textId="77777777" w:rsidR="006E2DB6" w:rsidRPr="00C261ED" w:rsidRDefault="006E2DB6">
            <w:pPr>
              <w:pStyle w:val="TableText"/>
              <w:spacing w:line="276" w:lineRule="auto"/>
              <w:ind w:left="0"/>
              <w:rPr>
                <w:noProof/>
              </w:rPr>
            </w:pPr>
            <w:r>
              <w:rPr>
                <w:noProof/>
              </w:rPr>
              <w:t>●●</w:t>
            </w:r>
          </w:p>
        </w:tc>
        <w:tc>
          <w:tcPr>
            <w:tcW w:w="0" w:type="auto"/>
            <w:shd w:val="clear" w:color="auto" w:fill="F2F2F2" w:themeFill="background1" w:themeFillShade="F2"/>
          </w:tcPr>
          <w:p w14:paraId="52C5E6E6" w14:textId="77777777" w:rsidR="006E2DB6" w:rsidRPr="00C261ED" w:rsidRDefault="006E2DB6">
            <w:pPr>
              <w:pStyle w:val="TableText"/>
              <w:spacing w:line="276" w:lineRule="auto"/>
              <w:ind w:left="0"/>
              <w:rPr>
                <w:noProof/>
              </w:rPr>
            </w:pPr>
            <w:r>
              <w:rPr>
                <w:noProof/>
              </w:rPr>
              <w:t>●●</w:t>
            </w:r>
          </w:p>
        </w:tc>
        <w:tc>
          <w:tcPr>
            <w:tcW w:w="0" w:type="auto"/>
            <w:shd w:val="clear" w:color="auto" w:fill="F2F2F2" w:themeFill="background1" w:themeFillShade="F2"/>
            <w:tcMar>
              <w:top w:w="15" w:type="dxa"/>
              <w:left w:w="15" w:type="dxa"/>
              <w:bottom w:w="0" w:type="dxa"/>
              <w:right w:w="15" w:type="dxa"/>
            </w:tcMar>
          </w:tcPr>
          <w:p w14:paraId="0D37EBFC" w14:textId="77777777" w:rsidR="006E2DB6" w:rsidRPr="00C261ED" w:rsidRDefault="006E2DB6">
            <w:pPr>
              <w:pStyle w:val="TableText"/>
              <w:spacing w:line="276" w:lineRule="auto"/>
              <w:ind w:left="0"/>
              <w:rPr>
                <w:noProof/>
              </w:rPr>
            </w:pPr>
          </w:p>
        </w:tc>
        <w:tc>
          <w:tcPr>
            <w:tcW w:w="0" w:type="auto"/>
            <w:shd w:val="clear" w:color="auto" w:fill="F2F2F2" w:themeFill="background1" w:themeFillShade="F2"/>
            <w:tcMar>
              <w:top w:w="15" w:type="dxa"/>
              <w:left w:w="15" w:type="dxa"/>
              <w:bottom w:w="0" w:type="dxa"/>
              <w:right w:w="15" w:type="dxa"/>
            </w:tcMar>
            <w:vAlign w:val="center"/>
          </w:tcPr>
          <w:p w14:paraId="3564E1A3" w14:textId="77777777" w:rsidR="006E2DB6" w:rsidRPr="00D34CAE" w:rsidRDefault="006E2DB6">
            <w:pPr>
              <w:spacing w:before="100" w:beforeAutospacing="1" w:after="100" w:afterAutospacing="1"/>
              <w:jc w:val="both"/>
              <w:rPr>
                <w:rFonts w:eastAsia="Times New Roman" w:cs="Times New Roman"/>
                <w:noProof/>
                <w:color w:val="auto"/>
                <w:szCs w:val="20"/>
                <w:lang w:eastAsia="nl-BE"/>
              </w:rPr>
            </w:pPr>
            <w:r w:rsidRPr="00D34CAE">
              <w:rPr>
                <w:rFonts w:eastAsia="Times New Roman" w:cs="Times New Roman"/>
                <w:noProof/>
                <w:color w:val="auto"/>
                <w:szCs w:val="20"/>
                <w:lang w:eastAsia="nl-BE"/>
              </w:rPr>
              <w:t>The 28th regime corporate proposal promotes digital-by-default and eGovernment principles, notably through the use of digital-only procedures and the application of the once-only principle. These elements may contribute to more transparent, standardised and coordinated public administration, including improved information flows and administrative cooperation between authorities.</w:t>
            </w:r>
          </w:p>
          <w:p w14:paraId="7A3101CE" w14:textId="77777777" w:rsidR="006E2DB6" w:rsidRPr="00D34CAE" w:rsidRDefault="006E2DB6">
            <w:pPr>
              <w:spacing w:before="100" w:beforeAutospacing="1" w:after="100" w:afterAutospacing="1"/>
              <w:jc w:val="both"/>
              <w:rPr>
                <w:rFonts w:eastAsia="Times New Roman" w:cs="Times New Roman"/>
                <w:noProof/>
                <w:color w:val="auto"/>
                <w:szCs w:val="20"/>
                <w:lang w:eastAsia="nl-BE"/>
              </w:rPr>
            </w:pPr>
            <w:r w:rsidRPr="00D34CAE">
              <w:rPr>
                <w:rFonts w:eastAsia="Times New Roman" w:cs="Times New Roman"/>
                <w:noProof/>
                <w:color w:val="auto"/>
                <w:szCs w:val="20"/>
                <w:lang w:eastAsia="nl-BE"/>
              </w:rPr>
              <w:t xml:space="preserve">However, this impact type is not retained as a standalone impact, as the core effects identified under this category are already addressed more appropriately and in sufficient detail under other impact areas. In particular, effects related to administrative organisation, coordination, digitalisation and resource implications for authorities are covered under </w:t>
            </w:r>
            <w:r w:rsidRPr="00D34CAE">
              <w:rPr>
                <w:rFonts w:eastAsia="Times New Roman" w:cs="Times New Roman"/>
                <w:b/>
                <w:bCs/>
                <w:noProof/>
                <w:color w:val="auto"/>
                <w:szCs w:val="20"/>
                <w:lang w:eastAsia="nl-BE"/>
              </w:rPr>
              <w:t>Public authorities – costs</w:t>
            </w:r>
            <w:r w:rsidRPr="00D34CAE">
              <w:rPr>
                <w:rFonts w:eastAsia="Times New Roman" w:cs="Times New Roman"/>
                <w:noProof/>
                <w:color w:val="auto"/>
                <w:szCs w:val="20"/>
                <w:lang w:eastAsia="nl-BE"/>
              </w:rPr>
              <w:t>, while effects related to simplification, compliance effort and interaction with public administrations are addressed under Administrative burden and adjustment costs for businesses and Ease of doing business.</w:t>
            </w:r>
          </w:p>
          <w:p w14:paraId="451F22A3" w14:textId="77777777" w:rsidR="006E2DB6" w:rsidRPr="00D34CAE" w:rsidRDefault="006E2DB6">
            <w:pPr>
              <w:spacing w:before="100" w:beforeAutospacing="1" w:after="100" w:afterAutospacing="1"/>
              <w:jc w:val="both"/>
              <w:rPr>
                <w:rFonts w:eastAsia="Times New Roman" w:cs="Times New Roman"/>
                <w:noProof/>
                <w:color w:val="auto"/>
                <w:szCs w:val="20"/>
                <w:lang w:eastAsia="nl-BE"/>
              </w:rPr>
            </w:pPr>
            <w:r w:rsidRPr="00D34CAE">
              <w:rPr>
                <w:rFonts w:eastAsia="Times New Roman" w:cs="Times New Roman"/>
                <w:noProof/>
                <w:color w:val="auto"/>
                <w:szCs w:val="20"/>
                <w:lang w:eastAsia="nl-BE"/>
              </w:rPr>
              <w:t>Assessing governance and good-administration aspects within these related impacts avoids duplication and ensures a proportionate analysis focused on the main transmission channels of the initiative. Relevant horizontal objectives, including contributions to Sustainable Development Goals such as SDG 16 (effective, accountable and transparent institutions) and SDG 17 (institutional cooperation), remain acknowledged in the overall assessment where appropriate.</w:t>
            </w:r>
          </w:p>
          <w:p w14:paraId="5680A925" w14:textId="77777777" w:rsidR="006E2DB6" w:rsidRPr="00981FBD" w:rsidRDefault="006E2DB6">
            <w:pPr>
              <w:pStyle w:val="TableText"/>
              <w:spacing w:line="276" w:lineRule="auto"/>
              <w:ind w:left="0"/>
              <w:jc w:val="both"/>
              <w:rPr>
                <w:rFonts w:cs="Arial"/>
                <w:b/>
                <w:bCs/>
                <w:noProof/>
                <w:color w:val="1F497D" w:themeColor="text2"/>
                <w:szCs w:val="20"/>
              </w:rPr>
            </w:pPr>
          </w:p>
        </w:tc>
        <w:tc>
          <w:tcPr>
            <w:tcW w:w="0" w:type="auto"/>
            <w:shd w:val="clear" w:color="auto" w:fill="D6E3BC" w:themeFill="accent3" w:themeFillTint="66"/>
            <w:vAlign w:val="center"/>
          </w:tcPr>
          <w:p w14:paraId="20E5D9CB" w14:textId="77777777" w:rsidR="006E2DB6" w:rsidRDefault="006E2DB6">
            <w:pPr>
              <w:pStyle w:val="TableText"/>
              <w:spacing w:line="276" w:lineRule="auto"/>
              <w:jc w:val="center"/>
              <w:rPr>
                <w:noProof/>
                <w:color w:val="002395"/>
                <w:sz w:val="24"/>
                <w:szCs w:val="28"/>
              </w:rPr>
            </w:pPr>
          </w:p>
          <w:p w14:paraId="2CE1030F" w14:textId="77777777" w:rsidR="006E2DB6" w:rsidRPr="00D952A3" w:rsidRDefault="006E2DB6">
            <w:pPr>
              <w:pStyle w:val="TableText"/>
              <w:spacing w:line="276" w:lineRule="auto"/>
              <w:rPr>
                <w:rFonts w:ascii="Arial" w:hAnsi="Arial" w:cs="Arial"/>
                <w:b/>
                <w:bCs/>
                <w:noProof/>
                <w:color w:val="1F497D" w:themeColor="text2"/>
              </w:rPr>
            </w:pPr>
          </w:p>
        </w:tc>
      </w:tr>
      <w:tr w:rsidR="000C1549" w:rsidRPr="00143EBC" w14:paraId="3CA445C3"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49317FB9" w14:textId="77777777" w:rsidR="006D5E5B" w:rsidRDefault="006D5E5B">
            <w:pPr>
              <w:pStyle w:val="Bullet1"/>
              <w:numPr>
                <w:ilvl w:val="0"/>
                <w:numId w:val="0"/>
              </w:numPr>
              <w:spacing w:line="276" w:lineRule="auto"/>
              <w:ind w:left="264"/>
              <w:rPr>
                <w:noProof/>
              </w:rPr>
            </w:pPr>
            <w:r w:rsidRPr="00530E46">
              <w:rPr>
                <w:noProof/>
              </w:rPr>
              <w:t>Environmental Impacts</w:t>
            </w:r>
          </w:p>
        </w:tc>
        <w:tc>
          <w:tcPr>
            <w:tcW w:w="0" w:type="auto"/>
            <w:shd w:val="clear" w:color="auto" w:fill="F2F2F2" w:themeFill="background1" w:themeFillShade="F2"/>
            <w:tcMar>
              <w:top w:w="15" w:type="dxa"/>
              <w:left w:w="15" w:type="dxa"/>
              <w:bottom w:w="0" w:type="dxa"/>
              <w:right w:w="15" w:type="dxa"/>
            </w:tcMar>
          </w:tcPr>
          <w:p w14:paraId="0AFDB154" w14:textId="77777777" w:rsidR="006D5E5B" w:rsidRPr="00136092" w:rsidRDefault="006D5E5B">
            <w:pPr>
              <w:pStyle w:val="TableText"/>
              <w:spacing w:line="276" w:lineRule="auto"/>
              <w:rPr>
                <w:noProof/>
              </w:rPr>
            </w:pPr>
            <w:r w:rsidRPr="00436236">
              <w:rPr>
                <w:noProof/>
              </w:rPr>
              <w:t>●</w:t>
            </w:r>
          </w:p>
        </w:tc>
        <w:tc>
          <w:tcPr>
            <w:tcW w:w="0" w:type="auto"/>
            <w:shd w:val="clear" w:color="auto" w:fill="F2F2F2" w:themeFill="background1" w:themeFillShade="F2"/>
            <w:tcMar>
              <w:top w:w="15" w:type="dxa"/>
              <w:left w:w="15" w:type="dxa"/>
              <w:bottom w:w="0" w:type="dxa"/>
              <w:right w:w="15" w:type="dxa"/>
            </w:tcMar>
          </w:tcPr>
          <w:p w14:paraId="4188A42E" w14:textId="77777777" w:rsidR="006D5E5B" w:rsidRPr="00136092" w:rsidRDefault="006D5E5B">
            <w:pPr>
              <w:pStyle w:val="TableText"/>
              <w:spacing w:line="276" w:lineRule="auto"/>
              <w:ind w:left="0"/>
              <w:rPr>
                <w:noProof/>
              </w:rPr>
            </w:pPr>
            <w:r w:rsidRPr="00436236">
              <w:rPr>
                <w:noProof/>
              </w:rPr>
              <w:t>●</w:t>
            </w:r>
          </w:p>
        </w:tc>
        <w:tc>
          <w:tcPr>
            <w:tcW w:w="0" w:type="auto"/>
            <w:shd w:val="clear" w:color="auto" w:fill="F2F2F2" w:themeFill="background1" w:themeFillShade="F2"/>
          </w:tcPr>
          <w:p w14:paraId="320F492F" w14:textId="77777777" w:rsidR="006D5E5B" w:rsidRPr="00136092" w:rsidRDefault="006D5E5B">
            <w:pPr>
              <w:pStyle w:val="TableText"/>
              <w:spacing w:line="276" w:lineRule="auto"/>
              <w:rPr>
                <w:noProof/>
              </w:rPr>
            </w:pPr>
            <w:r w:rsidRPr="00436236">
              <w:rPr>
                <w:noProof/>
              </w:rPr>
              <w:t>●</w:t>
            </w:r>
          </w:p>
        </w:tc>
        <w:tc>
          <w:tcPr>
            <w:tcW w:w="0" w:type="auto"/>
            <w:shd w:val="clear" w:color="auto" w:fill="F2F2F2" w:themeFill="background1" w:themeFillShade="F2"/>
            <w:tcMar>
              <w:top w:w="15" w:type="dxa"/>
              <w:left w:w="15" w:type="dxa"/>
              <w:bottom w:w="0" w:type="dxa"/>
              <w:right w:w="15" w:type="dxa"/>
            </w:tcMar>
          </w:tcPr>
          <w:p w14:paraId="0F776D10" w14:textId="77777777" w:rsidR="006D5E5B" w:rsidRPr="002C6AE3" w:rsidRDefault="006D5E5B">
            <w:pPr>
              <w:pStyle w:val="TableText"/>
              <w:spacing w:line="276" w:lineRule="auto"/>
              <w:rPr>
                <w:noProof/>
                <w:color w:val="002395"/>
                <w:sz w:val="24"/>
                <w:szCs w:val="28"/>
              </w:rPr>
            </w:pPr>
          </w:p>
        </w:tc>
        <w:tc>
          <w:tcPr>
            <w:tcW w:w="0" w:type="auto"/>
            <w:shd w:val="clear" w:color="auto" w:fill="F2F2F2" w:themeFill="background1" w:themeFillShade="F2"/>
            <w:tcMar>
              <w:top w:w="15" w:type="dxa"/>
              <w:left w:w="15" w:type="dxa"/>
              <w:bottom w:w="0" w:type="dxa"/>
              <w:right w:w="15" w:type="dxa"/>
            </w:tcMar>
            <w:vAlign w:val="center"/>
          </w:tcPr>
          <w:p w14:paraId="739FC23F" w14:textId="77777777" w:rsidR="006D5E5B" w:rsidRDefault="006D5E5B">
            <w:pPr>
              <w:pStyle w:val="TableText"/>
              <w:spacing w:line="276" w:lineRule="auto"/>
              <w:ind w:left="0"/>
              <w:rPr>
                <w:noProof/>
              </w:rPr>
            </w:pPr>
            <w:r>
              <w:rPr>
                <w:noProof/>
              </w:rPr>
              <w:t>This initiative could result in some positive environmental impacts as it introduces digital-only procedures for 28</w:t>
            </w:r>
            <w:r w:rsidRPr="00626854">
              <w:rPr>
                <w:noProof/>
                <w:vertAlign w:val="superscript"/>
              </w:rPr>
              <w:t>th</w:t>
            </w:r>
            <w:r>
              <w:rPr>
                <w:noProof/>
              </w:rPr>
              <w:t xml:space="preserve"> regime companies and an increased use of digital tools between business registers and other authorities through the application of once-only principle. This would e.g. result in smaller use of paper in company law procedures for 28</w:t>
            </w:r>
            <w:r w:rsidRPr="00626854">
              <w:rPr>
                <w:noProof/>
                <w:vertAlign w:val="superscript"/>
              </w:rPr>
              <w:t>th</w:t>
            </w:r>
            <w:r>
              <w:rPr>
                <w:noProof/>
              </w:rPr>
              <w:t xml:space="preserve"> regime companies. The expected magnitude of this impact would be small and therefore, this impact is not retained. </w:t>
            </w:r>
          </w:p>
        </w:tc>
        <w:tc>
          <w:tcPr>
            <w:tcW w:w="0" w:type="auto"/>
            <w:shd w:val="clear" w:color="auto" w:fill="D6E3BC" w:themeFill="accent3" w:themeFillTint="66"/>
            <w:vAlign w:val="center"/>
          </w:tcPr>
          <w:p w14:paraId="52EBD702" w14:textId="77777777" w:rsidR="006D5E5B" w:rsidRPr="002C6AE3" w:rsidRDefault="006D5E5B">
            <w:pPr>
              <w:pStyle w:val="TableText"/>
              <w:spacing w:line="276" w:lineRule="auto"/>
              <w:jc w:val="center"/>
              <w:rPr>
                <w:noProof/>
                <w:color w:val="002395"/>
                <w:sz w:val="24"/>
                <w:szCs w:val="28"/>
              </w:rPr>
            </w:pPr>
          </w:p>
        </w:tc>
      </w:tr>
      <w:tr w:rsidR="000C1549" w:rsidRPr="00143EBC" w14:paraId="57659D4B" w14:textId="77777777" w:rsidTr="00294B49">
        <w:trPr>
          <w:trHeight w:val="300"/>
        </w:trPr>
        <w:tc>
          <w:tcPr>
            <w:tcW w:w="0" w:type="auto"/>
            <w:shd w:val="clear" w:color="auto" w:fill="DBE5F1" w:themeFill="accent1" w:themeFillTint="33"/>
            <w:tcMar>
              <w:top w:w="15" w:type="dxa"/>
              <w:left w:w="15" w:type="dxa"/>
              <w:bottom w:w="0" w:type="dxa"/>
              <w:right w:w="15" w:type="dxa"/>
            </w:tcMar>
            <w:vAlign w:val="center"/>
          </w:tcPr>
          <w:p w14:paraId="0515221C" w14:textId="77777777" w:rsidR="006D5E5B" w:rsidRPr="00D952A3" w:rsidRDefault="006D5E5B">
            <w:pPr>
              <w:pStyle w:val="TableText"/>
              <w:spacing w:line="276" w:lineRule="auto"/>
              <w:rPr>
                <w:rFonts w:ascii="Arial" w:hAnsi="Arial" w:cs="Arial"/>
                <w:b/>
                <w:bCs/>
                <w:noProof/>
                <w:color w:val="1F497D" w:themeColor="text2"/>
              </w:rPr>
            </w:pPr>
            <w:r w:rsidRPr="00D952A3">
              <w:rPr>
                <w:rFonts w:ascii="Arial" w:hAnsi="Arial" w:cs="Arial"/>
                <w:b/>
                <w:bCs/>
                <w:noProof/>
                <w:color w:val="1F497D" w:themeColor="text2"/>
              </w:rPr>
              <w:t xml:space="preserve">Economic </w:t>
            </w:r>
            <w:r>
              <w:rPr>
                <w:rFonts w:ascii="Arial" w:hAnsi="Arial" w:cs="Arial"/>
                <w:b/>
                <w:bCs/>
                <w:noProof/>
                <w:color w:val="1F497D" w:themeColor="text2"/>
              </w:rPr>
              <w:t xml:space="preserve">and social </w:t>
            </w:r>
            <w:r w:rsidRPr="00D952A3">
              <w:rPr>
                <w:rFonts w:ascii="Arial" w:hAnsi="Arial" w:cs="Arial"/>
                <w:b/>
                <w:bCs/>
                <w:noProof/>
                <w:color w:val="1F497D" w:themeColor="text2"/>
              </w:rPr>
              <w:t>impacts</w:t>
            </w:r>
          </w:p>
        </w:tc>
        <w:tc>
          <w:tcPr>
            <w:tcW w:w="0" w:type="auto"/>
            <w:shd w:val="clear" w:color="auto" w:fill="DBE5F1" w:themeFill="accent1" w:themeFillTint="33"/>
            <w:tcMar>
              <w:top w:w="15" w:type="dxa"/>
              <w:left w:w="15" w:type="dxa"/>
              <w:bottom w:w="0" w:type="dxa"/>
              <w:right w:w="15" w:type="dxa"/>
            </w:tcMar>
            <w:vAlign w:val="center"/>
          </w:tcPr>
          <w:p w14:paraId="16CA3E9A"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tcMar>
              <w:top w:w="15" w:type="dxa"/>
              <w:left w:w="15" w:type="dxa"/>
              <w:bottom w:w="0" w:type="dxa"/>
              <w:right w:w="15" w:type="dxa"/>
            </w:tcMar>
            <w:vAlign w:val="center"/>
          </w:tcPr>
          <w:p w14:paraId="67D056C9"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vAlign w:val="center"/>
          </w:tcPr>
          <w:p w14:paraId="3E9E49BE"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tcMar>
              <w:top w:w="15" w:type="dxa"/>
              <w:left w:w="15" w:type="dxa"/>
              <w:bottom w:w="0" w:type="dxa"/>
              <w:right w:w="15" w:type="dxa"/>
            </w:tcMar>
            <w:vAlign w:val="center"/>
          </w:tcPr>
          <w:p w14:paraId="597FC701"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tcMar>
              <w:top w:w="15" w:type="dxa"/>
              <w:left w:w="15" w:type="dxa"/>
              <w:bottom w:w="0" w:type="dxa"/>
              <w:right w:w="15" w:type="dxa"/>
            </w:tcMar>
            <w:vAlign w:val="center"/>
          </w:tcPr>
          <w:p w14:paraId="1602480F" w14:textId="77777777" w:rsidR="006D5E5B" w:rsidRPr="00D952A3" w:rsidRDefault="006D5E5B">
            <w:pPr>
              <w:pStyle w:val="TableText"/>
              <w:spacing w:line="276" w:lineRule="auto"/>
              <w:rPr>
                <w:rFonts w:ascii="Arial" w:hAnsi="Arial" w:cs="Arial"/>
                <w:b/>
                <w:bCs/>
                <w:noProof/>
                <w:color w:val="1F497D" w:themeColor="text2"/>
              </w:rPr>
            </w:pPr>
          </w:p>
        </w:tc>
        <w:tc>
          <w:tcPr>
            <w:tcW w:w="0" w:type="auto"/>
            <w:shd w:val="clear" w:color="auto" w:fill="DBE5F1" w:themeFill="accent1" w:themeFillTint="33"/>
            <w:vAlign w:val="center"/>
          </w:tcPr>
          <w:p w14:paraId="709320FE" w14:textId="77777777" w:rsidR="006D5E5B" w:rsidRPr="00D952A3" w:rsidRDefault="006D5E5B">
            <w:pPr>
              <w:pStyle w:val="TableText"/>
              <w:spacing w:line="276" w:lineRule="auto"/>
              <w:rPr>
                <w:rFonts w:ascii="Arial" w:hAnsi="Arial" w:cs="Arial"/>
                <w:b/>
                <w:bCs/>
                <w:noProof/>
                <w:color w:val="1F497D" w:themeColor="text2"/>
              </w:rPr>
            </w:pPr>
          </w:p>
        </w:tc>
      </w:tr>
      <w:tr w:rsidR="000C1549" w:rsidRPr="00CC0720" w14:paraId="33951AB8"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6E6F1EED" w14:textId="77777777" w:rsidR="006D6942" w:rsidRDefault="006D6942" w:rsidP="003D381C">
            <w:pPr>
              <w:pStyle w:val="Bullet1"/>
              <w:numPr>
                <w:ilvl w:val="0"/>
                <w:numId w:val="0"/>
              </w:numPr>
              <w:spacing w:line="276" w:lineRule="auto"/>
              <w:ind w:left="680" w:hanging="268"/>
              <w:rPr>
                <w:noProof/>
              </w:rPr>
            </w:pPr>
            <w:r>
              <w:rPr>
                <w:noProof/>
              </w:rPr>
              <w:t>Employment</w:t>
            </w:r>
          </w:p>
        </w:tc>
        <w:tc>
          <w:tcPr>
            <w:tcW w:w="0" w:type="auto"/>
            <w:shd w:val="clear" w:color="auto" w:fill="F2F2F2" w:themeFill="background1" w:themeFillShade="F2"/>
            <w:tcMar>
              <w:top w:w="15" w:type="dxa"/>
              <w:left w:w="15" w:type="dxa"/>
              <w:bottom w:w="0" w:type="dxa"/>
              <w:right w:w="15" w:type="dxa"/>
            </w:tcMar>
          </w:tcPr>
          <w:p w14:paraId="38026595" w14:textId="77777777" w:rsidR="006D6942" w:rsidRPr="003750E1" w:rsidRDefault="006D6942">
            <w:pPr>
              <w:pStyle w:val="TableText"/>
              <w:spacing w:line="276" w:lineRule="auto"/>
              <w:rPr>
                <w:noProof/>
              </w:rPr>
            </w:pPr>
            <w:r w:rsidRPr="003750E1">
              <w:rPr>
                <w:noProof/>
              </w:rPr>
              <w:t>●●</w:t>
            </w:r>
          </w:p>
        </w:tc>
        <w:tc>
          <w:tcPr>
            <w:tcW w:w="0" w:type="auto"/>
            <w:shd w:val="clear" w:color="auto" w:fill="F2F2F2" w:themeFill="background1" w:themeFillShade="F2"/>
            <w:tcMar>
              <w:top w:w="15" w:type="dxa"/>
              <w:left w:w="15" w:type="dxa"/>
              <w:bottom w:w="0" w:type="dxa"/>
              <w:right w:w="15" w:type="dxa"/>
            </w:tcMar>
          </w:tcPr>
          <w:p w14:paraId="4EFFC5CB" w14:textId="77777777" w:rsidR="006D6942" w:rsidRPr="003750E1" w:rsidRDefault="006D6942">
            <w:pPr>
              <w:pStyle w:val="TableText"/>
              <w:spacing w:line="276" w:lineRule="auto"/>
              <w:rPr>
                <w:noProof/>
              </w:rPr>
            </w:pPr>
            <w:r w:rsidRPr="003750E1">
              <w:rPr>
                <w:noProof/>
              </w:rPr>
              <w:t>●●</w:t>
            </w:r>
          </w:p>
        </w:tc>
        <w:tc>
          <w:tcPr>
            <w:tcW w:w="0" w:type="auto"/>
            <w:shd w:val="clear" w:color="auto" w:fill="F2F2F2" w:themeFill="background1" w:themeFillShade="F2"/>
          </w:tcPr>
          <w:p w14:paraId="4553CD38" w14:textId="77777777" w:rsidR="006D6942" w:rsidRPr="003750E1" w:rsidRDefault="006D6942">
            <w:pPr>
              <w:pStyle w:val="TableText"/>
              <w:spacing w:line="276" w:lineRule="auto"/>
              <w:rPr>
                <w:noProof/>
              </w:rPr>
            </w:pPr>
            <w:r w:rsidRPr="003750E1">
              <w:rPr>
                <w:noProof/>
              </w:rPr>
              <w:t>●●</w:t>
            </w:r>
          </w:p>
        </w:tc>
        <w:tc>
          <w:tcPr>
            <w:tcW w:w="0" w:type="auto"/>
            <w:shd w:val="clear" w:color="auto" w:fill="F2F2F2" w:themeFill="background1" w:themeFillShade="F2"/>
            <w:tcMar>
              <w:top w:w="15" w:type="dxa"/>
              <w:left w:w="15" w:type="dxa"/>
              <w:bottom w:w="0" w:type="dxa"/>
              <w:right w:w="15" w:type="dxa"/>
            </w:tcMar>
          </w:tcPr>
          <w:p w14:paraId="3AF4BA55" w14:textId="77777777" w:rsidR="006D6942" w:rsidRPr="002C6AE3" w:rsidRDefault="006D6942" w:rsidP="006C3130">
            <w:pPr>
              <w:pStyle w:val="TableText"/>
              <w:spacing w:before="100" w:beforeAutospacing="1" w:after="100" w:afterAutospacing="1"/>
              <w:rPr>
                <w:noProof/>
                <w:color w:val="002395"/>
                <w:sz w:val="24"/>
                <w:szCs w:val="28"/>
              </w:rPr>
            </w:pPr>
          </w:p>
        </w:tc>
        <w:tc>
          <w:tcPr>
            <w:tcW w:w="0" w:type="auto"/>
            <w:shd w:val="clear" w:color="auto" w:fill="F2F2F2" w:themeFill="background1" w:themeFillShade="F2"/>
            <w:tcMar>
              <w:top w:w="15" w:type="dxa"/>
              <w:left w:w="15" w:type="dxa"/>
              <w:bottom w:w="0" w:type="dxa"/>
              <w:right w:w="15" w:type="dxa"/>
            </w:tcMar>
            <w:vAlign w:val="center"/>
          </w:tcPr>
          <w:p w14:paraId="599D1250" w14:textId="77777777" w:rsidR="006D6942" w:rsidRPr="00CC0720" w:rsidRDefault="006D6942" w:rsidP="006C3130">
            <w:pPr>
              <w:pStyle w:val="TableText"/>
              <w:spacing w:before="100" w:beforeAutospacing="1" w:after="100" w:afterAutospacing="1"/>
              <w:ind w:left="0"/>
              <w:jc w:val="both"/>
              <w:rPr>
                <w:noProof/>
              </w:rPr>
            </w:pPr>
            <w:r w:rsidRPr="001E7C43">
              <w:rPr>
                <w:noProof/>
              </w:rPr>
              <w:t>The objective of the 28</w:t>
            </w:r>
            <w:r w:rsidRPr="001E7C43">
              <w:rPr>
                <w:noProof/>
                <w:vertAlign w:val="superscript"/>
              </w:rPr>
              <w:t>th</w:t>
            </w:r>
            <w:r w:rsidRPr="001E7C43">
              <w:rPr>
                <w:noProof/>
              </w:rPr>
              <w:t xml:space="preserve"> regime is to make it easier to do business in Europe and to make it easier to attract finance, therefore one can expect that the number of companies and the level of finance in Europe will go up with a successful 28</w:t>
            </w:r>
            <w:r w:rsidRPr="001E7C43">
              <w:rPr>
                <w:noProof/>
                <w:vertAlign w:val="superscript"/>
              </w:rPr>
              <w:t>th</w:t>
            </w:r>
            <w:r w:rsidRPr="001E7C43">
              <w:rPr>
                <w:noProof/>
              </w:rPr>
              <w:t xml:space="preserve"> regime. This will automatically lead to more employment, more growth, more productivity. All of these are indirect consequences that stem from the ease of doing business and the </w:t>
            </w:r>
            <w:r>
              <w:rPr>
                <w:noProof/>
              </w:rPr>
              <w:t>ease of attracting investment</w:t>
            </w:r>
            <w:r w:rsidRPr="001E7C43">
              <w:rPr>
                <w:noProof/>
              </w:rPr>
              <w:t>. However, to avoid double counting these impacts are mentioned but not included in the analysis.</w:t>
            </w:r>
          </w:p>
        </w:tc>
        <w:tc>
          <w:tcPr>
            <w:tcW w:w="0" w:type="auto"/>
            <w:shd w:val="clear" w:color="auto" w:fill="D6E3BC" w:themeFill="accent3" w:themeFillTint="66"/>
            <w:vAlign w:val="center"/>
          </w:tcPr>
          <w:p w14:paraId="79D4732E" w14:textId="77777777" w:rsidR="006D6942" w:rsidRPr="00CC0720" w:rsidRDefault="006D6942">
            <w:pPr>
              <w:pStyle w:val="TableText"/>
              <w:spacing w:line="276" w:lineRule="auto"/>
              <w:jc w:val="center"/>
              <w:rPr>
                <w:noProof/>
                <w:color w:val="002395"/>
                <w:sz w:val="24"/>
                <w:szCs w:val="28"/>
              </w:rPr>
            </w:pPr>
          </w:p>
          <w:p w14:paraId="6653B008" w14:textId="77777777" w:rsidR="006D6942" w:rsidRPr="00CC0720" w:rsidRDefault="006D6942">
            <w:pPr>
              <w:pStyle w:val="TableText"/>
              <w:spacing w:line="276" w:lineRule="auto"/>
              <w:jc w:val="center"/>
              <w:rPr>
                <w:noProof/>
                <w:color w:val="002395"/>
                <w:sz w:val="24"/>
                <w:szCs w:val="28"/>
              </w:rPr>
            </w:pPr>
          </w:p>
        </w:tc>
      </w:tr>
      <w:tr w:rsidR="000C1549" w:rsidRPr="00143EBC" w14:paraId="0D5047DD"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4E584C30" w14:textId="77777777" w:rsidR="003D381C" w:rsidRDefault="00CC4966" w:rsidP="003D381C">
            <w:pPr>
              <w:pStyle w:val="Bullet1"/>
              <w:numPr>
                <w:ilvl w:val="0"/>
                <w:numId w:val="0"/>
              </w:numPr>
              <w:spacing w:line="276" w:lineRule="auto"/>
              <w:ind w:left="680" w:hanging="268"/>
              <w:rPr>
                <w:noProof/>
              </w:rPr>
            </w:pPr>
            <w:r>
              <w:rPr>
                <w:noProof/>
              </w:rPr>
              <w:t>Consumers</w:t>
            </w:r>
          </w:p>
          <w:p w14:paraId="0205B924" w14:textId="77777777" w:rsidR="003D381C" w:rsidRDefault="003D381C" w:rsidP="003D381C">
            <w:pPr>
              <w:pStyle w:val="Bullet1"/>
              <w:numPr>
                <w:ilvl w:val="0"/>
                <w:numId w:val="0"/>
              </w:numPr>
              <w:spacing w:line="276" w:lineRule="auto"/>
              <w:ind w:left="680" w:hanging="268"/>
              <w:rPr>
                <w:noProof/>
              </w:rPr>
            </w:pPr>
            <w:r>
              <w:rPr>
                <w:noProof/>
              </w:rPr>
              <w:t>a</w:t>
            </w:r>
            <w:r w:rsidR="00CC4966">
              <w:rPr>
                <w:noProof/>
              </w:rPr>
              <w:t>nd</w:t>
            </w:r>
          </w:p>
          <w:p w14:paraId="2E1B0EBC" w14:textId="658031DC" w:rsidR="00CC4966" w:rsidRPr="00414C36" w:rsidRDefault="00CC4966" w:rsidP="003D381C">
            <w:pPr>
              <w:pStyle w:val="Bullet1"/>
              <w:numPr>
                <w:ilvl w:val="0"/>
                <w:numId w:val="0"/>
              </w:numPr>
              <w:spacing w:line="276" w:lineRule="auto"/>
              <w:ind w:left="680" w:hanging="268"/>
              <w:rPr>
                <w:noProof/>
                <w:sz w:val="18"/>
                <w:szCs w:val="18"/>
              </w:rPr>
            </w:pPr>
            <w:r>
              <w:rPr>
                <w:noProof/>
              </w:rPr>
              <w:t>households</w:t>
            </w:r>
          </w:p>
          <w:p w14:paraId="5F111817" w14:textId="77777777" w:rsidR="00CC4966" w:rsidRDefault="00CC4966" w:rsidP="003D381C">
            <w:pPr>
              <w:pStyle w:val="Bullet1"/>
              <w:numPr>
                <w:ilvl w:val="0"/>
                <w:numId w:val="0"/>
              </w:numPr>
              <w:spacing w:line="276" w:lineRule="auto"/>
              <w:ind w:left="680" w:hanging="340"/>
              <w:rPr>
                <w:noProof/>
              </w:rPr>
            </w:pPr>
          </w:p>
        </w:tc>
        <w:tc>
          <w:tcPr>
            <w:tcW w:w="0" w:type="auto"/>
            <w:shd w:val="clear" w:color="auto" w:fill="F2F2F2" w:themeFill="background1" w:themeFillShade="F2"/>
            <w:tcMar>
              <w:top w:w="15" w:type="dxa"/>
              <w:left w:w="15" w:type="dxa"/>
              <w:bottom w:w="0" w:type="dxa"/>
              <w:right w:w="15" w:type="dxa"/>
            </w:tcMar>
          </w:tcPr>
          <w:p w14:paraId="2DD6035F" w14:textId="628374C8" w:rsidR="00CC4966" w:rsidRDefault="00CC4966" w:rsidP="003D381C">
            <w:pPr>
              <w:pStyle w:val="TableText"/>
              <w:spacing w:line="276" w:lineRule="auto"/>
              <w:ind w:hanging="340"/>
              <w:rPr>
                <w:noProof/>
              </w:rPr>
            </w:pPr>
            <w:r>
              <w:rPr>
                <w:noProof/>
              </w:rPr>
              <w:t>●</w:t>
            </w:r>
          </w:p>
        </w:tc>
        <w:tc>
          <w:tcPr>
            <w:tcW w:w="0" w:type="auto"/>
            <w:shd w:val="clear" w:color="auto" w:fill="F2F2F2" w:themeFill="background1" w:themeFillShade="F2"/>
            <w:tcMar>
              <w:top w:w="15" w:type="dxa"/>
              <w:left w:w="15" w:type="dxa"/>
              <w:bottom w:w="0" w:type="dxa"/>
              <w:right w:w="15" w:type="dxa"/>
            </w:tcMar>
          </w:tcPr>
          <w:p w14:paraId="064C2543" w14:textId="77777777" w:rsidR="00CC4966" w:rsidRDefault="00CC4966">
            <w:pPr>
              <w:pStyle w:val="TableText"/>
              <w:spacing w:line="276" w:lineRule="auto"/>
              <w:rPr>
                <w:noProof/>
              </w:rPr>
            </w:pPr>
            <w:r>
              <w:rPr>
                <w:noProof/>
              </w:rPr>
              <w:t>●</w:t>
            </w:r>
          </w:p>
        </w:tc>
        <w:tc>
          <w:tcPr>
            <w:tcW w:w="0" w:type="auto"/>
            <w:shd w:val="clear" w:color="auto" w:fill="F2F2F2" w:themeFill="background1" w:themeFillShade="F2"/>
          </w:tcPr>
          <w:p w14:paraId="323E3556" w14:textId="77777777" w:rsidR="00CC4966" w:rsidRDefault="00CC4966">
            <w:pPr>
              <w:pStyle w:val="TableText"/>
              <w:spacing w:line="276" w:lineRule="auto"/>
              <w:rPr>
                <w:noProof/>
              </w:rPr>
            </w:pPr>
            <w:r>
              <w:rPr>
                <w:noProof/>
              </w:rPr>
              <w:t>●</w:t>
            </w:r>
          </w:p>
        </w:tc>
        <w:tc>
          <w:tcPr>
            <w:tcW w:w="0" w:type="auto"/>
            <w:shd w:val="clear" w:color="auto" w:fill="F2F2F2" w:themeFill="background1" w:themeFillShade="F2"/>
            <w:tcMar>
              <w:top w:w="15" w:type="dxa"/>
              <w:left w:w="15" w:type="dxa"/>
              <w:bottom w:w="0" w:type="dxa"/>
              <w:right w:w="15" w:type="dxa"/>
            </w:tcMar>
          </w:tcPr>
          <w:p w14:paraId="1790EE59" w14:textId="77777777" w:rsidR="00CC4966" w:rsidRPr="002C6AE3" w:rsidRDefault="00CC4966" w:rsidP="006C3130">
            <w:pPr>
              <w:pStyle w:val="TableText"/>
              <w:spacing w:before="100" w:beforeAutospacing="1" w:after="100" w:afterAutospacing="1"/>
              <w:rPr>
                <w:noProof/>
                <w:color w:val="002395"/>
                <w:sz w:val="24"/>
                <w:szCs w:val="28"/>
              </w:rPr>
            </w:pPr>
          </w:p>
        </w:tc>
        <w:tc>
          <w:tcPr>
            <w:tcW w:w="0" w:type="auto"/>
            <w:shd w:val="clear" w:color="auto" w:fill="F2F2F2" w:themeFill="background1" w:themeFillShade="F2"/>
            <w:tcMar>
              <w:top w:w="15" w:type="dxa"/>
              <w:left w:w="15" w:type="dxa"/>
              <w:bottom w:w="0" w:type="dxa"/>
              <w:right w:w="15" w:type="dxa"/>
            </w:tcMar>
            <w:vAlign w:val="center"/>
          </w:tcPr>
          <w:p w14:paraId="2E149876" w14:textId="59C9DF2B" w:rsidR="00CC4966" w:rsidRDefault="00CC4966" w:rsidP="006C3130">
            <w:pPr>
              <w:pStyle w:val="TableText"/>
              <w:spacing w:before="100" w:beforeAutospacing="1" w:after="100" w:afterAutospacing="1"/>
              <w:ind w:left="-15" w:firstLine="15"/>
              <w:jc w:val="both"/>
              <w:rPr>
                <w:noProof/>
              </w:rPr>
            </w:pPr>
            <w:r>
              <w:rPr>
                <w:noProof/>
              </w:rPr>
              <w:t>This impact type was not retained, as the 28th regime corporate proposal is not expected to have direct or material effects on consumers or households in terms of consumer protection, rights, or welfare.</w:t>
            </w:r>
          </w:p>
          <w:p w14:paraId="6729AF52" w14:textId="77777777" w:rsidR="00CC4966" w:rsidRDefault="00CC4966" w:rsidP="006C3130">
            <w:pPr>
              <w:pStyle w:val="TableText"/>
              <w:spacing w:before="100" w:beforeAutospacing="1" w:after="100" w:afterAutospacing="1"/>
              <w:ind w:left="0"/>
              <w:jc w:val="both"/>
              <w:rPr>
                <w:noProof/>
              </w:rPr>
            </w:pPr>
            <w:r>
              <w:rPr>
                <w:noProof/>
              </w:rPr>
              <w:t>The initiative primarily targets company law and business operations, focusing on how companies are created, financed, and operate across borders. Any potential effects on consumers — such as increased trust or transparency when dealing with companies under the 28th regime — are indirect and marginal, and do not justify a separate assessment.</w:t>
            </w:r>
          </w:p>
          <w:p w14:paraId="4537CF6E" w14:textId="77777777" w:rsidR="00CC4966" w:rsidRDefault="00CC4966" w:rsidP="006C3130">
            <w:pPr>
              <w:pStyle w:val="TableText"/>
              <w:spacing w:before="100" w:beforeAutospacing="1" w:after="100" w:afterAutospacing="1"/>
              <w:ind w:left="0"/>
              <w:jc w:val="both"/>
              <w:rPr>
                <w:noProof/>
              </w:rPr>
            </w:pPr>
            <w:r>
              <w:rPr>
                <w:noProof/>
              </w:rPr>
              <w:t>Consumer-related aspects are already sufficiently covered through existing EU consumer protection legislation and are not altered by the introduction of an optional corporate legal form. Retaining this impact type would therefore risk overstating downstream effects and duplicating considerations addressed elsewhere.</w:t>
            </w:r>
          </w:p>
          <w:p w14:paraId="091D855B" w14:textId="77777777" w:rsidR="00CC4966" w:rsidRDefault="00CC4966" w:rsidP="006C3130">
            <w:pPr>
              <w:pStyle w:val="TableText"/>
              <w:spacing w:before="100" w:beforeAutospacing="1" w:after="100" w:afterAutospacing="1"/>
              <w:ind w:left="0"/>
              <w:jc w:val="both"/>
              <w:rPr>
                <w:noProof/>
              </w:rPr>
            </w:pPr>
            <w:r>
              <w:rPr>
                <w:noProof/>
              </w:rPr>
              <w:t>Relevant links to SDG 12 (responsible consumption) and SDG 17 (institutional cooperation) remain acknowledged at a general level but are not materially affected by the initiative.</w:t>
            </w:r>
          </w:p>
        </w:tc>
        <w:tc>
          <w:tcPr>
            <w:tcW w:w="0" w:type="auto"/>
            <w:shd w:val="clear" w:color="auto" w:fill="D6E3BC" w:themeFill="accent3" w:themeFillTint="66"/>
            <w:vAlign w:val="center"/>
          </w:tcPr>
          <w:p w14:paraId="4C91B818" w14:textId="77777777" w:rsidR="00CC4966" w:rsidRPr="00F74170" w:rsidRDefault="00CC4966">
            <w:pPr>
              <w:pStyle w:val="TableText"/>
              <w:spacing w:line="276" w:lineRule="auto"/>
              <w:jc w:val="center"/>
              <w:rPr>
                <w:noProof/>
              </w:rPr>
            </w:pPr>
          </w:p>
        </w:tc>
      </w:tr>
      <w:tr w:rsidR="000C1549" w:rsidRPr="00143EBC" w14:paraId="572F70FE"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289BC7D9" w14:textId="77777777" w:rsidR="00A17652" w:rsidRPr="00F138B9" w:rsidRDefault="00A17652">
            <w:pPr>
              <w:pStyle w:val="Bullet1"/>
              <w:numPr>
                <w:ilvl w:val="0"/>
                <w:numId w:val="0"/>
              </w:numPr>
              <w:spacing w:line="276" w:lineRule="auto"/>
              <w:ind w:left="340"/>
              <w:rPr>
                <w:noProof/>
                <w:sz w:val="18"/>
                <w:szCs w:val="18"/>
              </w:rPr>
            </w:pPr>
            <w:r w:rsidRPr="00F138B9">
              <w:rPr>
                <w:noProof/>
              </w:rPr>
              <w:t>Technological development / digital economy</w:t>
            </w:r>
          </w:p>
          <w:p w14:paraId="7B4E9A75" w14:textId="77777777" w:rsidR="00A17652" w:rsidRPr="00F138B9" w:rsidRDefault="00A17652">
            <w:pPr>
              <w:pStyle w:val="Bullet1"/>
              <w:numPr>
                <w:ilvl w:val="0"/>
                <w:numId w:val="0"/>
              </w:numPr>
              <w:spacing w:line="276" w:lineRule="auto"/>
              <w:ind w:left="680"/>
              <w:rPr>
                <w:noProof/>
              </w:rPr>
            </w:pPr>
          </w:p>
        </w:tc>
        <w:tc>
          <w:tcPr>
            <w:tcW w:w="0" w:type="auto"/>
            <w:shd w:val="clear" w:color="auto" w:fill="F2F2F2" w:themeFill="background1" w:themeFillShade="F2"/>
            <w:tcMar>
              <w:top w:w="15" w:type="dxa"/>
              <w:left w:w="15" w:type="dxa"/>
              <w:bottom w:w="0" w:type="dxa"/>
              <w:right w:w="15" w:type="dxa"/>
            </w:tcMar>
          </w:tcPr>
          <w:p w14:paraId="1188776A" w14:textId="77777777" w:rsidR="00A17652" w:rsidRPr="00F138B9" w:rsidRDefault="00A17652">
            <w:pPr>
              <w:pStyle w:val="TableText"/>
              <w:spacing w:line="276" w:lineRule="auto"/>
              <w:rPr>
                <w:noProof/>
              </w:rPr>
            </w:pPr>
            <w:r w:rsidRPr="00F138B9">
              <w:rPr>
                <w:noProof/>
              </w:rPr>
              <w:t>●●</w:t>
            </w:r>
          </w:p>
        </w:tc>
        <w:tc>
          <w:tcPr>
            <w:tcW w:w="0" w:type="auto"/>
            <w:shd w:val="clear" w:color="auto" w:fill="F2F2F2" w:themeFill="background1" w:themeFillShade="F2"/>
            <w:tcMar>
              <w:top w:w="15" w:type="dxa"/>
              <w:left w:w="15" w:type="dxa"/>
              <w:bottom w:w="0" w:type="dxa"/>
              <w:right w:w="15" w:type="dxa"/>
            </w:tcMar>
          </w:tcPr>
          <w:p w14:paraId="3B59C931" w14:textId="77777777" w:rsidR="00A17652" w:rsidRPr="00F138B9" w:rsidRDefault="00A17652">
            <w:pPr>
              <w:pStyle w:val="TableText"/>
              <w:spacing w:line="276" w:lineRule="auto"/>
              <w:rPr>
                <w:noProof/>
              </w:rPr>
            </w:pPr>
            <w:r w:rsidRPr="00F138B9">
              <w:rPr>
                <w:noProof/>
              </w:rPr>
              <w:t>●●</w:t>
            </w:r>
          </w:p>
        </w:tc>
        <w:tc>
          <w:tcPr>
            <w:tcW w:w="0" w:type="auto"/>
            <w:shd w:val="clear" w:color="auto" w:fill="F2F2F2" w:themeFill="background1" w:themeFillShade="F2"/>
          </w:tcPr>
          <w:p w14:paraId="7E8832AA" w14:textId="77777777" w:rsidR="00A17652" w:rsidRDefault="00A17652">
            <w:pPr>
              <w:pStyle w:val="TableText"/>
              <w:spacing w:line="276" w:lineRule="auto"/>
              <w:rPr>
                <w:noProof/>
              </w:rPr>
            </w:pPr>
            <w:r w:rsidRPr="00136092">
              <w:rPr>
                <w:noProof/>
              </w:rPr>
              <w:t>●●●</w:t>
            </w:r>
          </w:p>
        </w:tc>
        <w:tc>
          <w:tcPr>
            <w:tcW w:w="0" w:type="auto"/>
            <w:shd w:val="clear" w:color="auto" w:fill="F2F2F2" w:themeFill="background1" w:themeFillShade="F2"/>
            <w:tcMar>
              <w:top w:w="15" w:type="dxa"/>
              <w:left w:w="15" w:type="dxa"/>
              <w:bottom w:w="0" w:type="dxa"/>
              <w:right w:w="15" w:type="dxa"/>
            </w:tcMar>
          </w:tcPr>
          <w:p w14:paraId="4A0CAA1B" w14:textId="77777777" w:rsidR="00A17652" w:rsidRPr="002C6AE3" w:rsidRDefault="00A17652">
            <w:pPr>
              <w:pStyle w:val="TableText"/>
              <w:spacing w:line="276" w:lineRule="auto"/>
              <w:rPr>
                <w:noProof/>
                <w:color w:val="002395"/>
                <w:sz w:val="24"/>
                <w:szCs w:val="28"/>
              </w:rPr>
            </w:pPr>
          </w:p>
        </w:tc>
        <w:tc>
          <w:tcPr>
            <w:tcW w:w="0" w:type="auto"/>
            <w:shd w:val="clear" w:color="auto" w:fill="F2F2F2" w:themeFill="background1" w:themeFillShade="F2"/>
            <w:tcMar>
              <w:top w:w="15" w:type="dxa"/>
              <w:left w:w="15" w:type="dxa"/>
              <w:bottom w:w="0" w:type="dxa"/>
              <w:right w:w="15" w:type="dxa"/>
            </w:tcMar>
            <w:vAlign w:val="center"/>
          </w:tcPr>
          <w:p w14:paraId="62E69B82" w14:textId="77777777" w:rsidR="00A17652" w:rsidRPr="00346C7F" w:rsidRDefault="00A17652" w:rsidP="006C3130">
            <w:pPr>
              <w:spacing w:before="100" w:beforeAutospacing="1" w:after="100" w:afterAutospacing="1"/>
              <w:jc w:val="both"/>
              <w:rPr>
                <w:rFonts w:ascii="Times New Roman" w:hAnsi="Times New Roman" w:cs="Times New Roman"/>
                <w:noProof/>
                <w:sz w:val="24"/>
                <w:szCs w:val="24"/>
              </w:rPr>
            </w:pPr>
            <w:r>
              <w:rPr>
                <w:noProof/>
              </w:rPr>
              <w:t>This initiative introduces “</w:t>
            </w:r>
            <w:r w:rsidRPr="00A17CBA">
              <w:rPr>
                <w:noProof/>
              </w:rPr>
              <w:t xml:space="preserve">digital-only” rules and </w:t>
            </w:r>
            <w:r>
              <w:rPr>
                <w:noProof/>
              </w:rPr>
              <w:t xml:space="preserve">procedures </w:t>
            </w:r>
            <w:r w:rsidRPr="00A17CBA">
              <w:rPr>
                <w:noProof/>
              </w:rPr>
              <w:t>throughout the lifecycle</w:t>
            </w:r>
            <w:r>
              <w:rPr>
                <w:noProof/>
              </w:rPr>
              <w:t xml:space="preserve"> of the 28</w:t>
            </w:r>
            <w:r w:rsidRPr="00A17CBA">
              <w:rPr>
                <w:noProof/>
                <w:vertAlign w:val="superscript"/>
              </w:rPr>
              <w:t>th</w:t>
            </w:r>
            <w:r>
              <w:rPr>
                <w:noProof/>
              </w:rPr>
              <w:t xml:space="preserve"> regime companies, including for setting up, for attracting capital (e.g. adjusting capital), for closing a company. It also introduces once-only transmission of information between authorities (business registers, tax and social security authorities, beneficial ownership registers) for setting up and also once-only transmission in case of closure of 28</w:t>
            </w:r>
            <w:r w:rsidRPr="00A17CBA">
              <w:rPr>
                <w:noProof/>
                <w:vertAlign w:val="superscript"/>
              </w:rPr>
              <w:t>th</w:t>
            </w:r>
            <w:r>
              <w:rPr>
                <w:noProof/>
              </w:rPr>
              <w:t xml:space="preserve"> regime companies. This initiative also aims to reduce burdens and costs on companies through the use of digital tools and application of the once-only principle.</w:t>
            </w:r>
          </w:p>
          <w:p w14:paraId="43E8B1ED" w14:textId="77777777" w:rsidR="00A17652" w:rsidRDefault="00A17652" w:rsidP="006C3130">
            <w:pPr>
              <w:pStyle w:val="TableText"/>
              <w:spacing w:before="100" w:beforeAutospacing="1" w:after="100" w:afterAutospacing="1"/>
              <w:ind w:left="0"/>
              <w:jc w:val="both"/>
              <w:rPr>
                <w:noProof/>
              </w:rPr>
            </w:pPr>
            <w:r>
              <w:rPr>
                <w:noProof/>
              </w:rPr>
              <w:t>This impact is not retained as a separate category, since the expected improvements in digital public administration are already covered under the impact types related to administrative burdens on business and costs for public authorities.</w:t>
            </w:r>
          </w:p>
        </w:tc>
        <w:tc>
          <w:tcPr>
            <w:tcW w:w="0" w:type="auto"/>
            <w:shd w:val="clear" w:color="auto" w:fill="D6E3BC" w:themeFill="accent3" w:themeFillTint="66"/>
            <w:vAlign w:val="center"/>
          </w:tcPr>
          <w:p w14:paraId="50FEB9EC" w14:textId="77777777" w:rsidR="00A17652" w:rsidRPr="002C6AE3" w:rsidRDefault="00A17652">
            <w:pPr>
              <w:pStyle w:val="TableText"/>
              <w:spacing w:line="276" w:lineRule="auto"/>
              <w:jc w:val="center"/>
              <w:rPr>
                <w:noProof/>
                <w:color w:val="002395"/>
                <w:sz w:val="24"/>
                <w:szCs w:val="28"/>
              </w:rPr>
            </w:pPr>
          </w:p>
        </w:tc>
      </w:tr>
      <w:tr w:rsidR="000C1549" w:rsidRPr="00143EBC" w14:paraId="1F86AA8C"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5047DF91" w14:textId="342D497E" w:rsidR="008D6F7A" w:rsidRDefault="00521DCA">
            <w:pPr>
              <w:pStyle w:val="Bullet1"/>
              <w:numPr>
                <w:ilvl w:val="0"/>
                <w:numId w:val="0"/>
              </w:numPr>
              <w:spacing w:line="276" w:lineRule="auto"/>
              <w:ind w:left="340"/>
              <w:rPr>
                <w:noProof/>
              </w:rPr>
            </w:pPr>
            <w:r>
              <w:rPr>
                <w:noProof/>
              </w:rPr>
              <w:t>Capital movements; financial markets; stability of the euro</w:t>
            </w:r>
          </w:p>
        </w:tc>
        <w:tc>
          <w:tcPr>
            <w:tcW w:w="0" w:type="auto"/>
            <w:shd w:val="clear" w:color="auto" w:fill="F2F2F2" w:themeFill="background1" w:themeFillShade="F2"/>
            <w:tcMar>
              <w:top w:w="15" w:type="dxa"/>
              <w:left w:w="15" w:type="dxa"/>
              <w:bottom w:w="0" w:type="dxa"/>
              <w:right w:w="15" w:type="dxa"/>
            </w:tcMar>
          </w:tcPr>
          <w:p w14:paraId="70589171" w14:textId="77777777" w:rsidR="008D6F7A" w:rsidRPr="00136092" w:rsidRDefault="008D6F7A">
            <w:pPr>
              <w:pStyle w:val="TableText"/>
              <w:spacing w:line="276" w:lineRule="auto"/>
              <w:rPr>
                <w:noProof/>
              </w:rPr>
            </w:pPr>
            <w:r>
              <w:rPr>
                <w:noProof/>
              </w:rPr>
              <w:t>●</w:t>
            </w:r>
          </w:p>
        </w:tc>
        <w:tc>
          <w:tcPr>
            <w:tcW w:w="0" w:type="auto"/>
            <w:shd w:val="clear" w:color="auto" w:fill="F2F2F2" w:themeFill="background1" w:themeFillShade="F2"/>
            <w:tcMar>
              <w:top w:w="15" w:type="dxa"/>
              <w:left w:w="15" w:type="dxa"/>
              <w:bottom w:w="0" w:type="dxa"/>
              <w:right w:w="15" w:type="dxa"/>
            </w:tcMar>
          </w:tcPr>
          <w:p w14:paraId="10D09F1B" w14:textId="77777777" w:rsidR="008D6F7A" w:rsidRPr="00136092" w:rsidRDefault="008D6F7A">
            <w:pPr>
              <w:pStyle w:val="TableText"/>
              <w:spacing w:line="276" w:lineRule="auto"/>
              <w:rPr>
                <w:noProof/>
              </w:rPr>
            </w:pPr>
            <w:r>
              <w:rPr>
                <w:noProof/>
              </w:rPr>
              <w:t>●</w:t>
            </w:r>
          </w:p>
        </w:tc>
        <w:tc>
          <w:tcPr>
            <w:tcW w:w="0" w:type="auto"/>
            <w:shd w:val="clear" w:color="auto" w:fill="F2F2F2" w:themeFill="background1" w:themeFillShade="F2"/>
          </w:tcPr>
          <w:p w14:paraId="2E747672" w14:textId="77777777" w:rsidR="008D6F7A" w:rsidRPr="00136092" w:rsidRDefault="008D6F7A">
            <w:pPr>
              <w:pStyle w:val="TableText"/>
              <w:spacing w:line="276" w:lineRule="auto"/>
              <w:rPr>
                <w:noProof/>
              </w:rPr>
            </w:pPr>
            <w:r>
              <w:rPr>
                <w:noProof/>
              </w:rPr>
              <w:t>●</w:t>
            </w:r>
          </w:p>
        </w:tc>
        <w:tc>
          <w:tcPr>
            <w:tcW w:w="0" w:type="auto"/>
            <w:shd w:val="clear" w:color="auto" w:fill="F2F2F2" w:themeFill="background1" w:themeFillShade="F2"/>
            <w:tcMar>
              <w:top w:w="15" w:type="dxa"/>
              <w:left w:w="15" w:type="dxa"/>
              <w:bottom w:w="0" w:type="dxa"/>
              <w:right w:w="15" w:type="dxa"/>
            </w:tcMar>
          </w:tcPr>
          <w:p w14:paraId="44F0D0A0" w14:textId="32C28745" w:rsidR="008D6F7A" w:rsidRPr="006C3130" w:rsidRDefault="008D6F7A">
            <w:pPr>
              <w:pStyle w:val="TableText"/>
              <w:spacing w:line="276" w:lineRule="auto"/>
              <w:rPr>
                <w:noProof/>
                <w:color w:val="002395"/>
                <w:szCs w:val="20"/>
              </w:rPr>
            </w:pPr>
          </w:p>
        </w:tc>
        <w:tc>
          <w:tcPr>
            <w:tcW w:w="0" w:type="auto"/>
            <w:shd w:val="clear" w:color="auto" w:fill="F2F2F2" w:themeFill="background1" w:themeFillShade="F2"/>
            <w:tcMar>
              <w:top w:w="15" w:type="dxa"/>
              <w:left w:w="15" w:type="dxa"/>
              <w:bottom w:w="0" w:type="dxa"/>
              <w:right w:w="15" w:type="dxa"/>
            </w:tcMar>
            <w:vAlign w:val="center"/>
          </w:tcPr>
          <w:p w14:paraId="65806277" w14:textId="77777777" w:rsidR="008D6F7A" w:rsidRPr="006C3130" w:rsidRDefault="008D6F7A">
            <w:pPr>
              <w:spacing w:before="100" w:beforeAutospacing="1" w:after="100" w:afterAutospacing="1"/>
              <w:jc w:val="both"/>
              <w:rPr>
                <w:rFonts w:eastAsia="Times New Roman" w:cs="Times New Roman"/>
                <w:noProof/>
                <w:color w:val="auto"/>
                <w:szCs w:val="20"/>
                <w:lang w:eastAsia="nl-BE"/>
              </w:rPr>
            </w:pPr>
            <w:r w:rsidRPr="006C3130">
              <w:rPr>
                <w:rFonts w:eastAsia="Times New Roman" w:cs="Times New Roman"/>
                <w:noProof/>
                <w:color w:val="auto"/>
                <w:szCs w:val="20"/>
                <w:lang w:eastAsia="nl-BE"/>
              </w:rPr>
              <w:t>The 28th regime corporate proposal is not expected to have a material or systemic effect on capital movements, the functioning of financial markets or the stability of the euro. The initiative does not target monetary policy, financial market regulation or euro area stability mechanisms and therefore does not directly influence macro-level capital flows or financial stability conditions.</w:t>
            </w:r>
          </w:p>
          <w:p w14:paraId="094E4EFE" w14:textId="181908F1" w:rsidR="008D6F7A" w:rsidRPr="006C3130" w:rsidRDefault="008D6F7A">
            <w:pPr>
              <w:spacing w:before="100" w:beforeAutospacing="1" w:after="100" w:afterAutospacing="1"/>
              <w:jc w:val="both"/>
              <w:rPr>
                <w:rFonts w:eastAsia="Times New Roman" w:cs="Times New Roman"/>
                <w:noProof/>
                <w:color w:val="auto"/>
                <w:szCs w:val="20"/>
                <w:lang w:eastAsia="nl-BE"/>
              </w:rPr>
            </w:pPr>
            <w:r w:rsidRPr="006C3130">
              <w:rPr>
                <w:rFonts w:eastAsia="Times New Roman" w:cs="Times New Roman"/>
                <w:noProof/>
                <w:color w:val="auto"/>
                <w:szCs w:val="20"/>
                <w:lang w:eastAsia="nl-BE"/>
              </w:rPr>
              <w:t xml:space="preserve">Nevertheless, the initiative may affect </w:t>
            </w:r>
            <w:r w:rsidR="00872427" w:rsidRPr="006C3130">
              <w:rPr>
                <w:rFonts w:eastAsia="Times New Roman" w:cs="Times New Roman"/>
                <w:noProof/>
                <w:color w:val="auto"/>
                <w:szCs w:val="20"/>
                <w:lang w:eastAsia="nl-BE"/>
              </w:rPr>
              <w:t>companies</w:t>
            </w:r>
            <w:r w:rsidRPr="006C3130">
              <w:rPr>
                <w:rFonts w:eastAsia="Times New Roman" w:cs="Times New Roman"/>
                <w:noProof/>
                <w:color w:val="auto"/>
                <w:szCs w:val="20"/>
                <w:lang w:eastAsia="nl-BE"/>
              </w:rPr>
              <w:t xml:space="preserve">’ ability to attract investors at micro level, notably through increased legal clarity, simplified corporate procedures and reduced regulatory fragmentation. These effects concern </w:t>
            </w:r>
            <w:r w:rsidR="00872427" w:rsidRPr="006C3130">
              <w:rPr>
                <w:rFonts w:eastAsia="Times New Roman" w:cs="Times New Roman"/>
                <w:noProof/>
                <w:color w:val="auto"/>
                <w:szCs w:val="20"/>
                <w:lang w:eastAsia="nl-BE"/>
              </w:rPr>
              <w:t>company</w:t>
            </w:r>
            <w:r w:rsidRPr="006C3130">
              <w:rPr>
                <w:rFonts w:eastAsia="Times New Roman" w:cs="Times New Roman"/>
                <w:noProof/>
                <w:color w:val="auto"/>
                <w:szCs w:val="20"/>
                <w:lang w:eastAsia="nl-BE"/>
              </w:rPr>
              <w:t>-level investment attractiveness and cross-border growth incentives rather than financial market functioning as such.</w:t>
            </w:r>
          </w:p>
          <w:p w14:paraId="5666E35E" w14:textId="11A00E8B" w:rsidR="008D6F7A" w:rsidRDefault="008D6F7A">
            <w:pPr>
              <w:spacing w:before="100" w:beforeAutospacing="1" w:after="100" w:afterAutospacing="1"/>
              <w:jc w:val="both"/>
              <w:rPr>
                <w:noProof/>
              </w:rPr>
            </w:pPr>
            <w:r w:rsidRPr="006C3130">
              <w:rPr>
                <w:rFonts w:eastAsia="Times New Roman" w:cs="Times New Roman"/>
                <w:noProof/>
                <w:color w:val="auto"/>
                <w:szCs w:val="20"/>
                <w:lang w:eastAsia="nl-BE"/>
              </w:rPr>
              <w:t xml:space="preserve">For this reason, the impact type is not retained as a standalone impact in the assessment of capital movements or financial markets. Instead, the relevant effects are retained through clustering under the priority impact “Ease of attracting investment”, which captures how the 28th regime may influence </w:t>
            </w:r>
            <w:r w:rsidR="00872427" w:rsidRPr="006C3130">
              <w:rPr>
                <w:rFonts w:eastAsia="Times New Roman" w:cs="Times New Roman"/>
                <w:noProof/>
                <w:color w:val="auto"/>
                <w:szCs w:val="20"/>
                <w:lang w:eastAsia="nl-BE"/>
              </w:rPr>
              <w:t>companies</w:t>
            </w:r>
            <w:r w:rsidRPr="006C3130">
              <w:rPr>
                <w:rFonts w:eastAsia="Times New Roman" w:cs="Times New Roman"/>
                <w:noProof/>
                <w:color w:val="auto"/>
                <w:szCs w:val="20"/>
                <w:lang w:eastAsia="nl-BE"/>
              </w:rPr>
              <w:t xml:space="preserve">’ attractiveness to investors and support investment-related decisions. </w:t>
            </w:r>
          </w:p>
        </w:tc>
        <w:tc>
          <w:tcPr>
            <w:tcW w:w="0" w:type="auto"/>
            <w:shd w:val="clear" w:color="auto" w:fill="D6E3BC" w:themeFill="accent3" w:themeFillTint="66"/>
            <w:vAlign w:val="center"/>
          </w:tcPr>
          <w:p w14:paraId="442D78F8" w14:textId="77777777" w:rsidR="008D6F7A" w:rsidRPr="002C6AE3" w:rsidRDefault="008D6F7A">
            <w:pPr>
              <w:pStyle w:val="TableText"/>
              <w:spacing w:line="276" w:lineRule="auto"/>
              <w:jc w:val="center"/>
              <w:rPr>
                <w:noProof/>
                <w:color w:val="002395"/>
                <w:sz w:val="24"/>
                <w:szCs w:val="28"/>
              </w:rPr>
            </w:pPr>
          </w:p>
        </w:tc>
      </w:tr>
      <w:tr w:rsidR="000C1549" w:rsidRPr="00C313A1" w14:paraId="58558F63" w14:textId="77777777" w:rsidTr="00294B49">
        <w:trPr>
          <w:trHeight w:val="300"/>
        </w:trPr>
        <w:tc>
          <w:tcPr>
            <w:tcW w:w="0" w:type="auto"/>
            <w:shd w:val="clear" w:color="auto" w:fill="DBE5F1" w:themeFill="accent1" w:themeFillTint="33"/>
            <w:tcMar>
              <w:top w:w="15" w:type="dxa"/>
              <w:left w:w="15" w:type="dxa"/>
              <w:bottom w:w="0" w:type="dxa"/>
              <w:right w:w="15" w:type="dxa"/>
            </w:tcMar>
            <w:vAlign w:val="center"/>
          </w:tcPr>
          <w:p w14:paraId="619DBA90" w14:textId="77777777" w:rsidR="006D5E5B" w:rsidRPr="00C313A1" w:rsidRDefault="006D5E5B">
            <w:pPr>
              <w:pStyle w:val="TableText"/>
              <w:spacing w:line="276" w:lineRule="auto"/>
              <w:rPr>
                <w:b/>
                <w:bCs/>
                <w:noProof/>
                <w:color w:val="000000"/>
                <w:sz w:val="16"/>
                <w:szCs w:val="18"/>
              </w:rPr>
            </w:pPr>
            <w:r w:rsidRPr="00C313A1">
              <w:rPr>
                <w:b/>
                <w:bCs/>
                <w:noProof/>
                <w:color w:val="000000"/>
                <w:sz w:val="16"/>
                <w:szCs w:val="18"/>
              </w:rPr>
              <w:t>Overarching impacts</w:t>
            </w:r>
          </w:p>
        </w:tc>
        <w:tc>
          <w:tcPr>
            <w:tcW w:w="0" w:type="auto"/>
            <w:shd w:val="clear" w:color="auto" w:fill="DBE5F1" w:themeFill="accent1" w:themeFillTint="33"/>
            <w:tcMar>
              <w:top w:w="15" w:type="dxa"/>
              <w:left w:w="450" w:type="dxa"/>
              <w:bottom w:w="0" w:type="dxa"/>
              <w:right w:w="15" w:type="dxa"/>
            </w:tcMar>
            <w:vAlign w:val="center"/>
          </w:tcPr>
          <w:p w14:paraId="7B0B1581" w14:textId="77777777" w:rsidR="006D5E5B" w:rsidRPr="00C313A1" w:rsidRDefault="006D5E5B">
            <w:pPr>
              <w:pStyle w:val="TableText"/>
              <w:spacing w:line="276" w:lineRule="auto"/>
              <w:rPr>
                <w:rFonts w:ascii="Arial" w:hAnsi="Arial" w:cs="Arial"/>
                <w:b/>
                <w:bCs/>
                <w:i/>
                <w:iCs/>
                <w:noProof/>
                <w:color w:val="1F497D" w:themeColor="text2"/>
              </w:rPr>
            </w:pPr>
          </w:p>
        </w:tc>
        <w:tc>
          <w:tcPr>
            <w:tcW w:w="0" w:type="auto"/>
            <w:shd w:val="clear" w:color="auto" w:fill="DBE5F1" w:themeFill="accent1" w:themeFillTint="33"/>
            <w:tcMar>
              <w:top w:w="15" w:type="dxa"/>
              <w:left w:w="450" w:type="dxa"/>
              <w:bottom w:w="0" w:type="dxa"/>
              <w:right w:w="15" w:type="dxa"/>
            </w:tcMar>
            <w:vAlign w:val="center"/>
          </w:tcPr>
          <w:p w14:paraId="7344E4FB" w14:textId="77777777" w:rsidR="006D5E5B" w:rsidRPr="00C313A1" w:rsidRDefault="006D5E5B">
            <w:pPr>
              <w:pStyle w:val="TableText"/>
              <w:spacing w:line="276" w:lineRule="auto"/>
              <w:rPr>
                <w:rFonts w:ascii="Arial" w:hAnsi="Arial" w:cs="Arial"/>
                <w:b/>
                <w:bCs/>
                <w:i/>
                <w:iCs/>
                <w:noProof/>
                <w:color w:val="1F497D" w:themeColor="text2"/>
              </w:rPr>
            </w:pPr>
          </w:p>
        </w:tc>
        <w:tc>
          <w:tcPr>
            <w:tcW w:w="0" w:type="auto"/>
            <w:shd w:val="clear" w:color="auto" w:fill="DBE5F1" w:themeFill="accent1" w:themeFillTint="33"/>
            <w:vAlign w:val="center"/>
          </w:tcPr>
          <w:p w14:paraId="35115969" w14:textId="77777777" w:rsidR="006D5E5B" w:rsidRPr="00C313A1" w:rsidRDefault="006D5E5B">
            <w:pPr>
              <w:pStyle w:val="TableText"/>
              <w:spacing w:line="276" w:lineRule="auto"/>
              <w:rPr>
                <w:rFonts w:ascii="Arial" w:hAnsi="Arial" w:cs="Arial"/>
                <w:b/>
                <w:bCs/>
                <w:i/>
                <w:iCs/>
                <w:noProof/>
                <w:color w:val="1F497D" w:themeColor="text2"/>
              </w:rPr>
            </w:pPr>
          </w:p>
        </w:tc>
        <w:tc>
          <w:tcPr>
            <w:tcW w:w="0" w:type="auto"/>
            <w:shd w:val="clear" w:color="auto" w:fill="DBE5F1" w:themeFill="accent1" w:themeFillTint="33"/>
            <w:tcMar>
              <w:top w:w="15" w:type="dxa"/>
              <w:left w:w="450" w:type="dxa"/>
              <w:bottom w:w="0" w:type="dxa"/>
              <w:right w:w="15" w:type="dxa"/>
            </w:tcMar>
            <w:vAlign w:val="center"/>
          </w:tcPr>
          <w:p w14:paraId="759FDE18" w14:textId="77777777" w:rsidR="006D5E5B" w:rsidRPr="00C313A1" w:rsidRDefault="006D5E5B">
            <w:pPr>
              <w:pStyle w:val="TableText"/>
              <w:spacing w:line="276" w:lineRule="auto"/>
              <w:rPr>
                <w:b/>
                <w:bCs/>
                <w:noProof/>
                <w:color w:val="002395"/>
                <w:sz w:val="16"/>
                <w:szCs w:val="18"/>
              </w:rPr>
            </w:pPr>
          </w:p>
        </w:tc>
        <w:tc>
          <w:tcPr>
            <w:tcW w:w="0" w:type="auto"/>
            <w:shd w:val="clear" w:color="auto" w:fill="DBE5F1" w:themeFill="accent1" w:themeFillTint="33"/>
            <w:tcMar>
              <w:top w:w="15" w:type="dxa"/>
              <w:left w:w="450" w:type="dxa"/>
              <w:bottom w:w="0" w:type="dxa"/>
              <w:right w:w="15" w:type="dxa"/>
            </w:tcMar>
            <w:vAlign w:val="center"/>
          </w:tcPr>
          <w:p w14:paraId="11182D77" w14:textId="77777777" w:rsidR="006D5E5B" w:rsidRPr="00C313A1" w:rsidRDefault="006D5E5B">
            <w:pPr>
              <w:pStyle w:val="TableText"/>
              <w:spacing w:line="276" w:lineRule="auto"/>
              <w:rPr>
                <w:b/>
                <w:bCs/>
                <w:noProof/>
                <w:color w:val="auto"/>
                <w:sz w:val="16"/>
                <w:szCs w:val="18"/>
              </w:rPr>
            </w:pPr>
          </w:p>
        </w:tc>
        <w:tc>
          <w:tcPr>
            <w:tcW w:w="0" w:type="auto"/>
            <w:shd w:val="clear" w:color="auto" w:fill="DBE5F1" w:themeFill="accent1" w:themeFillTint="33"/>
            <w:vAlign w:val="center"/>
          </w:tcPr>
          <w:p w14:paraId="6794F3B0" w14:textId="77777777" w:rsidR="006D5E5B" w:rsidRPr="00C313A1" w:rsidRDefault="006D5E5B">
            <w:pPr>
              <w:pStyle w:val="TableText"/>
              <w:spacing w:line="276" w:lineRule="auto"/>
              <w:jc w:val="center"/>
              <w:rPr>
                <w:b/>
                <w:bCs/>
                <w:noProof/>
                <w:color w:val="auto"/>
                <w:sz w:val="16"/>
                <w:szCs w:val="18"/>
              </w:rPr>
            </w:pPr>
          </w:p>
        </w:tc>
      </w:tr>
      <w:tr w:rsidR="000C1549" w:rsidRPr="00143EBC" w14:paraId="4C046FD3"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55A8B2B4" w14:textId="77777777" w:rsidR="00792AB6" w:rsidRPr="009733CA" w:rsidRDefault="00792AB6" w:rsidP="003D381C">
            <w:pPr>
              <w:pStyle w:val="Bullet1"/>
              <w:numPr>
                <w:ilvl w:val="0"/>
                <w:numId w:val="0"/>
              </w:numPr>
              <w:spacing w:line="276" w:lineRule="auto"/>
              <w:ind w:left="412"/>
              <w:rPr>
                <w:noProof/>
                <w:sz w:val="18"/>
                <w:szCs w:val="18"/>
              </w:rPr>
            </w:pPr>
            <w:r>
              <w:rPr>
                <w:noProof/>
              </w:rPr>
              <w:t>Fraud, crime, terrorism, and security, including hybrid threats</w:t>
            </w:r>
          </w:p>
          <w:p w14:paraId="43DC90B6" w14:textId="77777777" w:rsidR="00792AB6" w:rsidRDefault="00792AB6">
            <w:pPr>
              <w:pStyle w:val="TableText"/>
              <w:spacing w:line="276" w:lineRule="auto"/>
              <w:rPr>
                <w:noProof/>
                <w:color w:val="000000"/>
                <w:sz w:val="16"/>
                <w:szCs w:val="18"/>
              </w:rPr>
            </w:pPr>
          </w:p>
        </w:tc>
        <w:tc>
          <w:tcPr>
            <w:tcW w:w="0" w:type="auto"/>
            <w:shd w:val="clear" w:color="auto" w:fill="F2F2F2" w:themeFill="background1" w:themeFillShade="F2"/>
            <w:tcMar>
              <w:top w:w="15" w:type="dxa"/>
              <w:left w:w="450" w:type="dxa"/>
              <w:bottom w:w="0" w:type="dxa"/>
              <w:right w:w="15" w:type="dxa"/>
            </w:tcMar>
          </w:tcPr>
          <w:p w14:paraId="7FA8707A" w14:textId="77777777" w:rsidR="00792AB6" w:rsidRPr="002C6AE3" w:rsidRDefault="00792AB6">
            <w:pPr>
              <w:pStyle w:val="TableText"/>
              <w:spacing w:line="276" w:lineRule="auto"/>
              <w:rPr>
                <w:rFonts w:ascii="Arial" w:hAnsi="Arial" w:cs="Arial"/>
                <w:i/>
                <w:iCs/>
                <w:noProof/>
                <w:color w:val="1F497D" w:themeColor="text2"/>
              </w:rPr>
            </w:pPr>
            <w:r>
              <w:rPr>
                <w:noProof/>
              </w:rPr>
              <w:t>●</w:t>
            </w:r>
          </w:p>
        </w:tc>
        <w:tc>
          <w:tcPr>
            <w:tcW w:w="0" w:type="auto"/>
            <w:shd w:val="clear" w:color="auto" w:fill="F2F2F2" w:themeFill="background1" w:themeFillShade="F2"/>
            <w:tcMar>
              <w:top w:w="15" w:type="dxa"/>
              <w:left w:w="450" w:type="dxa"/>
              <w:bottom w:w="0" w:type="dxa"/>
              <w:right w:w="15" w:type="dxa"/>
            </w:tcMar>
          </w:tcPr>
          <w:p w14:paraId="7BEFFAC4" w14:textId="77777777" w:rsidR="00792AB6" w:rsidRPr="002C6AE3" w:rsidRDefault="00792AB6">
            <w:pPr>
              <w:pStyle w:val="TableText"/>
              <w:spacing w:line="276" w:lineRule="auto"/>
              <w:rPr>
                <w:rFonts w:ascii="Arial" w:hAnsi="Arial" w:cs="Arial"/>
                <w:i/>
                <w:iCs/>
                <w:noProof/>
                <w:color w:val="1F497D" w:themeColor="text2"/>
              </w:rPr>
            </w:pPr>
            <w:r>
              <w:rPr>
                <w:noProof/>
              </w:rPr>
              <w:t>●</w:t>
            </w:r>
          </w:p>
        </w:tc>
        <w:tc>
          <w:tcPr>
            <w:tcW w:w="0" w:type="auto"/>
            <w:shd w:val="clear" w:color="auto" w:fill="F2F2F2" w:themeFill="background1" w:themeFillShade="F2"/>
          </w:tcPr>
          <w:p w14:paraId="40743A8C" w14:textId="77777777" w:rsidR="00792AB6" w:rsidRPr="002C6AE3" w:rsidRDefault="00792AB6">
            <w:pPr>
              <w:pStyle w:val="TableText"/>
              <w:spacing w:line="276" w:lineRule="auto"/>
              <w:rPr>
                <w:rFonts w:ascii="Arial" w:hAnsi="Arial" w:cs="Arial"/>
                <w:i/>
                <w:iCs/>
                <w:noProof/>
                <w:color w:val="1F497D" w:themeColor="text2"/>
              </w:rPr>
            </w:pPr>
            <w:r>
              <w:rPr>
                <w:noProof/>
              </w:rPr>
              <w:t>●</w:t>
            </w:r>
          </w:p>
        </w:tc>
        <w:tc>
          <w:tcPr>
            <w:tcW w:w="0" w:type="auto"/>
            <w:shd w:val="clear" w:color="auto" w:fill="F2F2F2" w:themeFill="background1" w:themeFillShade="F2"/>
            <w:tcMar>
              <w:top w:w="15" w:type="dxa"/>
              <w:left w:w="450" w:type="dxa"/>
              <w:bottom w:w="0" w:type="dxa"/>
              <w:right w:w="15" w:type="dxa"/>
            </w:tcMar>
          </w:tcPr>
          <w:p w14:paraId="45F6E4C0" w14:textId="465C26BC" w:rsidR="00792AB6" w:rsidRPr="003B1290" w:rsidRDefault="00792AB6">
            <w:pPr>
              <w:pStyle w:val="TableText"/>
              <w:spacing w:line="276" w:lineRule="auto"/>
              <w:rPr>
                <w:noProof/>
                <w:color w:val="002395"/>
                <w:sz w:val="24"/>
                <w:szCs w:val="28"/>
              </w:rPr>
            </w:pPr>
          </w:p>
        </w:tc>
        <w:tc>
          <w:tcPr>
            <w:tcW w:w="0" w:type="auto"/>
            <w:shd w:val="clear" w:color="auto" w:fill="F2F2F2" w:themeFill="background1" w:themeFillShade="F2"/>
            <w:tcMar>
              <w:top w:w="15" w:type="dxa"/>
              <w:left w:w="450" w:type="dxa"/>
              <w:bottom w:w="0" w:type="dxa"/>
              <w:right w:w="15" w:type="dxa"/>
            </w:tcMar>
            <w:vAlign w:val="center"/>
          </w:tcPr>
          <w:p w14:paraId="2BB27610" w14:textId="2FF6AE81" w:rsidR="00792AB6" w:rsidRDefault="75EADEB6" w:rsidP="25CA0D31">
            <w:pPr>
              <w:pStyle w:val="TableText"/>
              <w:spacing w:before="100" w:beforeAutospacing="1" w:after="100" w:afterAutospacing="1"/>
              <w:ind w:left="-313"/>
              <w:jc w:val="both"/>
              <w:rPr>
                <w:noProof/>
                <w:color w:val="auto"/>
                <w:sz w:val="16"/>
                <w:szCs w:val="16"/>
              </w:rPr>
            </w:pPr>
            <w:r>
              <w:rPr>
                <w:noProof/>
              </w:rPr>
              <w:t>This impact type is not retained because the initiative’s principal objective is not to address abuse or fraud. While the introduction of once-only information transmission (e.g. between business registers and beneficial ownership registers) may support those authorities in enforcing anti-money laundering rules, these effects are indirect and already covered under other retained impact types — such as “ease of doing business</w:t>
            </w:r>
            <w:r w:rsidR="7AEA7C8B">
              <w:rPr>
                <w:noProof/>
              </w:rPr>
              <w:t>”</w:t>
            </w:r>
            <w:r>
              <w:rPr>
                <w:noProof/>
              </w:rPr>
              <w:t xml:space="preserve"> or “administrative burdens on business.” The initiative will aim to ensure that the new legal form of 28</w:t>
            </w:r>
            <w:r w:rsidRPr="25CA0D31">
              <w:rPr>
                <w:noProof/>
                <w:vertAlign w:val="superscript"/>
              </w:rPr>
              <w:t>th</w:t>
            </w:r>
            <w:r>
              <w:rPr>
                <w:noProof/>
              </w:rPr>
              <w:t xml:space="preserve"> regime companies could not be used for abusive or fraudulent purposes, but it is not expected to have a standalone or significant effect on the prevention of fraud, crime, or hybrid threats.</w:t>
            </w:r>
          </w:p>
        </w:tc>
        <w:tc>
          <w:tcPr>
            <w:tcW w:w="0" w:type="auto"/>
            <w:shd w:val="clear" w:color="auto" w:fill="D6E3BC" w:themeFill="accent3" w:themeFillTint="66"/>
            <w:vAlign w:val="center"/>
          </w:tcPr>
          <w:p w14:paraId="78681542" w14:textId="77777777" w:rsidR="00792AB6" w:rsidRPr="002C6AE3" w:rsidRDefault="00792AB6">
            <w:pPr>
              <w:pStyle w:val="TableText"/>
              <w:spacing w:line="276" w:lineRule="auto"/>
              <w:jc w:val="center"/>
              <w:rPr>
                <w:noProof/>
                <w:color w:val="002395"/>
                <w:sz w:val="24"/>
                <w:szCs w:val="28"/>
              </w:rPr>
            </w:pPr>
            <w:r>
              <w:rPr>
                <w:noProof/>
                <w:color w:val="002395"/>
                <w:sz w:val="24"/>
                <w:szCs w:val="28"/>
              </w:rPr>
              <w:t xml:space="preserve"> </w:t>
            </w:r>
          </w:p>
        </w:tc>
      </w:tr>
      <w:tr w:rsidR="000C1549" w:rsidRPr="00143EBC" w14:paraId="220517A3"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5826699E" w14:textId="77777777" w:rsidR="00EB1B88" w:rsidRPr="00C16B7D" w:rsidRDefault="00EB1B88">
            <w:pPr>
              <w:pStyle w:val="TableText"/>
              <w:spacing w:line="276" w:lineRule="auto"/>
              <w:rPr>
                <w:noProof/>
                <w:sz w:val="18"/>
                <w:szCs w:val="18"/>
              </w:rPr>
            </w:pPr>
            <w:r>
              <w:rPr>
                <w:noProof/>
              </w:rPr>
              <w:t>Innovation productivity and resource efficiency); research (academic and industrial)</w:t>
            </w:r>
          </w:p>
          <w:p w14:paraId="54AEA63E" w14:textId="77777777" w:rsidR="00EB1B88" w:rsidRDefault="00EB1B88">
            <w:pPr>
              <w:pStyle w:val="Bullet1"/>
              <w:numPr>
                <w:ilvl w:val="0"/>
                <w:numId w:val="0"/>
              </w:numPr>
              <w:spacing w:line="276" w:lineRule="auto"/>
              <w:ind w:left="340"/>
              <w:rPr>
                <w:noProof/>
              </w:rPr>
            </w:pPr>
          </w:p>
        </w:tc>
        <w:tc>
          <w:tcPr>
            <w:tcW w:w="0" w:type="auto"/>
            <w:shd w:val="clear" w:color="auto" w:fill="F2F2F2" w:themeFill="background1" w:themeFillShade="F2"/>
            <w:tcMar>
              <w:top w:w="15" w:type="dxa"/>
              <w:left w:w="450" w:type="dxa"/>
              <w:bottom w:w="0" w:type="dxa"/>
              <w:right w:w="15" w:type="dxa"/>
            </w:tcMar>
          </w:tcPr>
          <w:p w14:paraId="4B2C7C2D" w14:textId="77777777" w:rsidR="00EB1B88" w:rsidRPr="00F138B9" w:rsidRDefault="00EB1B88">
            <w:pPr>
              <w:pStyle w:val="TableText"/>
              <w:spacing w:line="276" w:lineRule="auto"/>
              <w:rPr>
                <w:noProof/>
              </w:rPr>
            </w:pPr>
            <w:r w:rsidRPr="00F138B9">
              <w:rPr>
                <w:noProof/>
              </w:rPr>
              <w:t>●</w:t>
            </w:r>
          </w:p>
        </w:tc>
        <w:tc>
          <w:tcPr>
            <w:tcW w:w="0" w:type="auto"/>
            <w:shd w:val="clear" w:color="auto" w:fill="F2F2F2" w:themeFill="background1" w:themeFillShade="F2"/>
            <w:tcMar>
              <w:top w:w="15" w:type="dxa"/>
              <w:left w:w="450" w:type="dxa"/>
              <w:bottom w:w="0" w:type="dxa"/>
              <w:right w:w="15" w:type="dxa"/>
            </w:tcMar>
          </w:tcPr>
          <w:p w14:paraId="04A4BA85" w14:textId="77777777" w:rsidR="00EB1B88" w:rsidRPr="00F138B9" w:rsidRDefault="00EB1B88">
            <w:pPr>
              <w:pStyle w:val="TableText"/>
              <w:spacing w:line="276" w:lineRule="auto"/>
              <w:rPr>
                <w:noProof/>
              </w:rPr>
            </w:pPr>
            <w:r w:rsidRPr="00F138B9">
              <w:rPr>
                <w:noProof/>
              </w:rPr>
              <w:t>●●</w:t>
            </w:r>
          </w:p>
        </w:tc>
        <w:tc>
          <w:tcPr>
            <w:tcW w:w="0" w:type="auto"/>
            <w:shd w:val="clear" w:color="auto" w:fill="F2F2F2" w:themeFill="background1" w:themeFillShade="F2"/>
          </w:tcPr>
          <w:p w14:paraId="3E943092" w14:textId="793E3131" w:rsidR="00EB1B88" w:rsidRPr="00F138B9" w:rsidRDefault="00EB1B88">
            <w:pPr>
              <w:pStyle w:val="TableText"/>
              <w:spacing w:line="276" w:lineRule="auto"/>
              <w:rPr>
                <w:noProof/>
              </w:rPr>
            </w:pPr>
            <w:r w:rsidRPr="00F138B9">
              <w:rPr>
                <w:noProof/>
              </w:rPr>
              <w:t>●●</w:t>
            </w:r>
          </w:p>
        </w:tc>
        <w:tc>
          <w:tcPr>
            <w:tcW w:w="0" w:type="auto"/>
            <w:shd w:val="clear" w:color="auto" w:fill="F2F2F2" w:themeFill="background1" w:themeFillShade="F2"/>
            <w:tcMar>
              <w:top w:w="15" w:type="dxa"/>
              <w:left w:w="450" w:type="dxa"/>
              <w:bottom w:w="0" w:type="dxa"/>
              <w:right w:w="15" w:type="dxa"/>
            </w:tcMar>
          </w:tcPr>
          <w:p w14:paraId="561829FA" w14:textId="77777777" w:rsidR="00EB1B88" w:rsidRPr="002C6AE3" w:rsidRDefault="00EB1B88">
            <w:pPr>
              <w:pStyle w:val="TableText"/>
              <w:spacing w:line="276" w:lineRule="auto"/>
              <w:rPr>
                <w:noProof/>
                <w:color w:val="002395"/>
                <w:sz w:val="24"/>
                <w:szCs w:val="28"/>
              </w:rPr>
            </w:pPr>
          </w:p>
        </w:tc>
        <w:tc>
          <w:tcPr>
            <w:tcW w:w="0" w:type="auto"/>
            <w:shd w:val="clear" w:color="auto" w:fill="F2F2F2" w:themeFill="background1" w:themeFillShade="F2"/>
            <w:tcMar>
              <w:top w:w="15" w:type="dxa"/>
              <w:left w:w="450" w:type="dxa"/>
              <w:bottom w:w="0" w:type="dxa"/>
              <w:right w:w="15" w:type="dxa"/>
            </w:tcMar>
            <w:vAlign w:val="center"/>
          </w:tcPr>
          <w:p w14:paraId="780F4CF5" w14:textId="7AB86DA5" w:rsidR="00EB1B88" w:rsidDel="00E8069E" w:rsidRDefault="6720A303" w:rsidP="25CA0D31">
            <w:pPr>
              <w:pStyle w:val="TableText"/>
              <w:spacing w:before="100" w:beforeAutospacing="1" w:after="100" w:afterAutospacing="1"/>
              <w:ind w:left="-308"/>
              <w:jc w:val="both"/>
              <w:rPr>
                <w:noProof/>
              </w:rPr>
            </w:pPr>
            <w:r>
              <w:rPr>
                <w:noProof/>
              </w:rPr>
              <w:t>This impact type is not retained because the 28th Regime does not introduce direct measures aimed at boosting research, industrial R&amp;D, or resource efficiency. While the regime may indirectly support innovation and productivity — for example, by responding to the needs of in particular innovative companies and facilitating their creation</w:t>
            </w:r>
            <w:r w:rsidR="20B7EC03">
              <w:rPr>
                <w:noProof/>
              </w:rPr>
              <w:t>, Employee Stock Option Plans</w:t>
            </w:r>
            <w:r>
              <w:rPr>
                <w:noProof/>
              </w:rPr>
              <w:t xml:space="preserve"> and cross-border scaling — these effects are already captured under retained impact types such as “ease of doing business” and “internal market and competitiveness.” The regime does not specifically target system-level innovation frameworks, public-private research collaboration, or measures that would influence academic or industrial R&amp;D performance. As such, the broader impacts on innovation ecosystems are too indirect and diffuse to justify retaining this category separately.</w:t>
            </w:r>
          </w:p>
        </w:tc>
        <w:tc>
          <w:tcPr>
            <w:tcW w:w="0" w:type="auto"/>
            <w:shd w:val="clear" w:color="auto" w:fill="D6E3BC" w:themeFill="accent3" w:themeFillTint="66"/>
            <w:vAlign w:val="center"/>
          </w:tcPr>
          <w:p w14:paraId="7E085DD8" w14:textId="77777777" w:rsidR="00EB1B88" w:rsidRDefault="00EB1B88">
            <w:pPr>
              <w:pStyle w:val="TableText"/>
              <w:spacing w:line="276" w:lineRule="auto"/>
              <w:jc w:val="center"/>
              <w:rPr>
                <w:noProof/>
                <w:color w:val="002395"/>
                <w:sz w:val="24"/>
                <w:szCs w:val="28"/>
              </w:rPr>
            </w:pPr>
          </w:p>
        </w:tc>
      </w:tr>
      <w:tr w:rsidR="000C1549" w:rsidRPr="00143EBC" w14:paraId="047ED0B9"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29521F66" w14:textId="77777777" w:rsidR="006D5E5B" w:rsidRDefault="006D5E5B">
            <w:pPr>
              <w:pStyle w:val="TableText"/>
              <w:spacing w:line="276" w:lineRule="auto"/>
              <w:rPr>
                <w:noProof/>
                <w:color w:val="000000"/>
                <w:sz w:val="16"/>
                <w:szCs w:val="18"/>
              </w:rPr>
            </w:pPr>
            <w:r>
              <w:rPr>
                <w:noProof/>
              </w:rPr>
              <w:t>Fundamental rights</w:t>
            </w:r>
          </w:p>
        </w:tc>
        <w:tc>
          <w:tcPr>
            <w:tcW w:w="0" w:type="auto"/>
            <w:shd w:val="clear" w:color="auto" w:fill="F2F2F2" w:themeFill="background1" w:themeFillShade="F2"/>
            <w:tcMar>
              <w:top w:w="15" w:type="dxa"/>
              <w:left w:w="450" w:type="dxa"/>
              <w:bottom w:w="0" w:type="dxa"/>
              <w:right w:w="15" w:type="dxa"/>
            </w:tcMar>
          </w:tcPr>
          <w:p w14:paraId="4E8B5BB4" w14:textId="77777777" w:rsidR="006D5E5B" w:rsidRPr="002C6AE3" w:rsidRDefault="006D5E5B">
            <w:pPr>
              <w:pStyle w:val="TableText"/>
              <w:spacing w:line="276" w:lineRule="auto"/>
              <w:rPr>
                <w:rFonts w:ascii="Arial" w:hAnsi="Arial" w:cs="Arial"/>
                <w:i/>
                <w:iCs/>
                <w:noProof/>
                <w:color w:val="1F497D" w:themeColor="text2"/>
              </w:rPr>
            </w:pPr>
            <w:r>
              <w:rPr>
                <w:noProof/>
              </w:rPr>
              <w:t>●</w:t>
            </w:r>
          </w:p>
        </w:tc>
        <w:tc>
          <w:tcPr>
            <w:tcW w:w="0" w:type="auto"/>
            <w:shd w:val="clear" w:color="auto" w:fill="F2F2F2" w:themeFill="background1" w:themeFillShade="F2"/>
            <w:tcMar>
              <w:top w:w="15" w:type="dxa"/>
              <w:left w:w="450" w:type="dxa"/>
              <w:bottom w:w="0" w:type="dxa"/>
              <w:right w:w="15" w:type="dxa"/>
            </w:tcMar>
          </w:tcPr>
          <w:p w14:paraId="5349E573" w14:textId="77777777" w:rsidR="006D5E5B" w:rsidRPr="002C6AE3" w:rsidRDefault="006D5E5B">
            <w:pPr>
              <w:pStyle w:val="TableText"/>
              <w:spacing w:line="276" w:lineRule="auto"/>
              <w:rPr>
                <w:rFonts w:ascii="Arial" w:hAnsi="Arial" w:cs="Arial"/>
                <w:i/>
                <w:iCs/>
                <w:noProof/>
                <w:color w:val="1F497D" w:themeColor="text2"/>
              </w:rPr>
            </w:pPr>
            <w:r>
              <w:rPr>
                <w:noProof/>
              </w:rPr>
              <w:t>●</w:t>
            </w:r>
          </w:p>
        </w:tc>
        <w:tc>
          <w:tcPr>
            <w:tcW w:w="0" w:type="auto"/>
            <w:shd w:val="clear" w:color="auto" w:fill="F2F2F2" w:themeFill="background1" w:themeFillShade="F2"/>
          </w:tcPr>
          <w:p w14:paraId="54F45D8B" w14:textId="77777777" w:rsidR="006D5E5B" w:rsidRPr="002C6AE3" w:rsidRDefault="006D5E5B">
            <w:pPr>
              <w:pStyle w:val="TableText"/>
              <w:spacing w:line="276" w:lineRule="auto"/>
              <w:rPr>
                <w:rFonts w:ascii="Arial" w:hAnsi="Arial" w:cs="Arial"/>
                <w:i/>
                <w:iCs/>
                <w:noProof/>
                <w:color w:val="1F497D" w:themeColor="text2"/>
              </w:rPr>
            </w:pPr>
            <w:r>
              <w:rPr>
                <w:noProof/>
              </w:rPr>
              <w:t>●</w:t>
            </w:r>
          </w:p>
        </w:tc>
        <w:tc>
          <w:tcPr>
            <w:tcW w:w="0" w:type="auto"/>
            <w:shd w:val="clear" w:color="auto" w:fill="F2F2F2" w:themeFill="background1" w:themeFillShade="F2"/>
            <w:tcMar>
              <w:top w:w="15" w:type="dxa"/>
              <w:left w:w="450" w:type="dxa"/>
              <w:bottom w:w="0" w:type="dxa"/>
              <w:right w:w="15" w:type="dxa"/>
            </w:tcMar>
          </w:tcPr>
          <w:p w14:paraId="3DB5857F" w14:textId="77777777" w:rsidR="006D5E5B" w:rsidRPr="003B1290" w:rsidRDefault="006D5E5B">
            <w:pPr>
              <w:pStyle w:val="TableText"/>
              <w:spacing w:line="276" w:lineRule="auto"/>
              <w:rPr>
                <w:noProof/>
                <w:color w:val="002395"/>
                <w:sz w:val="24"/>
                <w:szCs w:val="28"/>
              </w:rPr>
            </w:pPr>
          </w:p>
        </w:tc>
        <w:tc>
          <w:tcPr>
            <w:tcW w:w="0" w:type="auto"/>
            <w:shd w:val="clear" w:color="auto" w:fill="F2F2F2" w:themeFill="background1" w:themeFillShade="F2"/>
            <w:tcMar>
              <w:top w:w="15" w:type="dxa"/>
              <w:left w:w="450" w:type="dxa"/>
              <w:bottom w:w="0" w:type="dxa"/>
              <w:right w:w="15" w:type="dxa"/>
            </w:tcMar>
            <w:vAlign w:val="center"/>
          </w:tcPr>
          <w:p w14:paraId="77CF3778" w14:textId="6EE2CA5A" w:rsidR="006D5E5B" w:rsidRDefault="006D5E5B" w:rsidP="006C3130">
            <w:pPr>
              <w:pStyle w:val="TableText"/>
              <w:spacing w:before="100" w:beforeAutospacing="1" w:after="100" w:afterAutospacing="1"/>
              <w:ind w:left="-308"/>
              <w:jc w:val="both"/>
              <w:rPr>
                <w:noProof/>
              </w:rPr>
            </w:pPr>
            <w:r w:rsidRPr="00444AB6">
              <w:rPr>
                <w:noProof/>
              </w:rPr>
              <w:t xml:space="preserve">The initiative will facilitate the implementation of the rights of establishment in any MS, as prescribed by Article 15(2) of the Charter. </w:t>
            </w:r>
            <w:r>
              <w:rPr>
                <w:noProof/>
              </w:rPr>
              <w:t xml:space="preserve">It </w:t>
            </w:r>
            <w:r w:rsidRPr="0087691E">
              <w:rPr>
                <w:noProof/>
              </w:rPr>
              <w:t xml:space="preserve">should </w:t>
            </w:r>
            <w:r>
              <w:rPr>
                <w:noProof/>
              </w:rPr>
              <w:t xml:space="preserve">have a </w:t>
            </w:r>
            <w:r w:rsidRPr="0087691E">
              <w:rPr>
                <w:noProof/>
              </w:rPr>
              <w:t xml:space="preserve">positive impact </w:t>
            </w:r>
            <w:r>
              <w:rPr>
                <w:noProof/>
              </w:rPr>
              <w:t xml:space="preserve">on </w:t>
            </w:r>
            <w:r w:rsidRPr="0087691E">
              <w:rPr>
                <w:noProof/>
              </w:rPr>
              <w:t>the freedom to conduct business set out in Article 16 of the Charter</w:t>
            </w:r>
            <w:r>
              <w:rPr>
                <w:noProof/>
              </w:rPr>
              <w:t xml:space="preserve"> as it will make it easier for </w:t>
            </w:r>
            <w:r w:rsidRPr="0087691E">
              <w:rPr>
                <w:noProof/>
              </w:rPr>
              <w:t xml:space="preserve">companies </w:t>
            </w:r>
            <w:r>
              <w:rPr>
                <w:noProof/>
              </w:rPr>
              <w:t xml:space="preserve">to set up and operate in the Single </w:t>
            </w:r>
            <w:r w:rsidRPr="0087691E">
              <w:rPr>
                <w:noProof/>
              </w:rPr>
              <w:t>Market</w:t>
            </w:r>
            <w:r>
              <w:rPr>
                <w:noProof/>
              </w:rPr>
              <w:t>, and should decrease costs for companies</w:t>
            </w:r>
            <w:r w:rsidRPr="0087691E">
              <w:rPr>
                <w:noProof/>
              </w:rPr>
              <w:t xml:space="preserve">. However, these impacts are assessed under the </w:t>
            </w:r>
            <w:r w:rsidRPr="00B90F3A">
              <w:rPr>
                <w:noProof/>
              </w:rPr>
              <w:t xml:space="preserve">Functioning Internal Market and in particular under </w:t>
            </w:r>
            <w:r w:rsidR="00B90F3A" w:rsidRPr="00B90F3A">
              <w:rPr>
                <w:noProof/>
              </w:rPr>
              <w:t>“</w:t>
            </w:r>
            <w:r w:rsidRPr="00B90F3A">
              <w:rPr>
                <w:noProof/>
              </w:rPr>
              <w:t>ease of doing business</w:t>
            </w:r>
            <w:r w:rsidR="00B90F3A" w:rsidRPr="00B90F3A">
              <w:rPr>
                <w:noProof/>
              </w:rPr>
              <w:t>”</w:t>
            </w:r>
            <w:r w:rsidRPr="00B90F3A">
              <w:rPr>
                <w:noProof/>
              </w:rPr>
              <w:t>.</w:t>
            </w:r>
            <w:r w:rsidRPr="0087691E">
              <w:rPr>
                <w:noProof/>
              </w:rPr>
              <w:t xml:space="preserve"> </w:t>
            </w:r>
            <w:r w:rsidRPr="00345D63">
              <w:rPr>
                <w:noProof/>
              </w:rPr>
              <w:t>In addition, the measures proposed need to respect the protection of personal data in line with Article 8 of the Charter.</w:t>
            </w:r>
            <w:r w:rsidRPr="0087691E">
              <w:rPr>
                <w:noProof/>
              </w:rPr>
              <w:t xml:space="preserve"> However, this initiative does not have an impact on fundamental rights as such. Therefore, this impact is not retained.</w:t>
            </w:r>
          </w:p>
          <w:p w14:paraId="232CF6C1" w14:textId="0D0D55E9" w:rsidR="006D5E5B" w:rsidRDefault="006D5E5B" w:rsidP="006C3130">
            <w:pPr>
              <w:pStyle w:val="TableText"/>
              <w:spacing w:before="100" w:beforeAutospacing="1" w:after="100" w:afterAutospacing="1"/>
              <w:ind w:left="-313"/>
              <w:jc w:val="both"/>
              <w:rPr>
                <w:noProof/>
                <w:color w:val="auto"/>
                <w:sz w:val="16"/>
                <w:szCs w:val="18"/>
              </w:rPr>
            </w:pPr>
            <w:r>
              <w:rPr>
                <w:noProof/>
              </w:rPr>
              <w:t>SDG 1-8, 10, 16</w:t>
            </w:r>
          </w:p>
        </w:tc>
        <w:tc>
          <w:tcPr>
            <w:tcW w:w="0" w:type="auto"/>
            <w:shd w:val="clear" w:color="auto" w:fill="D6E3BC" w:themeFill="accent3" w:themeFillTint="66"/>
            <w:vAlign w:val="center"/>
          </w:tcPr>
          <w:p w14:paraId="0F031665" w14:textId="77777777" w:rsidR="006D5E5B" w:rsidRPr="002C6AE3" w:rsidRDefault="006D5E5B" w:rsidP="006C3130">
            <w:pPr>
              <w:pStyle w:val="TableText"/>
              <w:spacing w:line="276" w:lineRule="auto"/>
              <w:jc w:val="both"/>
              <w:rPr>
                <w:noProof/>
                <w:color w:val="002395"/>
                <w:sz w:val="24"/>
                <w:szCs w:val="28"/>
              </w:rPr>
            </w:pPr>
          </w:p>
        </w:tc>
      </w:tr>
      <w:tr w:rsidR="000C1549" w:rsidRPr="00143EBC" w14:paraId="77E066ED" w14:textId="77777777" w:rsidTr="00294B49">
        <w:trPr>
          <w:trHeight w:val="300"/>
        </w:trPr>
        <w:tc>
          <w:tcPr>
            <w:tcW w:w="0" w:type="auto"/>
            <w:shd w:val="clear" w:color="auto" w:fill="F2F2F2" w:themeFill="background1" w:themeFillShade="F2"/>
            <w:tcMar>
              <w:top w:w="15" w:type="dxa"/>
              <w:left w:w="15" w:type="dxa"/>
              <w:bottom w:w="0" w:type="dxa"/>
              <w:right w:w="15" w:type="dxa"/>
            </w:tcMar>
            <w:vAlign w:val="center"/>
          </w:tcPr>
          <w:p w14:paraId="41707E4F" w14:textId="23DC1F13" w:rsidR="00425E7F" w:rsidRDefault="00521DCA" w:rsidP="003D381C">
            <w:pPr>
              <w:pStyle w:val="Bullet1"/>
              <w:numPr>
                <w:ilvl w:val="0"/>
                <w:numId w:val="0"/>
              </w:numPr>
              <w:spacing w:line="276" w:lineRule="auto"/>
              <w:ind w:left="270"/>
              <w:rPr>
                <w:noProof/>
              </w:rPr>
            </w:pPr>
            <w:r>
              <w:rPr>
                <w:noProof/>
              </w:rPr>
              <w:t>Functioning of the</w:t>
            </w:r>
            <w:r w:rsidR="003D381C">
              <w:rPr>
                <w:noProof/>
              </w:rPr>
              <w:t xml:space="preserve"> </w:t>
            </w:r>
            <w:r w:rsidR="00425E7F">
              <w:rPr>
                <w:noProof/>
              </w:rPr>
              <w:t xml:space="preserve">internal market </w:t>
            </w:r>
          </w:p>
          <w:p w14:paraId="0D16C35E" w14:textId="77777777" w:rsidR="00425E7F" w:rsidRDefault="00425E7F">
            <w:pPr>
              <w:pStyle w:val="TableText"/>
              <w:spacing w:line="276" w:lineRule="auto"/>
              <w:rPr>
                <w:noProof/>
              </w:rPr>
            </w:pPr>
          </w:p>
        </w:tc>
        <w:tc>
          <w:tcPr>
            <w:tcW w:w="0" w:type="auto"/>
            <w:shd w:val="clear" w:color="auto" w:fill="F2F2F2" w:themeFill="background1" w:themeFillShade="F2"/>
            <w:tcMar>
              <w:top w:w="15" w:type="dxa"/>
              <w:left w:w="450" w:type="dxa"/>
              <w:bottom w:w="0" w:type="dxa"/>
              <w:right w:w="15" w:type="dxa"/>
            </w:tcMar>
          </w:tcPr>
          <w:p w14:paraId="3D51B7ED" w14:textId="77777777" w:rsidR="00425E7F" w:rsidRDefault="00425E7F">
            <w:pPr>
              <w:pStyle w:val="TableText"/>
              <w:spacing w:line="276" w:lineRule="auto"/>
              <w:rPr>
                <w:noProof/>
              </w:rPr>
            </w:pPr>
            <w:r w:rsidRPr="00136092">
              <w:rPr>
                <w:noProof/>
              </w:rPr>
              <w:t>●●●</w:t>
            </w:r>
          </w:p>
        </w:tc>
        <w:tc>
          <w:tcPr>
            <w:tcW w:w="0" w:type="auto"/>
            <w:shd w:val="clear" w:color="auto" w:fill="F2F2F2" w:themeFill="background1" w:themeFillShade="F2"/>
            <w:tcMar>
              <w:top w:w="15" w:type="dxa"/>
              <w:left w:w="450" w:type="dxa"/>
              <w:bottom w:w="0" w:type="dxa"/>
              <w:right w:w="15" w:type="dxa"/>
            </w:tcMar>
          </w:tcPr>
          <w:p w14:paraId="0309E395" w14:textId="77777777" w:rsidR="00425E7F" w:rsidRDefault="00425E7F">
            <w:pPr>
              <w:pStyle w:val="TableText"/>
              <w:spacing w:line="276" w:lineRule="auto"/>
              <w:rPr>
                <w:noProof/>
              </w:rPr>
            </w:pPr>
            <w:r w:rsidRPr="00136092">
              <w:rPr>
                <w:noProof/>
              </w:rPr>
              <w:t>●●●</w:t>
            </w:r>
          </w:p>
        </w:tc>
        <w:tc>
          <w:tcPr>
            <w:tcW w:w="0" w:type="auto"/>
            <w:shd w:val="clear" w:color="auto" w:fill="F2F2F2" w:themeFill="background1" w:themeFillShade="F2"/>
          </w:tcPr>
          <w:p w14:paraId="2D6C6E7F" w14:textId="77777777" w:rsidR="00425E7F" w:rsidRDefault="00425E7F">
            <w:pPr>
              <w:pStyle w:val="TableText"/>
              <w:spacing w:line="276" w:lineRule="auto"/>
              <w:rPr>
                <w:noProof/>
              </w:rPr>
            </w:pPr>
            <w:r w:rsidRPr="00136092">
              <w:rPr>
                <w:noProof/>
              </w:rPr>
              <w:t>●●●</w:t>
            </w:r>
          </w:p>
        </w:tc>
        <w:tc>
          <w:tcPr>
            <w:tcW w:w="0" w:type="auto"/>
            <w:shd w:val="clear" w:color="auto" w:fill="F2F2F2" w:themeFill="background1" w:themeFillShade="F2"/>
            <w:tcMar>
              <w:top w:w="15" w:type="dxa"/>
              <w:left w:w="450" w:type="dxa"/>
              <w:bottom w:w="0" w:type="dxa"/>
              <w:right w:w="15" w:type="dxa"/>
            </w:tcMar>
          </w:tcPr>
          <w:p w14:paraId="33D7CDCA" w14:textId="77777777" w:rsidR="00425E7F" w:rsidRPr="003B1290" w:rsidRDefault="00425E7F">
            <w:pPr>
              <w:pStyle w:val="TableText"/>
              <w:spacing w:line="276" w:lineRule="auto"/>
              <w:rPr>
                <w:noProof/>
                <w:color w:val="002395"/>
                <w:sz w:val="24"/>
                <w:szCs w:val="28"/>
              </w:rPr>
            </w:pPr>
            <w:r w:rsidRPr="002C6AE3">
              <w:rPr>
                <w:rFonts w:ascii="Wingdings" w:eastAsia="Wingdings" w:hAnsi="Wingdings" w:cs="Wingdings"/>
                <w:noProof/>
                <w:color w:val="002395"/>
                <w:sz w:val="24"/>
                <w:szCs w:val="28"/>
              </w:rPr>
              <w:t></w:t>
            </w:r>
          </w:p>
        </w:tc>
        <w:tc>
          <w:tcPr>
            <w:tcW w:w="0" w:type="auto"/>
            <w:shd w:val="clear" w:color="auto" w:fill="F2F2F2" w:themeFill="background1" w:themeFillShade="F2"/>
            <w:tcMar>
              <w:top w:w="15" w:type="dxa"/>
              <w:left w:w="450" w:type="dxa"/>
              <w:bottom w:w="0" w:type="dxa"/>
              <w:right w:w="15" w:type="dxa"/>
            </w:tcMar>
            <w:vAlign w:val="center"/>
          </w:tcPr>
          <w:p w14:paraId="78FE8C15" w14:textId="27B4196F" w:rsidR="00425E7F" w:rsidRPr="006C3130" w:rsidRDefault="00425E7F" w:rsidP="006C3130">
            <w:pPr>
              <w:spacing w:before="100" w:beforeAutospacing="1" w:after="100" w:afterAutospacing="1"/>
              <w:ind w:left="-306"/>
              <w:jc w:val="both"/>
              <w:rPr>
                <w:rFonts w:eastAsia="Times New Roman" w:cs="Times New Roman"/>
                <w:noProof/>
                <w:color w:val="auto"/>
                <w:szCs w:val="20"/>
                <w:lang w:eastAsia="nl-BE"/>
              </w:rPr>
            </w:pPr>
            <w:r w:rsidRPr="006C3130">
              <w:rPr>
                <w:rFonts w:eastAsia="Times New Roman" w:cs="Times New Roman"/>
                <w:noProof/>
                <w:color w:val="auto"/>
                <w:szCs w:val="20"/>
                <w:lang w:eastAsia="nl-BE"/>
              </w:rPr>
              <w:t xml:space="preserve">The 28th regime corporate proposal is expected to affect the functioning of the internal market by reducing legal and administrative fragmentation, facilitating cross-border establishment and operation of companies within the EU and making it easier for companies to attract investment cross-border. By offering a single, coherent corporate framework applicable across Member States, the initiative aims to lower barriers stemming from divergent national rules and to enable </w:t>
            </w:r>
            <w:r w:rsidR="004F287E" w:rsidRPr="006C3130">
              <w:rPr>
                <w:rFonts w:eastAsia="Times New Roman" w:cs="Times New Roman"/>
                <w:noProof/>
                <w:color w:val="auto"/>
                <w:szCs w:val="20"/>
                <w:lang w:eastAsia="nl-BE"/>
              </w:rPr>
              <w:t>companies</w:t>
            </w:r>
            <w:r w:rsidRPr="006C3130">
              <w:rPr>
                <w:rFonts w:eastAsia="Times New Roman" w:cs="Times New Roman"/>
                <w:noProof/>
                <w:color w:val="auto"/>
                <w:szCs w:val="20"/>
                <w:lang w:eastAsia="nl-BE"/>
              </w:rPr>
              <w:t xml:space="preserve"> to operate and scaleup more easily in multiple jurisdictions without the need for extensive country-specific adaptations.</w:t>
            </w:r>
          </w:p>
          <w:p w14:paraId="5850E954" w14:textId="4C788981" w:rsidR="00425E7F" w:rsidRPr="006C3130" w:rsidRDefault="00425E7F" w:rsidP="006C3130">
            <w:pPr>
              <w:spacing w:before="100" w:beforeAutospacing="1" w:after="100" w:afterAutospacing="1"/>
              <w:ind w:left="-308"/>
              <w:jc w:val="both"/>
              <w:rPr>
                <w:rFonts w:eastAsia="Times New Roman" w:cs="Times New Roman"/>
                <w:noProof/>
                <w:color w:val="auto"/>
                <w:szCs w:val="20"/>
                <w:lang w:eastAsia="nl-BE"/>
              </w:rPr>
            </w:pPr>
            <w:r w:rsidRPr="006C3130">
              <w:rPr>
                <w:rFonts w:eastAsia="Times New Roman" w:cs="Times New Roman"/>
                <w:noProof/>
                <w:color w:val="auto"/>
                <w:szCs w:val="20"/>
                <w:lang w:eastAsia="nl-BE"/>
              </w:rPr>
              <w:t xml:space="preserve">These changes are expected to contribute to improved competitive conditions within the Single Market by supporting </w:t>
            </w:r>
            <w:r w:rsidR="004F287E" w:rsidRPr="006C3130">
              <w:rPr>
                <w:rFonts w:eastAsia="Times New Roman" w:cs="Times New Roman"/>
                <w:noProof/>
                <w:color w:val="auto"/>
                <w:szCs w:val="20"/>
                <w:lang w:eastAsia="nl-BE"/>
              </w:rPr>
              <w:t>company</w:t>
            </w:r>
            <w:r w:rsidRPr="006C3130">
              <w:rPr>
                <w:rFonts w:eastAsia="Times New Roman" w:cs="Times New Roman"/>
                <w:noProof/>
                <w:color w:val="auto"/>
                <w:szCs w:val="20"/>
                <w:lang w:eastAsia="nl-BE"/>
              </w:rPr>
              <w:t xml:space="preserve"> creation, cross-border scaling and restructuring, and by enhancing the ability of EU companies to compete and attract finance across Member States. While many of these effects materialise through </w:t>
            </w:r>
            <w:r w:rsidR="004F287E" w:rsidRPr="006C3130">
              <w:rPr>
                <w:rFonts w:eastAsia="Times New Roman" w:cs="Times New Roman"/>
                <w:noProof/>
                <w:color w:val="auto"/>
                <w:szCs w:val="20"/>
                <w:lang w:eastAsia="nl-BE"/>
              </w:rPr>
              <w:t>company</w:t>
            </w:r>
            <w:r w:rsidRPr="006C3130">
              <w:rPr>
                <w:rFonts w:eastAsia="Times New Roman" w:cs="Times New Roman"/>
                <w:noProof/>
                <w:color w:val="auto"/>
                <w:szCs w:val="20"/>
                <w:lang w:eastAsia="nl-BE"/>
              </w:rPr>
              <w:t>-level usability, cost and investment channels, they also generate broader, system-level outcomes related to market integration and competitiveness.</w:t>
            </w:r>
          </w:p>
          <w:p w14:paraId="33142457" w14:textId="7ABA3A77" w:rsidR="00425E7F" w:rsidRPr="006C3130" w:rsidRDefault="00425E7F" w:rsidP="006C3130">
            <w:pPr>
              <w:spacing w:before="100" w:beforeAutospacing="1" w:after="100" w:afterAutospacing="1"/>
              <w:ind w:left="-308"/>
              <w:jc w:val="both"/>
              <w:rPr>
                <w:rFonts w:eastAsia="Times New Roman" w:cs="Times New Roman"/>
                <w:noProof/>
                <w:color w:val="auto"/>
                <w:szCs w:val="20"/>
                <w:lang w:eastAsia="nl-BE"/>
              </w:rPr>
            </w:pPr>
            <w:r w:rsidRPr="006C3130">
              <w:rPr>
                <w:rFonts w:eastAsia="Times New Roman" w:cs="Times New Roman"/>
                <w:noProof/>
                <w:color w:val="auto"/>
                <w:szCs w:val="20"/>
                <w:lang w:eastAsia="nl-BE"/>
              </w:rPr>
              <w:t xml:space="preserve">For this reason, the functioning of the internal market and competitiveness is retained as a priority impact in its own right. It captures aggregate and structural effects of the initiative that go beyond individual </w:t>
            </w:r>
            <w:r w:rsidR="004F287E" w:rsidRPr="006C3130">
              <w:rPr>
                <w:rFonts w:eastAsia="Times New Roman" w:cs="Times New Roman"/>
                <w:noProof/>
                <w:color w:val="auto"/>
                <w:szCs w:val="20"/>
                <w:lang w:eastAsia="nl-BE"/>
              </w:rPr>
              <w:t>companies</w:t>
            </w:r>
            <w:r w:rsidRPr="006C3130">
              <w:rPr>
                <w:rFonts w:eastAsia="Times New Roman" w:cs="Times New Roman"/>
                <w:noProof/>
                <w:color w:val="auto"/>
                <w:szCs w:val="20"/>
                <w:lang w:eastAsia="nl-BE"/>
              </w:rPr>
              <w:t xml:space="preserve">, consolidating outcomes arising from changes assessed under Ease of doing business, Administrative burden and adjustment costs, and Ease of attracting investment. Assessing this impact separately allows for a focused analysis of market-integration effects while avoiding duplication with </w:t>
            </w:r>
            <w:r w:rsidR="004F287E" w:rsidRPr="006C3130">
              <w:rPr>
                <w:rFonts w:eastAsia="Times New Roman" w:cs="Times New Roman"/>
                <w:noProof/>
                <w:color w:val="auto"/>
                <w:szCs w:val="20"/>
                <w:lang w:eastAsia="nl-BE"/>
              </w:rPr>
              <w:t>company</w:t>
            </w:r>
            <w:r w:rsidRPr="006C3130">
              <w:rPr>
                <w:rFonts w:eastAsia="Times New Roman" w:cs="Times New Roman"/>
                <w:noProof/>
                <w:color w:val="auto"/>
                <w:szCs w:val="20"/>
                <w:lang w:eastAsia="nl-BE"/>
              </w:rPr>
              <w:t>-specific impact categories.</w:t>
            </w:r>
          </w:p>
          <w:p w14:paraId="78152F05" w14:textId="77777777" w:rsidR="00A26013" w:rsidRPr="00593B96" w:rsidRDefault="00A26013" w:rsidP="006C3130">
            <w:pPr>
              <w:pStyle w:val="TableText"/>
              <w:spacing w:line="276" w:lineRule="auto"/>
              <w:ind w:left="-308"/>
              <w:jc w:val="both"/>
              <w:rPr>
                <w:noProof/>
                <w:lang w:val="en-US"/>
              </w:rPr>
            </w:pPr>
            <w:r w:rsidRPr="00593B96">
              <w:rPr>
                <w:noProof/>
                <w:lang w:val="en-US"/>
              </w:rPr>
              <w:t xml:space="preserve">This impact also contributes to the achievement of </w:t>
            </w:r>
            <w:r>
              <w:rPr>
                <w:noProof/>
                <w:lang w:val="en-US"/>
              </w:rPr>
              <w:t>the following</w:t>
            </w:r>
            <w:r w:rsidRPr="00593B96">
              <w:rPr>
                <w:noProof/>
                <w:lang w:val="en-US"/>
              </w:rPr>
              <w:t xml:space="preserve"> Sustainable Development Goals (SDGs):</w:t>
            </w:r>
          </w:p>
          <w:p w14:paraId="5FB9D51D" w14:textId="77777777" w:rsidR="00A26013" w:rsidRPr="00593B96" w:rsidRDefault="00A26013" w:rsidP="00C4288E">
            <w:pPr>
              <w:pStyle w:val="TableText"/>
              <w:numPr>
                <w:ilvl w:val="0"/>
                <w:numId w:val="16"/>
              </w:numPr>
              <w:tabs>
                <w:tab w:val="clear" w:pos="720"/>
                <w:tab w:val="num" w:pos="259"/>
              </w:tabs>
              <w:spacing w:before="100" w:beforeAutospacing="1" w:after="100" w:afterAutospacing="1"/>
              <w:ind w:left="261" w:hanging="284"/>
              <w:jc w:val="both"/>
              <w:rPr>
                <w:noProof/>
                <w:lang w:val="en-US"/>
              </w:rPr>
            </w:pPr>
            <w:r w:rsidRPr="00593B96">
              <w:rPr>
                <w:b/>
                <w:noProof/>
                <w:lang w:val="en-US"/>
              </w:rPr>
              <w:t>SDG 10</w:t>
            </w:r>
            <w:r w:rsidRPr="00593B96">
              <w:rPr>
                <w:noProof/>
                <w:lang w:val="en-US"/>
              </w:rPr>
              <w:t xml:space="preserve"> – by reducing structural disparities and improving SME access to cross-border markets;</w:t>
            </w:r>
          </w:p>
          <w:p w14:paraId="7731B4F0" w14:textId="16E775CA" w:rsidR="00A26013" w:rsidRPr="00593B96" w:rsidRDefault="00A26013" w:rsidP="00C4288E">
            <w:pPr>
              <w:pStyle w:val="TableText"/>
              <w:numPr>
                <w:ilvl w:val="0"/>
                <w:numId w:val="16"/>
              </w:numPr>
              <w:tabs>
                <w:tab w:val="clear" w:pos="720"/>
                <w:tab w:val="num" w:pos="259"/>
              </w:tabs>
              <w:spacing w:before="100" w:beforeAutospacing="1" w:after="100" w:afterAutospacing="1"/>
              <w:ind w:left="261" w:hanging="284"/>
              <w:jc w:val="both"/>
              <w:rPr>
                <w:noProof/>
                <w:lang w:val="en-US"/>
              </w:rPr>
            </w:pPr>
            <w:r w:rsidRPr="00593B96">
              <w:rPr>
                <w:b/>
                <w:noProof/>
                <w:lang w:val="en-US"/>
              </w:rPr>
              <w:t>SDG 17</w:t>
            </w:r>
            <w:r w:rsidRPr="00593B96">
              <w:rPr>
                <w:noProof/>
                <w:lang w:val="en-US"/>
              </w:rPr>
              <w:t xml:space="preserve"> – by fostering international cooperation and investment within the Single Market.</w:t>
            </w:r>
          </w:p>
          <w:p w14:paraId="26C2FBDE" w14:textId="77777777" w:rsidR="00425E7F" w:rsidRPr="00A26013" w:rsidRDefault="00425E7F">
            <w:pPr>
              <w:pStyle w:val="TableText"/>
              <w:spacing w:line="276" w:lineRule="auto"/>
              <w:ind w:left="-308"/>
              <w:rPr>
                <w:noProof/>
                <w:lang w:val="en-US"/>
              </w:rPr>
            </w:pPr>
          </w:p>
        </w:tc>
        <w:tc>
          <w:tcPr>
            <w:tcW w:w="0" w:type="auto"/>
            <w:shd w:val="clear" w:color="auto" w:fill="D6E3BC" w:themeFill="accent3" w:themeFillTint="66"/>
            <w:vAlign w:val="center"/>
          </w:tcPr>
          <w:p w14:paraId="21453A75" w14:textId="6D6F5628" w:rsidR="00425E7F" w:rsidRPr="002C6AE3" w:rsidRDefault="00AE7EB8">
            <w:pPr>
              <w:pStyle w:val="TableText"/>
              <w:spacing w:line="276" w:lineRule="auto"/>
              <w:jc w:val="center"/>
              <w:rPr>
                <w:noProof/>
                <w:color w:val="002395"/>
                <w:sz w:val="24"/>
                <w:szCs w:val="28"/>
              </w:rPr>
            </w:pPr>
            <w:r>
              <w:rPr>
                <w:noProof/>
                <w:color w:val="002395"/>
                <w:sz w:val="24"/>
                <w:szCs w:val="28"/>
              </w:rPr>
              <w:sym w:font="Wingdings" w:char="F0FE"/>
            </w:r>
          </w:p>
        </w:tc>
      </w:tr>
    </w:tbl>
    <w:p w14:paraId="37979EA5" w14:textId="77777777" w:rsidR="008963B3" w:rsidRDefault="008963B3" w:rsidP="008963B3">
      <w:pPr>
        <w:rPr>
          <w:noProof/>
        </w:rPr>
      </w:pPr>
    </w:p>
    <w:p w14:paraId="27717292" w14:textId="77777777" w:rsidR="00BA6A21" w:rsidRDefault="00BA6A21" w:rsidP="00254747">
      <w:pPr>
        <w:pStyle w:val="NormalIndent1"/>
        <w:ind w:left="0"/>
        <w:rPr>
          <w:noProof/>
        </w:rPr>
      </w:pPr>
    </w:p>
    <w:p w14:paraId="67E9CE90" w14:textId="77777777" w:rsidR="00637669" w:rsidRDefault="00637669" w:rsidP="005C79FB">
      <w:pPr>
        <w:pStyle w:val="Heading2"/>
        <w:rPr>
          <w:noProof/>
        </w:rPr>
        <w:sectPr w:rsidR="00637669" w:rsidSect="00637669">
          <w:headerReference w:type="default" r:id="rId24"/>
          <w:footerReference w:type="default" r:id="rId25"/>
          <w:pgSz w:w="16838" w:h="11906" w:orient="landscape"/>
          <w:pgMar w:top="1701" w:right="1418" w:bottom="1418" w:left="1418" w:header="567" w:footer="340" w:gutter="0"/>
          <w:cols w:space="708"/>
          <w:docGrid w:linePitch="360"/>
        </w:sectPr>
      </w:pPr>
    </w:p>
    <w:p w14:paraId="46450A47" w14:textId="77777777" w:rsidR="001F3AD6" w:rsidRPr="00EF2C51" w:rsidRDefault="001F3AD6" w:rsidP="002F0825">
      <w:pPr>
        <w:pStyle w:val="Heading2"/>
        <w:rPr>
          <w:noProof/>
        </w:rPr>
      </w:pPr>
      <w:r w:rsidRPr="00EF2C51">
        <w:rPr>
          <w:noProof/>
        </w:rPr>
        <w:t>Rationale for the selection and ordering of priority impacts</w:t>
      </w:r>
    </w:p>
    <w:p w14:paraId="61A82B52" w14:textId="74897ADA" w:rsidR="001F3AD6" w:rsidRPr="002C6602" w:rsidRDefault="001F3AD6" w:rsidP="001F3AD6">
      <w:pPr>
        <w:pStyle w:val="NormalWeb"/>
        <w:jc w:val="both"/>
        <w:rPr>
          <w:noProof/>
          <w:lang w:val="en-GB"/>
        </w:rPr>
      </w:pPr>
      <w:r w:rsidRPr="00EF2C51">
        <w:rPr>
          <w:noProof/>
          <w:lang w:val="en-GB"/>
        </w:rPr>
        <w:t>In line with the Better Regulation Guidelines, a comprehensive long list of potential economic</w:t>
      </w:r>
      <w:r>
        <w:rPr>
          <w:noProof/>
          <w:lang w:val="en-GB"/>
        </w:rPr>
        <w:t>, social and environmental</w:t>
      </w:r>
      <w:r w:rsidRPr="00EF2C51">
        <w:rPr>
          <w:noProof/>
          <w:lang w:val="en-GB"/>
        </w:rPr>
        <w:t xml:space="preserve"> impacts was identified and subsequently screened and clustered to define a limited number of priority impacts. This prioritisation ensures a proportionate and policy-relevant assessment by focusing on impacts that are most directly linked to the problem definition, the intervention logic of the </w:t>
      </w:r>
      <w:r>
        <w:rPr>
          <w:noProof/>
          <w:lang w:val="en-GB"/>
        </w:rPr>
        <w:t xml:space="preserve">initiative </w:t>
      </w:r>
      <w:r w:rsidRPr="002C6602">
        <w:rPr>
          <w:noProof/>
          <w:lang w:val="en-GB"/>
        </w:rPr>
        <w:t>and the expected behavioural responses of affected stakeholders. The selected impacts are expected to be significant, differentiating across policy options and analytically distinct, while avoiding overlap and double counting.</w:t>
      </w:r>
    </w:p>
    <w:p w14:paraId="0B92C75A" w14:textId="6522C6B1" w:rsidR="001F3AD6" w:rsidRPr="00022232" w:rsidRDefault="001F3AD6" w:rsidP="001F3AD6">
      <w:pPr>
        <w:pStyle w:val="NormalWeb"/>
        <w:jc w:val="both"/>
        <w:rPr>
          <w:noProof/>
          <w:lang w:val="en-GB"/>
        </w:rPr>
      </w:pPr>
      <w:r w:rsidRPr="25CA0D31">
        <w:rPr>
          <w:noProof/>
          <w:lang w:val="en-GB"/>
        </w:rPr>
        <w:t xml:space="preserve">Small and medium-sized enterprises (SMEs) are not treated as a separate impact category. Instead, SME-related effects, including those related to </w:t>
      </w:r>
      <w:r w:rsidRPr="0D3F1FC3">
        <w:rPr>
          <w:noProof/>
          <w:lang w:val="en-GB"/>
        </w:rPr>
        <w:t>s</w:t>
      </w:r>
      <w:r w:rsidR="018E0663" w:rsidRPr="0D3F1FC3">
        <w:rPr>
          <w:noProof/>
          <w:lang w:val="en-GB"/>
        </w:rPr>
        <w:t>tartup</w:t>
      </w:r>
      <w:r w:rsidRPr="0D3F1FC3">
        <w:rPr>
          <w:noProof/>
          <w:lang w:val="en-GB"/>
        </w:rPr>
        <w:t>s</w:t>
      </w:r>
      <w:r w:rsidRPr="25CA0D31">
        <w:rPr>
          <w:noProof/>
          <w:lang w:val="en-GB"/>
        </w:rPr>
        <w:t xml:space="preserve"> in particular, are integrated across all priority impacts, reflecting the fact that SMEs are affected through the same transmission channels as other firms, albeit often more strongly due to their more limited legal, administrative and financial capacity. </w:t>
      </w:r>
    </w:p>
    <w:p w14:paraId="18F68404" w14:textId="0D8C921A" w:rsidR="001F3AD6" w:rsidRPr="00022232" w:rsidRDefault="001F3AD6" w:rsidP="001F3AD6">
      <w:pPr>
        <w:pStyle w:val="NormalWeb"/>
        <w:jc w:val="both"/>
        <w:rPr>
          <w:noProof/>
          <w:lang w:val="en-GB"/>
        </w:rPr>
      </w:pPr>
      <w:r w:rsidRPr="00022232">
        <w:rPr>
          <w:noProof/>
          <w:lang w:val="en-GB"/>
        </w:rPr>
        <w:t xml:space="preserve">The first priority impact, </w:t>
      </w:r>
      <w:r w:rsidRPr="00022232">
        <w:rPr>
          <w:rStyle w:val="Strong"/>
          <w:noProof/>
          <w:lang w:val="en-GB"/>
        </w:rPr>
        <w:t>ease of doing business</w:t>
      </w:r>
      <w:r w:rsidRPr="00022232">
        <w:rPr>
          <w:noProof/>
          <w:lang w:val="en-GB"/>
        </w:rPr>
        <w:t xml:space="preserve">, assesses how the </w:t>
      </w:r>
      <w:r>
        <w:rPr>
          <w:noProof/>
          <w:lang w:val="en-GB"/>
        </w:rPr>
        <w:t xml:space="preserve">initiative </w:t>
      </w:r>
      <w:r w:rsidRPr="00022232">
        <w:rPr>
          <w:noProof/>
          <w:lang w:val="en-GB"/>
        </w:rPr>
        <w:t xml:space="preserve">affects the practical usability of the regulatory framework for </w:t>
      </w:r>
      <w:r>
        <w:rPr>
          <w:noProof/>
          <w:lang w:val="en-GB"/>
        </w:rPr>
        <w:t>companies in the Single Market</w:t>
      </w:r>
      <w:r w:rsidRPr="00022232">
        <w:rPr>
          <w:noProof/>
          <w:lang w:val="en-GB"/>
        </w:rPr>
        <w:t xml:space="preserve">. It focuses on clarity, transparency and predictability of the rules and on firms’ ability to rely on a single, coherent </w:t>
      </w:r>
      <w:r>
        <w:rPr>
          <w:noProof/>
          <w:lang w:val="en-GB"/>
        </w:rPr>
        <w:t xml:space="preserve">legal </w:t>
      </w:r>
      <w:r w:rsidRPr="00022232">
        <w:rPr>
          <w:noProof/>
          <w:lang w:val="en-GB"/>
        </w:rPr>
        <w:t xml:space="preserve">framework across Member States. This impact is positioned first because it represents the primary interface between the initiative and economic operators and constitutes a necessary condition for behavioural change. Reduced legal complexity and lower perceived regulatory risk are expected to facilitate cross-border activity for all </w:t>
      </w:r>
      <w:r>
        <w:rPr>
          <w:noProof/>
          <w:lang w:val="en-GB"/>
        </w:rPr>
        <w:t>companies</w:t>
      </w:r>
      <w:r w:rsidRPr="00022232">
        <w:rPr>
          <w:noProof/>
          <w:lang w:val="en-GB"/>
        </w:rPr>
        <w:t>, with proportionally stronger effects for SMEs, for which legal uncertainty and complexity represent higher relative barriers.</w:t>
      </w:r>
    </w:p>
    <w:p w14:paraId="44334965" w14:textId="28652BEB" w:rsidR="001F3AD6" w:rsidRPr="00022232" w:rsidRDefault="001F3AD6" w:rsidP="001F3AD6">
      <w:pPr>
        <w:pStyle w:val="NormalWeb"/>
        <w:jc w:val="both"/>
        <w:rPr>
          <w:noProof/>
          <w:lang w:val="en-GB"/>
        </w:rPr>
      </w:pPr>
      <w:r w:rsidRPr="00022232">
        <w:rPr>
          <w:noProof/>
          <w:lang w:val="en-GB"/>
        </w:rPr>
        <w:t xml:space="preserve">The second priority impact, </w:t>
      </w:r>
      <w:r w:rsidRPr="00022232">
        <w:rPr>
          <w:rStyle w:val="Strong"/>
          <w:noProof/>
          <w:lang w:val="en-GB"/>
        </w:rPr>
        <w:t>administrative burden and adjustment costs (direct compliance costs)</w:t>
      </w:r>
      <w:r w:rsidRPr="00022232">
        <w:rPr>
          <w:noProof/>
          <w:lang w:val="en-GB"/>
        </w:rPr>
        <w:t xml:space="preserve">, is assessed separately in line with the Commission’s Better Regulation and burden-reduction objectives. While closely related to ease of doing business, this impact isolates the direct compliance costs generated by the initiative, including one-off adjustment costs (such as familiarisation with the new framework, </w:t>
      </w:r>
      <w:r>
        <w:rPr>
          <w:noProof/>
          <w:lang w:val="en-GB"/>
        </w:rPr>
        <w:t xml:space="preserve">any </w:t>
      </w:r>
      <w:r w:rsidRPr="00022232">
        <w:rPr>
          <w:noProof/>
          <w:lang w:val="en-GB"/>
        </w:rPr>
        <w:t>adaptation</w:t>
      </w:r>
      <w:r>
        <w:rPr>
          <w:noProof/>
          <w:lang w:val="en-GB"/>
        </w:rPr>
        <w:t>s</w:t>
      </w:r>
      <w:r w:rsidRPr="00022232">
        <w:rPr>
          <w:noProof/>
          <w:lang w:val="en-GB"/>
        </w:rPr>
        <w:t xml:space="preserve"> and internal changes</w:t>
      </w:r>
      <w:r>
        <w:rPr>
          <w:noProof/>
          <w:lang w:val="en-GB"/>
        </w:rPr>
        <w:t xml:space="preserve"> needed for companies</w:t>
      </w:r>
      <w:r w:rsidRPr="00022232">
        <w:rPr>
          <w:noProof/>
          <w:lang w:val="en-GB"/>
        </w:rPr>
        <w:t xml:space="preserve">) and recurrent administrative costs linked to ongoing compliance management. Assessing administrative burden separately ensures transparency regarding cost drivers and enables a focused assessment of proportionality, including whether SMEs face relatively higher or lower burdens compared to larger </w:t>
      </w:r>
      <w:r>
        <w:rPr>
          <w:noProof/>
          <w:lang w:val="en-GB"/>
        </w:rPr>
        <w:t>companies</w:t>
      </w:r>
      <w:r w:rsidRPr="00022232">
        <w:rPr>
          <w:noProof/>
          <w:lang w:val="en-GB"/>
        </w:rPr>
        <w:t xml:space="preserve"> and compared to the baseline. Strategic or behavioural business decisions are excluded to avoid overlap with other impacts.</w:t>
      </w:r>
    </w:p>
    <w:p w14:paraId="7E938D84" w14:textId="7DA0FF1B" w:rsidR="001F3AD6" w:rsidRPr="00022232" w:rsidRDefault="001F3AD6" w:rsidP="001F3AD6">
      <w:pPr>
        <w:pStyle w:val="NormalWeb"/>
        <w:jc w:val="both"/>
        <w:rPr>
          <w:noProof/>
          <w:lang w:val="en-GB"/>
        </w:rPr>
      </w:pPr>
      <w:r w:rsidRPr="25CA0D31">
        <w:rPr>
          <w:noProof/>
          <w:lang w:val="en-GB"/>
        </w:rPr>
        <w:t xml:space="preserve">The third priority impact, </w:t>
      </w:r>
      <w:r w:rsidRPr="25CA0D31">
        <w:rPr>
          <w:rStyle w:val="Strong"/>
          <w:noProof/>
          <w:lang w:val="en-GB"/>
        </w:rPr>
        <w:t>ease of attracting investment</w:t>
      </w:r>
      <w:r w:rsidRPr="25CA0D31">
        <w:rPr>
          <w:noProof/>
          <w:lang w:val="en-GB"/>
        </w:rPr>
        <w:t>, examines how a more coherent and predictable legal framework affects firms’ ability to attract investors and support cross-border growth strategies. This impact does not assess access to bank finance or overall capital availability, nor does it measure macro-economic investment levels. Instead, it focuses on whether reduced legal uncertainty and greater regulatory predictability under the 28</w:t>
      </w:r>
      <w:r w:rsidRPr="00B55D4A">
        <w:rPr>
          <w:noProof/>
          <w:vertAlign w:val="superscript"/>
          <w:lang w:val="en-GB"/>
        </w:rPr>
        <w:t>th</w:t>
      </w:r>
      <w:r w:rsidRPr="25CA0D31">
        <w:rPr>
          <w:noProof/>
          <w:lang w:val="en-GB"/>
        </w:rPr>
        <w:t xml:space="preserve"> regime corporate legal framework improve companies’ attractiveness to investors, thereby influencing firm-level expansion, scaling or consolidation decisions. SME-specific effects are considered within this impact, as smaller companies, and in particular </w:t>
      </w:r>
      <w:r w:rsidRPr="0D3F1FC3">
        <w:rPr>
          <w:noProof/>
          <w:lang w:val="en-GB"/>
        </w:rPr>
        <w:t>s</w:t>
      </w:r>
      <w:r w:rsidR="7FCE01E3" w:rsidRPr="0D3F1FC3">
        <w:rPr>
          <w:noProof/>
          <w:lang w:val="en-GB"/>
        </w:rPr>
        <w:t>tartup</w:t>
      </w:r>
      <w:r w:rsidRPr="0D3F1FC3">
        <w:rPr>
          <w:noProof/>
          <w:lang w:val="en-GB"/>
        </w:rPr>
        <w:t>s</w:t>
      </w:r>
      <w:r w:rsidRPr="25CA0D31">
        <w:rPr>
          <w:noProof/>
          <w:lang w:val="en-GB"/>
        </w:rPr>
        <w:t>, are typically more sensitive to regulatory risk when seeking external investors and yet in greater need of financing to be able to scale</w:t>
      </w:r>
      <w:r w:rsidR="74AC4548" w:rsidRPr="25CA0D31">
        <w:rPr>
          <w:noProof/>
          <w:lang w:val="en-GB"/>
        </w:rPr>
        <w:t xml:space="preserve"> </w:t>
      </w:r>
      <w:r w:rsidRPr="25CA0D31">
        <w:rPr>
          <w:noProof/>
          <w:lang w:val="en-GB"/>
        </w:rPr>
        <w:t>up.</w:t>
      </w:r>
    </w:p>
    <w:p w14:paraId="7DA8FB62" w14:textId="56B658F0" w:rsidR="001F3AD6" w:rsidRPr="00132D3A" w:rsidRDefault="001F3AD6" w:rsidP="001F3AD6">
      <w:pPr>
        <w:pStyle w:val="NormalWeb"/>
        <w:jc w:val="both"/>
        <w:rPr>
          <w:noProof/>
          <w:lang w:val="en-GB"/>
        </w:rPr>
      </w:pPr>
      <w:r w:rsidRPr="00022232">
        <w:rPr>
          <w:noProof/>
          <w:lang w:val="en-GB"/>
        </w:rPr>
        <w:t xml:space="preserve">The fourth priority impact, </w:t>
      </w:r>
      <w:r w:rsidRPr="00022232">
        <w:rPr>
          <w:rStyle w:val="Strong"/>
          <w:noProof/>
          <w:lang w:val="en-GB"/>
        </w:rPr>
        <w:t>public authorities</w:t>
      </w:r>
      <w:r w:rsidRPr="00022232">
        <w:rPr>
          <w:noProof/>
          <w:lang w:val="en-GB"/>
        </w:rPr>
        <w:t xml:space="preserve">, examines the administrative and organisational implications of </w:t>
      </w:r>
      <w:r>
        <w:rPr>
          <w:noProof/>
          <w:lang w:val="en-GB"/>
        </w:rPr>
        <w:t xml:space="preserve">the initiative </w:t>
      </w:r>
      <w:r w:rsidRPr="00132D3A">
        <w:rPr>
          <w:noProof/>
          <w:lang w:val="en-GB"/>
        </w:rPr>
        <w:t xml:space="preserve">for EU and national authorities. It covers implementation arrangements, coordination needs, as well as associated resource and capacity implications. Judicial systems and enforcement impacts are excluded to ensure proportionality. This impact is positioned after firm-facing impacts, reflecting the enabling role of public authorities in supporting the functioning of the </w:t>
      </w:r>
      <w:r>
        <w:rPr>
          <w:noProof/>
          <w:lang w:val="en-GB"/>
        </w:rPr>
        <w:t>28</w:t>
      </w:r>
      <w:r w:rsidRPr="00467F8A">
        <w:rPr>
          <w:noProof/>
          <w:vertAlign w:val="superscript"/>
          <w:lang w:val="en-GB"/>
        </w:rPr>
        <w:t>th</w:t>
      </w:r>
      <w:r>
        <w:rPr>
          <w:noProof/>
          <w:lang w:val="en-GB"/>
        </w:rPr>
        <w:t xml:space="preserve"> corporate legal framework</w:t>
      </w:r>
      <w:r w:rsidRPr="00132D3A">
        <w:rPr>
          <w:noProof/>
          <w:lang w:val="en-GB"/>
        </w:rPr>
        <w:t>.</w:t>
      </w:r>
    </w:p>
    <w:p w14:paraId="56C0D74F" w14:textId="1328642B" w:rsidR="001F3AD6" w:rsidRDefault="001F3AD6" w:rsidP="006C3130">
      <w:pPr>
        <w:pStyle w:val="NormalWeb"/>
        <w:jc w:val="both"/>
        <w:rPr>
          <w:noProof/>
          <w:lang w:val="en-GB"/>
        </w:rPr>
      </w:pPr>
      <w:r w:rsidRPr="00132D3A">
        <w:rPr>
          <w:noProof/>
          <w:lang w:val="en-GB"/>
        </w:rPr>
        <w:t xml:space="preserve">Finally, </w:t>
      </w:r>
      <w:r w:rsidRPr="00132D3A">
        <w:rPr>
          <w:rStyle w:val="Strong"/>
          <w:noProof/>
          <w:lang w:val="en-GB"/>
        </w:rPr>
        <w:t>functioning of the internal market and competitiveness</w:t>
      </w:r>
      <w:r w:rsidRPr="00132D3A">
        <w:rPr>
          <w:noProof/>
          <w:lang w:val="en-GB"/>
        </w:rPr>
        <w:t xml:space="preserve"> captures the structural, system-level effects of the 28th regime</w:t>
      </w:r>
      <w:r>
        <w:rPr>
          <w:noProof/>
          <w:lang w:val="en-GB"/>
        </w:rPr>
        <w:t xml:space="preserve"> corporate legal framework</w:t>
      </w:r>
      <w:r w:rsidRPr="00467F8A">
        <w:rPr>
          <w:noProof/>
          <w:lang w:val="en-GB"/>
        </w:rPr>
        <w:t xml:space="preserve">. It focuses on reductions in regulatory fragmentation and improved cross-border market access resulting from the availability of a </w:t>
      </w:r>
      <w:r>
        <w:rPr>
          <w:noProof/>
          <w:lang w:val="en-GB"/>
        </w:rPr>
        <w:t xml:space="preserve">common legal </w:t>
      </w:r>
      <w:r w:rsidRPr="00467F8A">
        <w:rPr>
          <w:noProof/>
          <w:lang w:val="en-GB"/>
        </w:rPr>
        <w:t xml:space="preserve">framework. This impact reflects aggregate market-integration outcomes arising from changes in </w:t>
      </w:r>
      <w:r>
        <w:rPr>
          <w:noProof/>
          <w:lang w:val="en-GB"/>
        </w:rPr>
        <w:t>companies</w:t>
      </w:r>
      <w:r w:rsidRPr="00467F8A">
        <w:rPr>
          <w:noProof/>
          <w:lang w:val="en-GB"/>
        </w:rPr>
        <w:t>’ behaviour and investment decisions, including those of SMEs, and is therefore placed last, as it represents an outcome rather than a direct transmission channel.</w:t>
      </w:r>
    </w:p>
    <w:p w14:paraId="19903371" w14:textId="09CD6DA0" w:rsidR="007E7523" w:rsidRPr="00C244E4" w:rsidRDefault="007E7523" w:rsidP="006C3130">
      <w:pPr>
        <w:pStyle w:val="NormalWeb"/>
        <w:jc w:val="both"/>
        <w:rPr>
          <w:noProof/>
          <w:lang w:val="en-GB"/>
        </w:rPr>
      </w:pPr>
      <w:r w:rsidRPr="00C244E4">
        <w:rPr>
          <w:noProof/>
          <w:lang w:val="en-GB"/>
        </w:rPr>
        <w:t>The assessment below focuses on the causal impacts of the initiative on regulatory usability, compliance costs, investment conditions, public administration and market integration. Behavioural and outcome-level effects, such as changes in firms’ decisions to engage in cross-border activity, to attract external investment or to scale up operations, are therefore analysed explicitly within the relevant impact categories rather than treated as standalone impacts. This approach ensures consistency with the intervention logic, avoids double counting, and reflects that such outcomes result from changes in the underlying regulatory conditions rather than constituting independent impact channels.</w:t>
      </w:r>
    </w:p>
    <w:p w14:paraId="175BB030" w14:textId="67E13C9C" w:rsidR="00FE5B14" w:rsidRPr="00844023" w:rsidRDefault="00627409" w:rsidP="00844023">
      <w:pPr>
        <w:pStyle w:val="NormalIndent1"/>
        <w:ind w:left="0"/>
        <w:jc w:val="both"/>
        <w:rPr>
          <w:rFonts w:ascii="Times New Roman" w:hAnsi="Times New Roman" w:cs="Times New Roman"/>
          <w:noProof/>
          <w:sz w:val="24"/>
          <w:szCs w:val="24"/>
        </w:rPr>
      </w:pPr>
      <w:r w:rsidRPr="00844023">
        <w:rPr>
          <w:rFonts w:ascii="Times New Roman" w:hAnsi="Times New Roman" w:cs="Times New Roman"/>
          <w:noProof/>
          <w:sz w:val="24"/>
          <w:szCs w:val="24"/>
        </w:rPr>
        <w:t xml:space="preserve">The table below </w:t>
      </w:r>
      <w:r w:rsidR="00D92430" w:rsidRPr="00844023">
        <w:rPr>
          <w:rFonts w:ascii="Times New Roman" w:hAnsi="Times New Roman" w:cs="Times New Roman"/>
          <w:noProof/>
          <w:sz w:val="24"/>
          <w:szCs w:val="24"/>
        </w:rPr>
        <w:t xml:space="preserve">sets </w:t>
      </w:r>
      <w:r w:rsidR="00AF6201" w:rsidRPr="00844023">
        <w:rPr>
          <w:rFonts w:ascii="Times New Roman" w:hAnsi="Times New Roman" w:cs="Times New Roman"/>
          <w:noProof/>
          <w:sz w:val="24"/>
          <w:szCs w:val="24"/>
        </w:rPr>
        <w:t>out the</w:t>
      </w:r>
      <w:r w:rsidRPr="00844023">
        <w:rPr>
          <w:rFonts w:ascii="Times New Roman" w:hAnsi="Times New Roman" w:cs="Times New Roman"/>
          <w:noProof/>
          <w:sz w:val="24"/>
          <w:szCs w:val="24"/>
        </w:rPr>
        <w:t xml:space="preserve"> impacts that were selected</w:t>
      </w:r>
      <w:r w:rsidR="006320C4" w:rsidRPr="00844023">
        <w:rPr>
          <w:rFonts w:ascii="Times New Roman" w:hAnsi="Times New Roman" w:cs="Times New Roman"/>
          <w:noProof/>
          <w:sz w:val="24"/>
          <w:szCs w:val="24"/>
        </w:rPr>
        <w:t>, the stakeholder group</w:t>
      </w:r>
      <w:r w:rsidR="00F1133B" w:rsidRPr="00844023">
        <w:rPr>
          <w:rFonts w:ascii="Times New Roman" w:hAnsi="Times New Roman" w:cs="Times New Roman"/>
          <w:noProof/>
          <w:sz w:val="24"/>
          <w:szCs w:val="24"/>
        </w:rPr>
        <w:t>(s)</w:t>
      </w:r>
      <w:r w:rsidR="006320C4" w:rsidRPr="00844023">
        <w:rPr>
          <w:rFonts w:ascii="Times New Roman" w:hAnsi="Times New Roman" w:cs="Times New Roman"/>
          <w:noProof/>
          <w:sz w:val="24"/>
          <w:szCs w:val="24"/>
        </w:rPr>
        <w:t xml:space="preserve"> affected and the general approach that will be used to assess them</w:t>
      </w:r>
      <w:r w:rsidRPr="00844023">
        <w:rPr>
          <w:rFonts w:ascii="Times New Roman" w:hAnsi="Times New Roman" w:cs="Times New Roman"/>
          <w:noProof/>
          <w:sz w:val="24"/>
          <w:szCs w:val="24"/>
        </w:rPr>
        <w:t>.</w:t>
      </w:r>
      <w:r w:rsidR="00DF4300" w:rsidRPr="00844023">
        <w:rPr>
          <w:rFonts w:ascii="Times New Roman" w:hAnsi="Times New Roman" w:cs="Times New Roman"/>
          <w:noProof/>
          <w:sz w:val="24"/>
          <w:szCs w:val="24"/>
        </w:rPr>
        <w:t xml:space="preserve"> It is important to highlight that the impacts of the measures might differ between</w:t>
      </w:r>
      <w:r w:rsidR="00122163">
        <w:rPr>
          <w:rFonts w:ascii="Times New Roman" w:hAnsi="Times New Roman" w:cs="Times New Roman"/>
          <w:noProof/>
          <w:sz w:val="24"/>
          <w:szCs w:val="24"/>
        </w:rPr>
        <w:t xml:space="preserve"> </w:t>
      </w:r>
      <w:r w:rsidR="00244EB3">
        <w:rPr>
          <w:rFonts w:ascii="Times New Roman" w:hAnsi="Times New Roman" w:cs="Times New Roman"/>
          <w:noProof/>
          <w:sz w:val="24"/>
          <w:szCs w:val="24"/>
        </w:rPr>
        <w:t>stakeholders</w:t>
      </w:r>
      <w:r w:rsidR="00DF4300" w:rsidRPr="00844023">
        <w:rPr>
          <w:rFonts w:ascii="Times New Roman" w:hAnsi="Times New Roman" w:cs="Times New Roman"/>
          <w:noProof/>
          <w:sz w:val="24"/>
          <w:szCs w:val="24"/>
        </w:rPr>
        <w:t>. This is highlighted when relevant</w:t>
      </w:r>
      <w:r w:rsidR="00FE5B14" w:rsidRPr="00844023">
        <w:rPr>
          <w:rFonts w:ascii="Times New Roman" w:hAnsi="Times New Roman" w:cs="Times New Roman"/>
          <w:noProof/>
          <w:sz w:val="24"/>
          <w:szCs w:val="24"/>
        </w:rPr>
        <w:t>.</w:t>
      </w:r>
    </w:p>
    <w:p w14:paraId="77914FD9" w14:textId="2C6D8B47" w:rsidR="003C37F6" w:rsidRDefault="003C37F6" w:rsidP="003C37F6">
      <w:pPr>
        <w:pStyle w:val="TableTitle"/>
        <w:spacing w:line="276" w:lineRule="auto"/>
        <w:rPr>
          <w:noProof/>
        </w:rPr>
      </w:pPr>
      <w:r>
        <w:rPr>
          <w:noProof/>
        </w:rPr>
        <w:t>Selected significant impacts</w:t>
      </w:r>
    </w:p>
    <w:tbl>
      <w:tblPr>
        <w:tblW w:w="9925" w:type="dxa"/>
        <w:tblInd w:w="-142" w:type="dxa"/>
        <w:tblBorders>
          <w:top w:val="single" w:sz="4" w:space="0" w:color="auto"/>
          <w:bottom w:val="single" w:sz="4" w:space="0" w:color="auto"/>
          <w:insideH w:val="single" w:sz="4" w:space="0" w:color="auto"/>
        </w:tblBorders>
        <w:shd w:val="solid" w:color="F2F2F2" w:fill="F2F2F2"/>
        <w:tblLayout w:type="fixed"/>
        <w:tblCellMar>
          <w:left w:w="0" w:type="dxa"/>
          <w:right w:w="0" w:type="dxa"/>
        </w:tblCellMar>
        <w:tblLook w:val="04A0" w:firstRow="1" w:lastRow="0" w:firstColumn="1" w:lastColumn="0" w:noHBand="0" w:noVBand="1"/>
        <w:tblDescription w:val="False|True|True"/>
      </w:tblPr>
      <w:tblGrid>
        <w:gridCol w:w="4514"/>
        <w:gridCol w:w="23"/>
        <w:gridCol w:w="20"/>
        <w:gridCol w:w="807"/>
        <w:gridCol w:w="828"/>
        <w:gridCol w:w="1038"/>
        <w:gridCol w:w="974"/>
        <w:gridCol w:w="20"/>
        <w:gridCol w:w="745"/>
        <w:gridCol w:w="956"/>
      </w:tblGrid>
      <w:tr w:rsidR="00B707AD" w:rsidRPr="00777FF0" w14:paraId="33F5A70A" w14:textId="77777777" w:rsidTr="25CA0D31">
        <w:trPr>
          <w:cantSplit/>
          <w:trHeight w:val="198"/>
          <w:tblHeader/>
        </w:trPr>
        <w:tc>
          <w:tcPr>
            <w:tcW w:w="4514" w:type="dxa"/>
            <w:shd w:val="clear" w:color="auto" w:fill="002395"/>
            <w:noWrap/>
            <w:vAlign w:val="center"/>
          </w:tcPr>
          <w:p w14:paraId="5AA56691" w14:textId="77777777" w:rsidR="00B707AD" w:rsidRPr="00777FF0" w:rsidRDefault="00B707AD" w:rsidP="00145AB7">
            <w:pPr>
              <w:pStyle w:val="TableHeading"/>
              <w:spacing w:line="276" w:lineRule="auto"/>
              <w:rPr>
                <w:b w:val="0"/>
                <w:bCs/>
                <w:noProof/>
                <w:lang w:val="en-US"/>
              </w:rPr>
            </w:pPr>
            <w:r>
              <w:rPr>
                <w:b w:val="0"/>
                <w:bCs/>
                <w:noProof/>
                <w:lang w:val="en-US"/>
              </w:rPr>
              <w:t>Main category of i</w:t>
            </w:r>
            <w:r w:rsidRPr="00777FF0">
              <w:rPr>
                <w:b w:val="0"/>
                <w:bCs/>
                <w:noProof/>
                <w:lang w:val="en-US"/>
              </w:rPr>
              <w:t>mpacts</w:t>
            </w:r>
          </w:p>
        </w:tc>
        <w:tc>
          <w:tcPr>
            <w:tcW w:w="23" w:type="dxa"/>
            <w:tcBorders>
              <w:top w:val="nil"/>
              <w:bottom w:val="nil"/>
            </w:tcBorders>
            <w:shd w:val="clear" w:color="auto" w:fill="FFFFFF" w:themeFill="background1"/>
          </w:tcPr>
          <w:p w14:paraId="165CA211" w14:textId="77777777" w:rsidR="00B707AD" w:rsidRDefault="00B707AD" w:rsidP="00145AB7">
            <w:pPr>
              <w:pStyle w:val="TableHeading"/>
              <w:spacing w:line="276" w:lineRule="auto"/>
              <w:rPr>
                <w:b w:val="0"/>
                <w:bCs/>
                <w:noProof/>
                <w:sz w:val="18"/>
                <w:szCs w:val="20"/>
                <w:lang w:val="en-US"/>
              </w:rPr>
            </w:pPr>
          </w:p>
        </w:tc>
        <w:tc>
          <w:tcPr>
            <w:tcW w:w="20" w:type="dxa"/>
            <w:tcBorders>
              <w:top w:val="nil"/>
              <w:bottom w:val="nil"/>
            </w:tcBorders>
            <w:shd w:val="clear" w:color="auto" w:fill="FFFFFF" w:themeFill="background1"/>
          </w:tcPr>
          <w:p w14:paraId="7AC23466" w14:textId="77777777" w:rsidR="00B707AD" w:rsidRDefault="00B707AD" w:rsidP="00145AB7">
            <w:pPr>
              <w:pStyle w:val="TableHeading"/>
              <w:spacing w:line="276" w:lineRule="auto"/>
              <w:rPr>
                <w:b w:val="0"/>
                <w:bCs/>
                <w:noProof/>
                <w:sz w:val="18"/>
                <w:szCs w:val="20"/>
                <w:lang w:val="en-US"/>
              </w:rPr>
            </w:pPr>
          </w:p>
        </w:tc>
        <w:tc>
          <w:tcPr>
            <w:tcW w:w="5368" w:type="dxa"/>
            <w:gridSpan w:val="7"/>
            <w:shd w:val="clear" w:color="auto" w:fill="002395"/>
            <w:vAlign w:val="center"/>
          </w:tcPr>
          <w:p w14:paraId="07611F2D" w14:textId="77777777" w:rsidR="00B707AD" w:rsidRDefault="00B707AD" w:rsidP="00145AB7">
            <w:pPr>
              <w:pStyle w:val="TableHeading"/>
              <w:spacing w:line="276" w:lineRule="auto"/>
              <w:rPr>
                <w:b w:val="0"/>
                <w:bCs/>
                <w:noProof/>
                <w:sz w:val="18"/>
                <w:szCs w:val="20"/>
                <w:lang w:val="en-US"/>
              </w:rPr>
            </w:pPr>
            <w:r>
              <w:rPr>
                <w:b w:val="0"/>
                <w:bCs/>
                <w:noProof/>
                <w:sz w:val="18"/>
                <w:szCs w:val="20"/>
                <w:lang w:val="en-US"/>
              </w:rPr>
              <w:t>Assessment</w:t>
            </w:r>
          </w:p>
        </w:tc>
      </w:tr>
      <w:tr w:rsidR="00B707AD" w:rsidRPr="00777FF0" w14:paraId="3E1F498B" w14:textId="77777777" w:rsidTr="25CA0D31">
        <w:trPr>
          <w:cantSplit/>
          <w:trHeight w:val="2401"/>
          <w:tblHeader/>
        </w:trPr>
        <w:tc>
          <w:tcPr>
            <w:tcW w:w="4514" w:type="dxa"/>
            <w:noWrap/>
            <w:vAlign w:val="center"/>
            <w:hideMark/>
          </w:tcPr>
          <w:p w14:paraId="7215EC1E" w14:textId="77777777" w:rsidR="00B707AD" w:rsidRPr="00777FF0" w:rsidRDefault="00B707AD" w:rsidP="00145AB7">
            <w:pPr>
              <w:pStyle w:val="TableHeading"/>
              <w:spacing w:line="276" w:lineRule="auto"/>
              <w:rPr>
                <w:b w:val="0"/>
                <w:bCs/>
                <w:noProof/>
                <w:lang w:val="en-US"/>
              </w:rPr>
            </w:pPr>
          </w:p>
        </w:tc>
        <w:tc>
          <w:tcPr>
            <w:tcW w:w="23" w:type="dxa"/>
            <w:tcBorders>
              <w:top w:val="nil"/>
              <w:bottom w:val="nil"/>
            </w:tcBorders>
            <w:shd w:val="clear" w:color="auto" w:fill="FFFFFF" w:themeFill="background1"/>
            <w:textDirection w:val="btLr"/>
          </w:tcPr>
          <w:p w14:paraId="4E1031A9" w14:textId="77777777" w:rsidR="00B707AD" w:rsidRPr="0017256A" w:rsidRDefault="00B707AD" w:rsidP="00145AB7">
            <w:pPr>
              <w:pStyle w:val="TableHeading"/>
              <w:spacing w:line="276" w:lineRule="auto"/>
              <w:rPr>
                <w:b w:val="0"/>
                <w:bCs/>
                <w:noProof/>
                <w:sz w:val="18"/>
                <w:szCs w:val="20"/>
                <w:lang w:val="en-US"/>
              </w:rPr>
            </w:pPr>
          </w:p>
        </w:tc>
        <w:tc>
          <w:tcPr>
            <w:tcW w:w="827" w:type="dxa"/>
            <w:gridSpan w:val="2"/>
            <w:shd w:val="clear" w:color="auto" w:fill="002395"/>
            <w:textDirection w:val="btLr"/>
            <w:vAlign w:val="center"/>
            <w:hideMark/>
          </w:tcPr>
          <w:p w14:paraId="5E4DF67C" w14:textId="77777777" w:rsidR="00B707AD" w:rsidRPr="0017256A" w:rsidRDefault="00B707AD" w:rsidP="00145AB7">
            <w:pPr>
              <w:pStyle w:val="TableHeading"/>
              <w:spacing w:line="276" w:lineRule="auto"/>
              <w:rPr>
                <w:b w:val="0"/>
                <w:bCs/>
                <w:noProof/>
                <w:sz w:val="18"/>
                <w:szCs w:val="20"/>
                <w:lang w:val="en-US"/>
              </w:rPr>
            </w:pPr>
            <w:r>
              <w:rPr>
                <w:b w:val="0"/>
                <w:bCs/>
                <w:noProof/>
                <w:sz w:val="18"/>
                <w:szCs w:val="20"/>
                <w:lang w:val="en-US"/>
              </w:rPr>
              <w:t>Society</w:t>
            </w:r>
          </w:p>
        </w:tc>
        <w:tc>
          <w:tcPr>
            <w:tcW w:w="828" w:type="dxa"/>
            <w:shd w:val="clear" w:color="auto" w:fill="002395"/>
            <w:textDirection w:val="btLr"/>
            <w:vAlign w:val="center"/>
            <w:hideMark/>
          </w:tcPr>
          <w:p w14:paraId="6FF5E7EF" w14:textId="77777777" w:rsidR="00B707AD" w:rsidRPr="0017256A" w:rsidRDefault="00B707AD" w:rsidP="00145AB7">
            <w:pPr>
              <w:pStyle w:val="TableHeading"/>
              <w:spacing w:line="276" w:lineRule="auto"/>
              <w:rPr>
                <w:b w:val="0"/>
                <w:bCs/>
                <w:noProof/>
                <w:sz w:val="18"/>
                <w:szCs w:val="20"/>
                <w:lang w:val="en-US"/>
              </w:rPr>
            </w:pPr>
            <w:r>
              <w:rPr>
                <w:b w:val="0"/>
                <w:bCs/>
                <w:noProof/>
                <w:sz w:val="18"/>
                <w:szCs w:val="20"/>
                <w:lang w:val="en-US"/>
              </w:rPr>
              <w:t xml:space="preserve">Companies </w:t>
            </w:r>
          </w:p>
        </w:tc>
        <w:tc>
          <w:tcPr>
            <w:tcW w:w="1038" w:type="dxa"/>
            <w:shd w:val="clear" w:color="auto" w:fill="002395"/>
            <w:textDirection w:val="btLr"/>
            <w:vAlign w:val="center"/>
            <w:hideMark/>
          </w:tcPr>
          <w:p w14:paraId="47CFA373" w14:textId="0BE53C64" w:rsidR="00B707AD" w:rsidRPr="0017256A" w:rsidRDefault="00B707AD" w:rsidP="00145AB7">
            <w:pPr>
              <w:pStyle w:val="TableHeading"/>
              <w:spacing w:line="276" w:lineRule="auto"/>
              <w:rPr>
                <w:b w:val="0"/>
                <w:bCs/>
                <w:noProof/>
                <w:sz w:val="18"/>
                <w:szCs w:val="20"/>
                <w:lang w:val="en-US"/>
              </w:rPr>
            </w:pPr>
            <w:r>
              <w:rPr>
                <w:b w:val="0"/>
                <w:bCs/>
                <w:noProof/>
                <w:sz w:val="18"/>
                <w:szCs w:val="20"/>
                <w:lang w:val="en-US"/>
              </w:rPr>
              <w:t>Investors (including employee</w:t>
            </w:r>
            <w:r w:rsidR="004D17C0">
              <w:rPr>
                <w:b w:val="0"/>
                <w:bCs/>
                <w:noProof/>
                <w:sz w:val="18"/>
                <w:szCs w:val="20"/>
                <w:lang w:val="en-US"/>
              </w:rPr>
              <w:t xml:space="preserve"> </w:t>
            </w:r>
            <w:r w:rsidR="00C145A4">
              <w:rPr>
                <w:b w:val="0"/>
                <w:bCs/>
                <w:noProof/>
                <w:sz w:val="18"/>
                <w:szCs w:val="20"/>
                <w:lang w:val="en-US"/>
              </w:rPr>
              <w:t>with em</w:t>
            </w:r>
            <w:r w:rsidR="006974E6">
              <w:rPr>
                <w:b w:val="0"/>
                <w:bCs/>
                <w:noProof/>
                <w:sz w:val="18"/>
                <w:szCs w:val="20"/>
                <w:lang w:val="en-US"/>
              </w:rPr>
              <w:t>p</w:t>
            </w:r>
            <w:r w:rsidR="00C145A4">
              <w:rPr>
                <w:b w:val="0"/>
                <w:bCs/>
                <w:noProof/>
                <w:sz w:val="18"/>
                <w:szCs w:val="20"/>
                <w:lang w:val="en-US"/>
              </w:rPr>
              <w:t>lo</w:t>
            </w:r>
            <w:r w:rsidR="005F4759">
              <w:rPr>
                <w:b w:val="0"/>
                <w:bCs/>
                <w:noProof/>
                <w:sz w:val="18"/>
                <w:szCs w:val="20"/>
                <w:lang w:val="en-US"/>
              </w:rPr>
              <w:t>y</w:t>
            </w:r>
            <w:r w:rsidR="00C145A4">
              <w:rPr>
                <w:b w:val="0"/>
                <w:bCs/>
                <w:noProof/>
                <w:sz w:val="18"/>
                <w:szCs w:val="20"/>
                <w:lang w:val="en-US"/>
              </w:rPr>
              <w:t>ee</w:t>
            </w:r>
            <w:r w:rsidR="005F4759">
              <w:rPr>
                <w:b w:val="0"/>
                <w:bCs/>
                <w:noProof/>
                <w:sz w:val="18"/>
                <w:szCs w:val="20"/>
                <w:lang w:val="en-US"/>
              </w:rPr>
              <w:t xml:space="preserve"> stock </w:t>
            </w:r>
            <w:r w:rsidR="006974E6">
              <w:rPr>
                <w:b w:val="0"/>
                <w:bCs/>
                <w:noProof/>
                <w:sz w:val="18"/>
                <w:szCs w:val="20"/>
                <w:lang w:val="en-US"/>
              </w:rPr>
              <w:t>options</w:t>
            </w:r>
            <w:r w:rsidR="00325BC3" w:rsidRPr="006974E6">
              <w:rPr>
                <w:b w:val="0"/>
                <w:noProof/>
                <w:sz w:val="18"/>
                <w:szCs w:val="20"/>
                <w:lang w:val="en-IE"/>
              </w:rPr>
              <w:t>)</w:t>
            </w:r>
            <w:r>
              <w:rPr>
                <w:b w:val="0"/>
                <w:bCs/>
                <w:noProof/>
                <w:sz w:val="18"/>
                <w:szCs w:val="20"/>
                <w:lang w:val="en-US"/>
              </w:rPr>
              <w:t xml:space="preserve"> </w:t>
            </w:r>
          </w:p>
        </w:tc>
        <w:tc>
          <w:tcPr>
            <w:tcW w:w="974" w:type="dxa"/>
            <w:shd w:val="clear" w:color="auto" w:fill="002395"/>
            <w:textDirection w:val="btLr"/>
            <w:vAlign w:val="center"/>
            <w:hideMark/>
          </w:tcPr>
          <w:p w14:paraId="03BE54B6" w14:textId="77777777" w:rsidR="00B707AD" w:rsidRPr="0017256A" w:rsidRDefault="00B707AD" w:rsidP="00145AB7">
            <w:pPr>
              <w:pStyle w:val="TableHeading"/>
              <w:spacing w:line="276" w:lineRule="auto"/>
              <w:rPr>
                <w:b w:val="0"/>
                <w:bCs/>
                <w:noProof/>
                <w:sz w:val="18"/>
                <w:szCs w:val="20"/>
                <w:lang w:val="en-US"/>
              </w:rPr>
            </w:pPr>
            <w:r w:rsidRPr="0017256A">
              <w:rPr>
                <w:b w:val="0"/>
                <w:bCs/>
                <w:noProof/>
                <w:sz w:val="18"/>
                <w:szCs w:val="20"/>
                <w:lang w:val="en-US"/>
              </w:rPr>
              <w:t xml:space="preserve">Public administrations </w:t>
            </w:r>
            <w:r>
              <w:rPr>
                <w:b w:val="0"/>
                <w:bCs/>
                <w:noProof/>
                <w:sz w:val="18"/>
                <w:szCs w:val="20"/>
                <w:lang w:val="en-US"/>
              </w:rPr>
              <w:t xml:space="preserve">and notaries </w:t>
            </w:r>
            <w:r w:rsidRPr="0017256A">
              <w:rPr>
                <w:b w:val="0"/>
                <w:bCs/>
                <w:noProof/>
                <w:sz w:val="18"/>
                <w:szCs w:val="20"/>
                <w:lang w:val="en-US"/>
              </w:rPr>
              <w:t>(EU, national)</w:t>
            </w:r>
          </w:p>
        </w:tc>
        <w:tc>
          <w:tcPr>
            <w:tcW w:w="20" w:type="dxa"/>
            <w:tcBorders>
              <w:top w:val="nil"/>
              <w:bottom w:val="nil"/>
            </w:tcBorders>
            <w:shd w:val="clear" w:color="auto" w:fill="FFFFFF" w:themeFill="background1"/>
            <w:textDirection w:val="btLr"/>
          </w:tcPr>
          <w:p w14:paraId="37C48D1B" w14:textId="77777777" w:rsidR="00B707AD" w:rsidRDefault="00B707AD" w:rsidP="00145AB7">
            <w:pPr>
              <w:pStyle w:val="TableHeading"/>
              <w:spacing w:line="276" w:lineRule="auto"/>
              <w:rPr>
                <w:b w:val="0"/>
                <w:bCs/>
                <w:noProof/>
                <w:sz w:val="18"/>
                <w:szCs w:val="20"/>
                <w:lang w:val="en-US"/>
              </w:rPr>
            </w:pPr>
          </w:p>
        </w:tc>
        <w:tc>
          <w:tcPr>
            <w:tcW w:w="745" w:type="dxa"/>
            <w:shd w:val="clear" w:color="auto" w:fill="002395"/>
            <w:textDirection w:val="btLr"/>
            <w:vAlign w:val="center"/>
          </w:tcPr>
          <w:p w14:paraId="0A660720" w14:textId="77777777" w:rsidR="00B707AD" w:rsidRPr="0017256A" w:rsidRDefault="00B707AD" w:rsidP="00145AB7">
            <w:pPr>
              <w:pStyle w:val="TableHeading"/>
              <w:spacing w:line="276" w:lineRule="auto"/>
              <w:rPr>
                <w:b w:val="0"/>
                <w:bCs/>
                <w:noProof/>
                <w:sz w:val="18"/>
                <w:szCs w:val="20"/>
                <w:lang w:val="en-US"/>
              </w:rPr>
            </w:pPr>
            <w:r>
              <w:rPr>
                <w:b w:val="0"/>
                <w:bCs/>
                <w:noProof/>
                <w:sz w:val="18"/>
                <w:szCs w:val="20"/>
                <w:lang w:val="en-US"/>
              </w:rPr>
              <w:t>Qualitative</w:t>
            </w:r>
          </w:p>
        </w:tc>
        <w:tc>
          <w:tcPr>
            <w:tcW w:w="956" w:type="dxa"/>
            <w:shd w:val="clear" w:color="auto" w:fill="002395"/>
            <w:textDirection w:val="btLr"/>
            <w:vAlign w:val="center"/>
          </w:tcPr>
          <w:p w14:paraId="072C0097" w14:textId="77777777" w:rsidR="00B707AD" w:rsidRPr="0017256A" w:rsidRDefault="00B707AD" w:rsidP="00145AB7">
            <w:pPr>
              <w:pStyle w:val="TableHeading"/>
              <w:spacing w:line="276" w:lineRule="auto"/>
              <w:rPr>
                <w:b w:val="0"/>
                <w:bCs/>
                <w:noProof/>
                <w:sz w:val="18"/>
                <w:szCs w:val="20"/>
                <w:lang w:val="en-US"/>
              </w:rPr>
            </w:pPr>
            <w:r>
              <w:rPr>
                <w:b w:val="0"/>
                <w:bCs/>
                <w:noProof/>
                <w:sz w:val="18"/>
                <w:szCs w:val="20"/>
                <w:lang w:val="en-US"/>
              </w:rPr>
              <w:t>Quantitative</w:t>
            </w:r>
          </w:p>
        </w:tc>
      </w:tr>
      <w:tr w:rsidR="00B707AD" w:rsidRPr="00AF10FA" w14:paraId="6091F81C" w14:textId="77777777" w:rsidTr="25CA0D31">
        <w:trPr>
          <w:trHeight w:val="290"/>
        </w:trPr>
        <w:tc>
          <w:tcPr>
            <w:tcW w:w="4514" w:type="dxa"/>
            <w:noWrap/>
            <w:vAlign w:val="center"/>
            <w:hideMark/>
          </w:tcPr>
          <w:p w14:paraId="5155252C" w14:textId="1DA43B7D" w:rsidR="00B707AD" w:rsidRPr="003D451B" w:rsidRDefault="00B707AD" w:rsidP="00145AB7">
            <w:pPr>
              <w:pStyle w:val="Bullet1"/>
              <w:numPr>
                <w:ilvl w:val="0"/>
                <w:numId w:val="0"/>
              </w:numPr>
              <w:spacing w:line="276" w:lineRule="auto"/>
              <w:ind w:left="340" w:hanging="340"/>
              <w:rPr>
                <w:noProof/>
                <w:sz w:val="18"/>
                <w:szCs w:val="18"/>
              </w:rPr>
            </w:pPr>
            <w:r w:rsidRPr="003D451B">
              <w:rPr>
                <w:noProof/>
                <w:sz w:val="18"/>
                <w:szCs w:val="18"/>
              </w:rPr>
              <w:t>Ease of doing business</w:t>
            </w:r>
            <w:r w:rsidR="00F565EC">
              <w:rPr>
                <w:noProof/>
                <w:sz w:val="18"/>
                <w:szCs w:val="18"/>
              </w:rPr>
              <w:t xml:space="preserve"> </w:t>
            </w:r>
            <w:r w:rsidR="005E1669">
              <w:rPr>
                <w:noProof/>
                <w:sz w:val="18"/>
                <w:szCs w:val="18"/>
              </w:rPr>
              <w:t>(benefit)</w:t>
            </w:r>
          </w:p>
        </w:tc>
        <w:tc>
          <w:tcPr>
            <w:tcW w:w="23" w:type="dxa"/>
            <w:tcBorders>
              <w:top w:val="nil"/>
              <w:bottom w:val="nil"/>
            </w:tcBorders>
            <w:shd w:val="clear" w:color="auto" w:fill="FFFFFF" w:themeFill="background1"/>
          </w:tcPr>
          <w:p w14:paraId="4A7FF45B" w14:textId="77777777" w:rsidR="00B707AD" w:rsidRPr="00E42C1E" w:rsidRDefault="00B707AD" w:rsidP="00145AB7">
            <w:pPr>
              <w:pStyle w:val="TableText"/>
              <w:spacing w:line="276" w:lineRule="auto"/>
              <w:rPr>
                <w:noProof/>
                <w:color w:val="1F497D" w:themeColor="text2"/>
                <w:sz w:val="18"/>
                <w:szCs w:val="20"/>
                <w:lang w:val="en-US"/>
              </w:rPr>
            </w:pPr>
          </w:p>
        </w:tc>
        <w:tc>
          <w:tcPr>
            <w:tcW w:w="827" w:type="dxa"/>
            <w:gridSpan w:val="2"/>
            <w:vAlign w:val="center"/>
            <w:hideMark/>
          </w:tcPr>
          <w:p w14:paraId="29CE2C10" w14:textId="77777777" w:rsidR="00B707AD" w:rsidRPr="00CD1846" w:rsidRDefault="00B707AD" w:rsidP="00145AB7">
            <w:pPr>
              <w:pStyle w:val="TableText"/>
              <w:spacing w:line="276" w:lineRule="auto"/>
              <w:jc w:val="center"/>
              <w:rPr>
                <w:noProof/>
                <w:color w:val="auto"/>
                <w:sz w:val="18"/>
                <w:szCs w:val="20"/>
                <w:lang w:val="en-US"/>
              </w:rPr>
            </w:pPr>
          </w:p>
        </w:tc>
        <w:tc>
          <w:tcPr>
            <w:tcW w:w="828" w:type="dxa"/>
            <w:vAlign w:val="center"/>
            <w:hideMark/>
          </w:tcPr>
          <w:p w14:paraId="657D35F4" w14:textId="77777777" w:rsidR="00B707AD" w:rsidRPr="00CD1846" w:rsidRDefault="00B707AD" w:rsidP="00145AB7">
            <w:pPr>
              <w:pStyle w:val="TableText"/>
              <w:spacing w:line="276" w:lineRule="auto"/>
              <w:jc w:val="center"/>
              <w:rPr>
                <w:noProof/>
                <w:color w:val="auto"/>
                <w:sz w:val="18"/>
                <w:szCs w:val="20"/>
                <w:lang w:val="en-US"/>
              </w:rPr>
            </w:pPr>
            <w:r w:rsidRPr="00CD1846">
              <w:rPr>
                <w:rFonts w:ascii="Wingdings" w:eastAsia="Wingdings" w:hAnsi="Wingdings" w:cs="Wingdings"/>
                <w:noProof/>
                <w:color w:val="auto"/>
                <w:sz w:val="18"/>
                <w:szCs w:val="20"/>
                <w:lang w:val="en-US"/>
              </w:rPr>
              <w:t></w:t>
            </w:r>
          </w:p>
        </w:tc>
        <w:tc>
          <w:tcPr>
            <w:tcW w:w="1038" w:type="dxa"/>
            <w:vAlign w:val="center"/>
            <w:hideMark/>
          </w:tcPr>
          <w:p w14:paraId="0F8BD12C" w14:textId="77777777" w:rsidR="00B707AD" w:rsidRPr="00CD1846" w:rsidRDefault="00B707AD" w:rsidP="00145AB7">
            <w:pPr>
              <w:pStyle w:val="TableText"/>
              <w:spacing w:line="276" w:lineRule="auto"/>
              <w:jc w:val="center"/>
              <w:rPr>
                <w:noProof/>
                <w:color w:val="auto"/>
                <w:sz w:val="18"/>
                <w:szCs w:val="20"/>
                <w:lang w:val="en-US"/>
              </w:rPr>
            </w:pPr>
          </w:p>
        </w:tc>
        <w:tc>
          <w:tcPr>
            <w:tcW w:w="974" w:type="dxa"/>
            <w:vAlign w:val="center"/>
            <w:hideMark/>
          </w:tcPr>
          <w:p w14:paraId="01E43E4F" w14:textId="77777777" w:rsidR="00B707AD" w:rsidRPr="00CD1846" w:rsidRDefault="00B707AD" w:rsidP="00145AB7">
            <w:pPr>
              <w:pStyle w:val="TableText"/>
              <w:spacing w:line="276" w:lineRule="auto"/>
              <w:jc w:val="center"/>
              <w:rPr>
                <w:noProof/>
                <w:color w:val="auto"/>
                <w:sz w:val="18"/>
                <w:szCs w:val="20"/>
                <w:lang w:val="en-US"/>
              </w:rPr>
            </w:pPr>
          </w:p>
        </w:tc>
        <w:tc>
          <w:tcPr>
            <w:tcW w:w="20" w:type="dxa"/>
            <w:tcBorders>
              <w:top w:val="nil"/>
              <w:bottom w:val="nil"/>
            </w:tcBorders>
            <w:shd w:val="clear" w:color="auto" w:fill="FFFFFF" w:themeFill="background1"/>
            <w:vAlign w:val="center"/>
          </w:tcPr>
          <w:p w14:paraId="2C370E74" w14:textId="77777777" w:rsidR="00B707AD" w:rsidRPr="003F0E54" w:rsidRDefault="00B707AD" w:rsidP="00145AB7">
            <w:pPr>
              <w:pStyle w:val="TableText"/>
              <w:spacing w:line="276" w:lineRule="auto"/>
              <w:jc w:val="center"/>
              <w:rPr>
                <w:rFonts w:ascii="Wingdings" w:eastAsia="Wingdings" w:hAnsi="Wingdings" w:cs="Wingdings"/>
                <w:noProof/>
                <w:color w:val="1F497D" w:themeColor="text2"/>
                <w:sz w:val="18"/>
                <w:szCs w:val="20"/>
                <w:lang w:val="en-US"/>
              </w:rPr>
            </w:pPr>
          </w:p>
        </w:tc>
        <w:tc>
          <w:tcPr>
            <w:tcW w:w="745" w:type="dxa"/>
            <w:vAlign w:val="center"/>
          </w:tcPr>
          <w:p w14:paraId="573242FF" w14:textId="77777777" w:rsidR="00B707AD" w:rsidRPr="002A5BF9" w:rsidRDefault="00B707AD" w:rsidP="00145AB7">
            <w:pPr>
              <w:pStyle w:val="TableText"/>
              <w:spacing w:line="276" w:lineRule="auto"/>
              <w:jc w:val="center"/>
              <w:rPr>
                <w:noProof/>
                <w:sz w:val="18"/>
                <w:szCs w:val="20"/>
                <w:lang w:val="en-US"/>
              </w:rPr>
            </w:pPr>
            <w:r w:rsidRPr="002A5BF9">
              <w:rPr>
                <w:rFonts w:ascii="Wingdings" w:eastAsia="Wingdings" w:hAnsi="Wingdings" w:cs="Wingdings"/>
                <w:noProof/>
                <w:color w:val="1F497D" w:themeColor="text2"/>
                <w:sz w:val="18"/>
                <w:szCs w:val="20"/>
                <w:lang w:val="en-US"/>
              </w:rPr>
              <w:t></w:t>
            </w:r>
          </w:p>
        </w:tc>
        <w:tc>
          <w:tcPr>
            <w:tcW w:w="956" w:type="dxa"/>
            <w:vAlign w:val="center"/>
          </w:tcPr>
          <w:p w14:paraId="3E410CB9" w14:textId="77777777" w:rsidR="00B707AD" w:rsidRPr="002A5BF9" w:rsidRDefault="00B707AD" w:rsidP="00145AB7">
            <w:pPr>
              <w:pStyle w:val="TableText"/>
              <w:spacing w:line="276" w:lineRule="auto"/>
              <w:jc w:val="center"/>
              <w:rPr>
                <w:noProof/>
                <w:sz w:val="16"/>
                <w:szCs w:val="18"/>
                <w:lang w:val="en-US"/>
              </w:rPr>
            </w:pPr>
          </w:p>
        </w:tc>
      </w:tr>
      <w:tr w:rsidR="009B2FE6" w:rsidRPr="00AF10FA" w14:paraId="1631BA2C" w14:textId="77777777" w:rsidTr="25CA0D31">
        <w:trPr>
          <w:trHeight w:val="290"/>
        </w:trPr>
        <w:tc>
          <w:tcPr>
            <w:tcW w:w="4514" w:type="dxa"/>
            <w:noWrap/>
            <w:vAlign w:val="center"/>
          </w:tcPr>
          <w:p w14:paraId="673EEF21" w14:textId="3CE75B8F" w:rsidR="009B2FE6" w:rsidRPr="003D451B" w:rsidRDefault="009B2FE6" w:rsidP="009B2FE6">
            <w:pPr>
              <w:pStyle w:val="Bullet1"/>
              <w:numPr>
                <w:ilvl w:val="0"/>
                <w:numId w:val="0"/>
              </w:numPr>
              <w:spacing w:line="276" w:lineRule="auto"/>
              <w:ind w:left="340" w:hanging="340"/>
              <w:rPr>
                <w:noProof/>
                <w:sz w:val="18"/>
                <w:szCs w:val="18"/>
              </w:rPr>
            </w:pPr>
            <w:r>
              <w:rPr>
                <w:noProof/>
                <w:sz w:val="18"/>
                <w:szCs w:val="18"/>
              </w:rPr>
              <w:t>Ease of attracting investment (benefit)</w:t>
            </w:r>
          </w:p>
        </w:tc>
        <w:tc>
          <w:tcPr>
            <w:tcW w:w="23" w:type="dxa"/>
            <w:tcBorders>
              <w:top w:val="nil"/>
              <w:bottom w:val="nil"/>
            </w:tcBorders>
            <w:shd w:val="clear" w:color="auto" w:fill="FFFFFF" w:themeFill="background1"/>
          </w:tcPr>
          <w:p w14:paraId="7468BBF9" w14:textId="77777777" w:rsidR="009B2FE6" w:rsidRPr="00E42C1E" w:rsidRDefault="009B2FE6" w:rsidP="009B2FE6">
            <w:pPr>
              <w:pStyle w:val="TableText"/>
              <w:spacing w:line="276" w:lineRule="auto"/>
              <w:rPr>
                <w:noProof/>
                <w:color w:val="1F497D" w:themeColor="text2"/>
                <w:sz w:val="18"/>
                <w:szCs w:val="20"/>
                <w:lang w:val="en-US"/>
              </w:rPr>
            </w:pPr>
          </w:p>
        </w:tc>
        <w:tc>
          <w:tcPr>
            <w:tcW w:w="827" w:type="dxa"/>
            <w:gridSpan w:val="2"/>
            <w:vAlign w:val="center"/>
          </w:tcPr>
          <w:p w14:paraId="71002A61" w14:textId="77777777" w:rsidR="009B2FE6" w:rsidRPr="00CD1846" w:rsidRDefault="009B2FE6" w:rsidP="009B2FE6">
            <w:pPr>
              <w:pStyle w:val="TableText"/>
              <w:spacing w:line="276" w:lineRule="auto"/>
              <w:jc w:val="center"/>
              <w:rPr>
                <w:noProof/>
                <w:color w:val="auto"/>
                <w:sz w:val="18"/>
                <w:szCs w:val="20"/>
                <w:lang w:val="en-US"/>
              </w:rPr>
            </w:pPr>
          </w:p>
        </w:tc>
        <w:tc>
          <w:tcPr>
            <w:tcW w:w="828" w:type="dxa"/>
          </w:tcPr>
          <w:p w14:paraId="2E66ACDF" w14:textId="41AEC0F1" w:rsidR="009B2FE6" w:rsidRPr="00CD1846" w:rsidRDefault="009B2FE6" w:rsidP="009B2FE6">
            <w:pPr>
              <w:pStyle w:val="TableText"/>
              <w:spacing w:line="276" w:lineRule="auto"/>
              <w:jc w:val="center"/>
              <w:rPr>
                <w:rFonts w:ascii="Wingdings" w:eastAsia="Wingdings" w:hAnsi="Wingdings" w:cs="Wingdings"/>
                <w:noProof/>
                <w:color w:val="auto"/>
                <w:sz w:val="18"/>
                <w:szCs w:val="20"/>
                <w:lang w:val="en-US"/>
              </w:rPr>
            </w:pPr>
            <w:r w:rsidRPr="00CD1846">
              <w:rPr>
                <w:rFonts w:ascii="Wingdings" w:eastAsia="Wingdings" w:hAnsi="Wingdings" w:cs="Wingdings"/>
                <w:noProof/>
                <w:color w:val="auto"/>
                <w:sz w:val="18"/>
                <w:szCs w:val="20"/>
                <w:lang w:val="en-US"/>
              </w:rPr>
              <w:t></w:t>
            </w:r>
          </w:p>
        </w:tc>
        <w:tc>
          <w:tcPr>
            <w:tcW w:w="1038" w:type="dxa"/>
          </w:tcPr>
          <w:p w14:paraId="3402B490" w14:textId="682CC686" w:rsidR="009B2FE6" w:rsidRPr="00CD1846" w:rsidRDefault="009B2FE6" w:rsidP="009B2FE6">
            <w:pPr>
              <w:pStyle w:val="TableText"/>
              <w:spacing w:line="276" w:lineRule="auto"/>
              <w:jc w:val="center"/>
              <w:rPr>
                <w:noProof/>
                <w:color w:val="auto"/>
                <w:sz w:val="18"/>
                <w:szCs w:val="20"/>
                <w:lang w:val="en-US"/>
              </w:rPr>
            </w:pPr>
            <w:r w:rsidRPr="00CD1846">
              <w:rPr>
                <w:rFonts w:ascii="Wingdings" w:eastAsia="Wingdings" w:hAnsi="Wingdings" w:cs="Wingdings"/>
                <w:noProof/>
                <w:color w:val="auto"/>
                <w:sz w:val="18"/>
                <w:szCs w:val="20"/>
                <w:lang w:val="en-US"/>
              </w:rPr>
              <w:t></w:t>
            </w:r>
          </w:p>
        </w:tc>
        <w:tc>
          <w:tcPr>
            <w:tcW w:w="974" w:type="dxa"/>
          </w:tcPr>
          <w:p w14:paraId="66D5D213" w14:textId="77777777" w:rsidR="009B2FE6" w:rsidRPr="00CD1846" w:rsidRDefault="009B2FE6" w:rsidP="009B2FE6">
            <w:pPr>
              <w:pStyle w:val="TableText"/>
              <w:spacing w:line="276" w:lineRule="auto"/>
              <w:jc w:val="center"/>
              <w:rPr>
                <w:noProof/>
                <w:color w:val="auto"/>
                <w:sz w:val="18"/>
                <w:szCs w:val="20"/>
                <w:lang w:val="en-US"/>
              </w:rPr>
            </w:pPr>
          </w:p>
        </w:tc>
        <w:tc>
          <w:tcPr>
            <w:tcW w:w="20" w:type="dxa"/>
            <w:tcBorders>
              <w:top w:val="nil"/>
              <w:bottom w:val="nil"/>
            </w:tcBorders>
            <w:shd w:val="clear" w:color="auto" w:fill="FFFFFF" w:themeFill="background1"/>
            <w:vAlign w:val="center"/>
          </w:tcPr>
          <w:p w14:paraId="33E913F8" w14:textId="77777777" w:rsidR="009B2FE6" w:rsidRPr="003F0E54" w:rsidRDefault="009B2FE6" w:rsidP="009B2FE6">
            <w:pPr>
              <w:pStyle w:val="TableText"/>
              <w:spacing w:line="276" w:lineRule="auto"/>
              <w:jc w:val="center"/>
              <w:rPr>
                <w:rFonts w:ascii="Wingdings" w:eastAsia="Wingdings" w:hAnsi="Wingdings" w:cs="Wingdings"/>
                <w:noProof/>
                <w:color w:val="1F497D" w:themeColor="text2"/>
                <w:sz w:val="18"/>
                <w:szCs w:val="20"/>
                <w:lang w:val="en-US"/>
              </w:rPr>
            </w:pPr>
          </w:p>
        </w:tc>
        <w:tc>
          <w:tcPr>
            <w:tcW w:w="745" w:type="dxa"/>
            <w:vAlign w:val="center"/>
          </w:tcPr>
          <w:p w14:paraId="0FAFEE9C" w14:textId="18C8FA58" w:rsidR="009B2FE6" w:rsidRPr="002A5BF9" w:rsidRDefault="009B2FE6" w:rsidP="009B2FE6">
            <w:pPr>
              <w:pStyle w:val="TableText"/>
              <w:spacing w:line="276" w:lineRule="auto"/>
              <w:jc w:val="center"/>
              <w:rPr>
                <w:rFonts w:ascii="Wingdings" w:eastAsia="Wingdings" w:hAnsi="Wingdings" w:cs="Wingdings"/>
                <w:noProof/>
                <w:color w:val="1F497D" w:themeColor="text2"/>
                <w:sz w:val="18"/>
                <w:szCs w:val="20"/>
                <w:lang w:val="en-US"/>
              </w:rPr>
            </w:pPr>
            <w:r w:rsidRPr="002A5BF9">
              <w:rPr>
                <w:rFonts w:ascii="Wingdings" w:eastAsia="Wingdings" w:hAnsi="Wingdings" w:cs="Wingdings"/>
                <w:noProof/>
                <w:color w:val="1F497D" w:themeColor="text2"/>
                <w:sz w:val="18"/>
                <w:szCs w:val="20"/>
                <w:lang w:val="en-US"/>
              </w:rPr>
              <w:t></w:t>
            </w:r>
          </w:p>
        </w:tc>
        <w:tc>
          <w:tcPr>
            <w:tcW w:w="956" w:type="dxa"/>
            <w:vAlign w:val="center"/>
          </w:tcPr>
          <w:p w14:paraId="6B617E28" w14:textId="77777777" w:rsidR="009B2FE6" w:rsidRPr="002A5BF9" w:rsidRDefault="009B2FE6" w:rsidP="009B2FE6">
            <w:pPr>
              <w:pStyle w:val="TableText"/>
              <w:spacing w:line="276" w:lineRule="auto"/>
              <w:jc w:val="center"/>
              <w:rPr>
                <w:noProof/>
                <w:sz w:val="16"/>
                <w:szCs w:val="18"/>
                <w:lang w:val="en-US"/>
              </w:rPr>
            </w:pPr>
          </w:p>
        </w:tc>
      </w:tr>
      <w:tr w:rsidR="00B707AD" w:rsidRPr="00AF10FA" w14:paraId="08CBCC81" w14:textId="77777777" w:rsidTr="25CA0D31">
        <w:trPr>
          <w:trHeight w:val="290"/>
        </w:trPr>
        <w:tc>
          <w:tcPr>
            <w:tcW w:w="4514" w:type="dxa"/>
            <w:noWrap/>
            <w:vAlign w:val="center"/>
            <w:hideMark/>
          </w:tcPr>
          <w:p w14:paraId="5AE84162" w14:textId="305F0731" w:rsidR="00B707AD" w:rsidRPr="003D451B" w:rsidRDefault="00B707AD" w:rsidP="00145AB7">
            <w:pPr>
              <w:tabs>
                <w:tab w:val="num" w:pos="680"/>
              </w:tabs>
              <w:spacing w:line="276" w:lineRule="auto"/>
              <w:ind w:left="340" w:hanging="340"/>
              <w:contextualSpacing/>
              <w:rPr>
                <w:noProof/>
                <w:sz w:val="18"/>
                <w:szCs w:val="18"/>
              </w:rPr>
            </w:pPr>
            <w:r w:rsidRPr="003D451B">
              <w:rPr>
                <w:noProof/>
                <w:sz w:val="18"/>
                <w:szCs w:val="18"/>
              </w:rPr>
              <w:t xml:space="preserve">Administrative </w:t>
            </w:r>
            <w:r w:rsidR="009B2FE6" w:rsidRPr="003D451B">
              <w:rPr>
                <w:noProof/>
                <w:sz w:val="18"/>
                <w:szCs w:val="18"/>
              </w:rPr>
              <w:t>burden</w:t>
            </w:r>
            <w:r w:rsidR="00B20F14">
              <w:rPr>
                <w:noProof/>
                <w:sz w:val="18"/>
                <w:szCs w:val="18"/>
              </w:rPr>
              <w:t xml:space="preserve"> reduction (benefit)</w:t>
            </w:r>
            <w:r>
              <w:rPr>
                <w:noProof/>
                <w:sz w:val="18"/>
                <w:szCs w:val="18"/>
              </w:rPr>
              <w:t xml:space="preserve"> </w:t>
            </w:r>
          </w:p>
        </w:tc>
        <w:tc>
          <w:tcPr>
            <w:tcW w:w="23" w:type="dxa"/>
            <w:tcBorders>
              <w:top w:val="nil"/>
              <w:bottom w:val="nil"/>
            </w:tcBorders>
            <w:shd w:val="clear" w:color="auto" w:fill="FFFFFF" w:themeFill="background1"/>
          </w:tcPr>
          <w:p w14:paraId="1B212612" w14:textId="77777777" w:rsidR="00B707AD" w:rsidRPr="00E42C1E" w:rsidRDefault="00B707AD" w:rsidP="00145AB7">
            <w:pPr>
              <w:pStyle w:val="TableText"/>
              <w:spacing w:line="276" w:lineRule="auto"/>
              <w:rPr>
                <w:rFonts w:ascii="Wingdings" w:eastAsia="Wingdings" w:hAnsi="Wingdings" w:cs="Wingdings"/>
                <w:noProof/>
                <w:color w:val="1F497D" w:themeColor="text2"/>
                <w:sz w:val="18"/>
                <w:szCs w:val="20"/>
                <w:lang w:val="en-US"/>
              </w:rPr>
            </w:pPr>
          </w:p>
        </w:tc>
        <w:tc>
          <w:tcPr>
            <w:tcW w:w="827" w:type="dxa"/>
            <w:gridSpan w:val="2"/>
            <w:vAlign w:val="center"/>
            <w:hideMark/>
          </w:tcPr>
          <w:p w14:paraId="61BE2F5E" w14:textId="77777777" w:rsidR="00B707AD" w:rsidRPr="00CD1846" w:rsidRDefault="00B707AD" w:rsidP="00145AB7">
            <w:pPr>
              <w:pStyle w:val="TableText"/>
              <w:spacing w:line="276" w:lineRule="auto"/>
              <w:jc w:val="center"/>
              <w:rPr>
                <w:noProof/>
                <w:color w:val="auto"/>
                <w:sz w:val="18"/>
                <w:szCs w:val="20"/>
                <w:lang w:val="en-US"/>
              </w:rPr>
            </w:pPr>
          </w:p>
        </w:tc>
        <w:tc>
          <w:tcPr>
            <w:tcW w:w="828" w:type="dxa"/>
            <w:vAlign w:val="center"/>
            <w:hideMark/>
          </w:tcPr>
          <w:p w14:paraId="582C1724" w14:textId="77777777" w:rsidR="00B707AD" w:rsidRPr="00CD1846" w:rsidRDefault="00B707AD" w:rsidP="00145AB7">
            <w:pPr>
              <w:pStyle w:val="TableText"/>
              <w:spacing w:line="276" w:lineRule="auto"/>
              <w:jc w:val="center"/>
              <w:rPr>
                <w:noProof/>
                <w:color w:val="auto"/>
                <w:sz w:val="18"/>
                <w:szCs w:val="20"/>
                <w:lang w:val="en-US"/>
              </w:rPr>
            </w:pPr>
            <w:r w:rsidRPr="00CD1846">
              <w:rPr>
                <w:rFonts w:ascii="Wingdings" w:eastAsia="Wingdings" w:hAnsi="Wingdings" w:cs="Wingdings"/>
                <w:noProof/>
                <w:color w:val="auto"/>
                <w:sz w:val="18"/>
                <w:szCs w:val="20"/>
                <w:lang w:val="en-US"/>
              </w:rPr>
              <w:t></w:t>
            </w:r>
          </w:p>
        </w:tc>
        <w:tc>
          <w:tcPr>
            <w:tcW w:w="1038" w:type="dxa"/>
            <w:vAlign w:val="center"/>
            <w:hideMark/>
          </w:tcPr>
          <w:p w14:paraId="2E80B2CB" w14:textId="77777777" w:rsidR="00B707AD" w:rsidRPr="00CD1846" w:rsidRDefault="00B707AD" w:rsidP="00145AB7">
            <w:pPr>
              <w:pStyle w:val="TableText"/>
              <w:spacing w:line="276" w:lineRule="auto"/>
              <w:jc w:val="center"/>
              <w:rPr>
                <w:noProof/>
                <w:color w:val="auto"/>
                <w:sz w:val="18"/>
                <w:szCs w:val="20"/>
                <w:lang w:val="en-US"/>
              </w:rPr>
            </w:pPr>
            <w:r w:rsidRPr="00F0194C">
              <w:rPr>
                <w:rFonts w:ascii="Wingdings" w:eastAsia="Wingdings" w:hAnsi="Wingdings" w:cs="Wingdings"/>
                <w:noProof/>
                <w:color w:val="auto"/>
                <w:sz w:val="18"/>
                <w:szCs w:val="20"/>
                <w:lang w:val="en-US"/>
              </w:rPr>
              <w:t></w:t>
            </w:r>
          </w:p>
        </w:tc>
        <w:tc>
          <w:tcPr>
            <w:tcW w:w="974" w:type="dxa"/>
            <w:vAlign w:val="center"/>
            <w:hideMark/>
          </w:tcPr>
          <w:p w14:paraId="1A57F31C" w14:textId="45D1B2BE" w:rsidR="00B707AD" w:rsidRPr="00CD1846" w:rsidRDefault="00B707AD" w:rsidP="00145AB7">
            <w:pPr>
              <w:pStyle w:val="TableText"/>
              <w:spacing w:line="276" w:lineRule="auto"/>
              <w:jc w:val="center"/>
              <w:rPr>
                <w:noProof/>
                <w:color w:val="auto"/>
                <w:sz w:val="18"/>
                <w:szCs w:val="20"/>
                <w:lang w:val="en-US"/>
              </w:rPr>
            </w:pPr>
          </w:p>
        </w:tc>
        <w:tc>
          <w:tcPr>
            <w:tcW w:w="20" w:type="dxa"/>
            <w:tcBorders>
              <w:top w:val="nil"/>
              <w:bottom w:val="nil"/>
            </w:tcBorders>
            <w:shd w:val="clear" w:color="auto" w:fill="FFFFFF" w:themeFill="background1"/>
            <w:vAlign w:val="center"/>
          </w:tcPr>
          <w:p w14:paraId="3B163916" w14:textId="77777777" w:rsidR="00B707AD" w:rsidRPr="003F0E54" w:rsidRDefault="00B707AD" w:rsidP="00145AB7">
            <w:pPr>
              <w:pStyle w:val="TableText"/>
              <w:spacing w:line="276" w:lineRule="auto"/>
              <w:jc w:val="center"/>
              <w:rPr>
                <w:rFonts w:ascii="Wingdings" w:eastAsia="Wingdings" w:hAnsi="Wingdings" w:cs="Wingdings"/>
                <w:noProof/>
                <w:color w:val="1F497D" w:themeColor="text2"/>
                <w:sz w:val="18"/>
                <w:szCs w:val="20"/>
                <w:lang w:val="en-US"/>
              </w:rPr>
            </w:pPr>
          </w:p>
        </w:tc>
        <w:tc>
          <w:tcPr>
            <w:tcW w:w="745" w:type="dxa"/>
            <w:vAlign w:val="center"/>
          </w:tcPr>
          <w:p w14:paraId="5E98D882" w14:textId="77777777" w:rsidR="00B707AD" w:rsidRPr="002A5BF9" w:rsidRDefault="00B707AD" w:rsidP="00145AB7">
            <w:pPr>
              <w:pStyle w:val="TableText"/>
              <w:spacing w:line="276" w:lineRule="auto"/>
              <w:jc w:val="center"/>
              <w:rPr>
                <w:noProof/>
                <w:sz w:val="18"/>
                <w:szCs w:val="20"/>
                <w:lang w:val="en-US"/>
              </w:rPr>
            </w:pPr>
            <w:r w:rsidRPr="002A5BF9">
              <w:rPr>
                <w:rFonts w:ascii="Wingdings" w:eastAsia="Wingdings" w:hAnsi="Wingdings" w:cs="Wingdings"/>
                <w:noProof/>
                <w:color w:val="1F497D" w:themeColor="text2"/>
                <w:sz w:val="18"/>
                <w:szCs w:val="20"/>
                <w:lang w:val="en-US"/>
              </w:rPr>
              <w:t></w:t>
            </w:r>
          </w:p>
        </w:tc>
        <w:tc>
          <w:tcPr>
            <w:tcW w:w="956" w:type="dxa"/>
            <w:vAlign w:val="center"/>
          </w:tcPr>
          <w:p w14:paraId="28B6D310" w14:textId="77777777" w:rsidR="00B707AD" w:rsidRPr="002A5BF9" w:rsidRDefault="00B707AD" w:rsidP="00145AB7">
            <w:pPr>
              <w:pStyle w:val="TableText"/>
              <w:spacing w:line="276" w:lineRule="auto"/>
              <w:jc w:val="center"/>
              <w:rPr>
                <w:noProof/>
                <w:sz w:val="16"/>
                <w:szCs w:val="18"/>
                <w:lang w:val="en-US"/>
              </w:rPr>
            </w:pPr>
            <w:r w:rsidRPr="002A5BF9">
              <w:rPr>
                <w:rFonts w:ascii="Arial" w:eastAsia="Wingdings" w:hAnsi="Arial" w:cs="Arial"/>
                <w:noProof/>
                <w:color w:val="1F497D" w:themeColor="text2"/>
                <w:sz w:val="16"/>
                <w:szCs w:val="18"/>
                <w:lang w:val="en-US"/>
              </w:rPr>
              <w:t>partial</w:t>
            </w:r>
          </w:p>
        </w:tc>
      </w:tr>
      <w:tr w:rsidR="00E576E0" w:rsidRPr="00AF10FA" w14:paraId="32A37996" w14:textId="77777777" w:rsidTr="25CA0D31">
        <w:trPr>
          <w:trHeight w:val="290"/>
        </w:trPr>
        <w:tc>
          <w:tcPr>
            <w:tcW w:w="4514" w:type="dxa"/>
            <w:noWrap/>
            <w:vAlign w:val="center"/>
          </w:tcPr>
          <w:p w14:paraId="19A4F511" w14:textId="4B221694" w:rsidR="00E576E0" w:rsidRPr="003D451B" w:rsidRDefault="005E33E6" w:rsidP="009B2FE6">
            <w:pPr>
              <w:tabs>
                <w:tab w:val="num" w:pos="680"/>
              </w:tabs>
              <w:spacing w:line="276" w:lineRule="auto"/>
              <w:ind w:left="340" w:hanging="340"/>
              <w:contextualSpacing/>
              <w:rPr>
                <w:noProof/>
                <w:sz w:val="18"/>
                <w:szCs w:val="18"/>
              </w:rPr>
            </w:pPr>
            <w:r>
              <w:rPr>
                <w:noProof/>
                <w:sz w:val="18"/>
                <w:szCs w:val="18"/>
              </w:rPr>
              <w:t>Administrative and adjustment costs</w:t>
            </w:r>
            <w:r w:rsidR="00C4289D">
              <w:rPr>
                <w:noProof/>
                <w:sz w:val="18"/>
                <w:szCs w:val="18"/>
              </w:rPr>
              <w:t xml:space="preserve"> (cost)</w:t>
            </w:r>
          </w:p>
        </w:tc>
        <w:tc>
          <w:tcPr>
            <w:tcW w:w="23" w:type="dxa"/>
            <w:tcBorders>
              <w:top w:val="nil"/>
              <w:bottom w:val="nil"/>
            </w:tcBorders>
            <w:shd w:val="clear" w:color="auto" w:fill="FFFFFF" w:themeFill="background1"/>
          </w:tcPr>
          <w:p w14:paraId="685A3C27" w14:textId="77777777" w:rsidR="00E576E0" w:rsidRPr="00E42C1E" w:rsidRDefault="00E576E0" w:rsidP="009B2FE6">
            <w:pPr>
              <w:pStyle w:val="TableText"/>
              <w:spacing w:line="276" w:lineRule="auto"/>
              <w:rPr>
                <w:rFonts w:ascii="Wingdings" w:eastAsia="Wingdings" w:hAnsi="Wingdings" w:cs="Wingdings"/>
                <w:noProof/>
                <w:color w:val="1F497D" w:themeColor="text2"/>
                <w:sz w:val="18"/>
                <w:szCs w:val="20"/>
                <w:lang w:val="en-US"/>
              </w:rPr>
            </w:pPr>
          </w:p>
        </w:tc>
        <w:tc>
          <w:tcPr>
            <w:tcW w:w="827" w:type="dxa"/>
            <w:gridSpan w:val="2"/>
            <w:vAlign w:val="center"/>
          </w:tcPr>
          <w:p w14:paraId="68C2A019" w14:textId="77777777" w:rsidR="00E576E0" w:rsidRPr="00CD1846" w:rsidRDefault="00E576E0" w:rsidP="009B2FE6">
            <w:pPr>
              <w:pStyle w:val="TableText"/>
              <w:spacing w:line="276" w:lineRule="auto"/>
              <w:jc w:val="center"/>
              <w:rPr>
                <w:noProof/>
                <w:color w:val="auto"/>
                <w:sz w:val="18"/>
                <w:szCs w:val="20"/>
                <w:lang w:val="en-US"/>
              </w:rPr>
            </w:pPr>
          </w:p>
        </w:tc>
        <w:tc>
          <w:tcPr>
            <w:tcW w:w="828" w:type="dxa"/>
            <w:vAlign w:val="center"/>
          </w:tcPr>
          <w:p w14:paraId="0D84C98F" w14:textId="3D5BF71F" w:rsidR="00E576E0" w:rsidRPr="00CD1846" w:rsidRDefault="00F27AF0" w:rsidP="009B2FE6">
            <w:pPr>
              <w:pStyle w:val="TableText"/>
              <w:spacing w:line="276" w:lineRule="auto"/>
              <w:jc w:val="center"/>
              <w:rPr>
                <w:rFonts w:ascii="Wingdings" w:eastAsia="Wingdings" w:hAnsi="Wingdings" w:cs="Wingdings"/>
                <w:noProof/>
                <w:color w:val="auto"/>
                <w:sz w:val="18"/>
                <w:szCs w:val="20"/>
                <w:lang w:val="en-US"/>
              </w:rPr>
            </w:pPr>
            <w:r w:rsidRPr="00CD1846">
              <w:rPr>
                <w:rFonts w:ascii="Wingdings" w:eastAsia="Wingdings" w:hAnsi="Wingdings" w:cs="Wingdings"/>
                <w:noProof/>
                <w:color w:val="auto"/>
                <w:sz w:val="18"/>
                <w:szCs w:val="20"/>
                <w:lang w:val="en-US"/>
              </w:rPr>
              <w:t></w:t>
            </w:r>
          </w:p>
        </w:tc>
        <w:tc>
          <w:tcPr>
            <w:tcW w:w="1038" w:type="dxa"/>
            <w:vAlign w:val="center"/>
          </w:tcPr>
          <w:p w14:paraId="3A352AB2" w14:textId="707189CC" w:rsidR="00E576E0" w:rsidRPr="00CD1846" w:rsidRDefault="00F0194C" w:rsidP="009B2FE6">
            <w:pPr>
              <w:pStyle w:val="TableText"/>
              <w:spacing w:line="276" w:lineRule="auto"/>
              <w:jc w:val="center"/>
              <w:rPr>
                <w:rFonts w:ascii="Wingdings" w:eastAsia="Wingdings" w:hAnsi="Wingdings" w:cs="Wingdings"/>
                <w:noProof/>
                <w:color w:val="auto"/>
                <w:sz w:val="18"/>
                <w:szCs w:val="20"/>
                <w:lang w:val="en-US"/>
              </w:rPr>
            </w:pPr>
            <w:r w:rsidRPr="00CD1846">
              <w:rPr>
                <w:rFonts w:ascii="Wingdings" w:eastAsia="Wingdings" w:hAnsi="Wingdings" w:cs="Wingdings"/>
                <w:noProof/>
                <w:color w:val="auto"/>
                <w:sz w:val="18"/>
                <w:szCs w:val="20"/>
                <w:lang w:val="en-US"/>
              </w:rPr>
              <w:t></w:t>
            </w:r>
          </w:p>
        </w:tc>
        <w:tc>
          <w:tcPr>
            <w:tcW w:w="974" w:type="dxa"/>
            <w:vAlign w:val="center"/>
          </w:tcPr>
          <w:p w14:paraId="24B3CDE6" w14:textId="77777777" w:rsidR="00E576E0" w:rsidRPr="00CD1846" w:rsidRDefault="00E576E0" w:rsidP="009B2FE6">
            <w:pPr>
              <w:pStyle w:val="TableText"/>
              <w:spacing w:line="276" w:lineRule="auto"/>
              <w:jc w:val="center"/>
              <w:rPr>
                <w:noProof/>
                <w:color w:val="auto"/>
                <w:sz w:val="18"/>
                <w:szCs w:val="20"/>
                <w:lang w:val="en-US"/>
              </w:rPr>
            </w:pPr>
          </w:p>
        </w:tc>
        <w:tc>
          <w:tcPr>
            <w:tcW w:w="20" w:type="dxa"/>
            <w:tcBorders>
              <w:top w:val="nil"/>
              <w:bottom w:val="nil"/>
            </w:tcBorders>
            <w:shd w:val="clear" w:color="auto" w:fill="FFFFFF" w:themeFill="background1"/>
            <w:vAlign w:val="center"/>
          </w:tcPr>
          <w:p w14:paraId="20EEC53A" w14:textId="77777777" w:rsidR="00E576E0" w:rsidRPr="003F0E54" w:rsidRDefault="00E576E0" w:rsidP="009B2FE6">
            <w:pPr>
              <w:pStyle w:val="TableText"/>
              <w:spacing w:line="276" w:lineRule="auto"/>
              <w:jc w:val="center"/>
              <w:rPr>
                <w:rFonts w:ascii="Wingdings" w:eastAsia="Wingdings" w:hAnsi="Wingdings" w:cs="Wingdings"/>
                <w:noProof/>
                <w:color w:val="1F497D" w:themeColor="text2"/>
                <w:sz w:val="18"/>
                <w:szCs w:val="20"/>
                <w:lang w:val="en-US"/>
              </w:rPr>
            </w:pPr>
          </w:p>
        </w:tc>
        <w:tc>
          <w:tcPr>
            <w:tcW w:w="745" w:type="dxa"/>
            <w:vAlign w:val="center"/>
          </w:tcPr>
          <w:p w14:paraId="0310FF4A" w14:textId="08587A0F" w:rsidR="00E576E0" w:rsidRPr="002A5BF9" w:rsidRDefault="00650FA3" w:rsidP="009B2FE6">
            <w:pPr>
              <w:pStyle w:val="TableText"/>
              <w:spacing w:line="276" w:lineRule="auto"/>
              <w:jc w:val="center"/>
              <w:rPr>
                <w:rFonts w:ascii="Wingdings" w:eastAsia="Wingdings" w:hAnsi="Wingdings" w:cs="Wingdings"/>
                <w:noProof/>
                <w:color w:val="1F497D" w:themeColor="text2"/>
                <w:sz w:val="18"/>
                <w:szCs w:val="20"/>
                <w:lang w:val="en-US"/>
              </w:rPr>
            </w:pPr>
            <w:r w:rsidRPr="00CD1846">
              <w:rPr>
                <w:rFonts w:ascii="Wingdings" w:eastAsia="Wingdings" w:hAnsi="Wingdings" w:cs="Wingdings"/>
                <w:noProof/>
                <w:color w:val="auto"/>
                <w:sz w:val="18"/>
                <w:szCs w:val="20"/>
                <w:lang w:val="en-US"/>
              </w:rPr>
              <w:t></w:t>
            </w:r>
          </w:p>
        </w:tc>
        <w:tc>
          <w:tcPr>
            <w:tcW w:w="956" w:type="dxa"/>
            <w:vAlign w:val="center"/>
          </w:tcPr>
          <w:p w14:paraId="3E1E7CB8" w14:textId="77777777" w:rsidR="00E576E0" w:rsidRPr="002A5BF9" w:rsidRDefault="00E576E0" w:rsidP="009B2FE6">
            <w:pPr>
              <w:pStyle w:val="TableText"/>
              <w:spacing w:line="276" w:lineRule="auto"/>
              <w:jc w:val="center"/>
              <w:rPr>
                <w:rFonts w:ascii="Arial" w:eastAsia="Wingdings" w:hAnsi="Arial" w:cs="Arial"/>
                <w:noProof/>
                <w:color w:val="1F497D" w:themeColor="text2"/>
                <w:sz w:val="16"/>
                <w:szCs w:val="18"/>
                <w:lang w:val="en-US"/>
              </w:rPr>
            </w:pPr>
          </w:p>
        </w:tc>
      </w:tr>
      <w:tr w:rsidR="00414476" w:rsidRPr="00414476" w14:paraId="05E30AAF" w14:textId="77777777" w:rsidTr="25CA0D31">
        <w:trPr>
          <w:trHeight w:val="290"/>
        </w:trPr>
        <w:tc>
          <w:tcPr>
            <w:tcW w:w="4514" w:type="dxa"/>
            <w:noWrap/>
            <w:vAlign w:val="center"/>
          </w:tcPr>
          <w:p w14:paraId="0EE31C52" w14:textId="081647B3" w:rsidR="00414476" w:rsidDel="009B2FE6" w:rsidRDefault="00414476" w:rsidP="009B2FE6">
            <w:pPr>
              <w:pStyle w:val="TableText"/>
              <w:spacing w:line="276" w:lineRule="auto"/>
              <w:ind w:left="0"/>
              <w:rPr>
                <w:noProof/>
                <w:sz w:val="18"/>
                <w:szCs w:val="18"/>
              </w:rPr>
            </w:pPr>
            <w:r>
              <w:rPr>
                <w:noProof/>
                <w:sz w:val="18"/>
                <w:szCs w:val="18"/>
              </w:rPr>
              <w:t>Benefits for public authorities</w:t>
            </w:r>
          </w:p>
        </w:tc>
        <w:tc>
          <w:tcPr>
            <w:tcW w:w="23" w:type="dxa"/>
            <w:tcBorders>
              <w:top w:val="nil"/>
              <w:bottom w:val="nil"/>
            </w:tcBorders>
            <w:shd w:val="clear" w:color="auto" w:fill="FFFFFF" w:themeFill="background1"/>
          </w:tcPr>
          <w:p w14:paraId="39C23AE0" w14:textId="77777777" w:rsidR="00414476" w:rsidRPr="00E42C1E" w:rsidRDefault="00414476" w:rsidP="009B2FE6">
            <w:pPr>
              <w:pStyle w:val="TableText"/>
              <w:spacing w:line="276" w:lineRule="auto"/>
              <w:rPr>
                <w:rFonts w:ascii="Wingdings" w:eastAsia="Wingdings" w:hAnsi="Wingdings" w:cs="Wingdings"/>
                <w:noProof/>
                <w:color w:val="1F497D" w:themeColor="text2"/>
                <w:sz w:val="18"/>
                <w:szCs w:val="20"/>
                <w:lang w:val="en-US"/>
              </w:rPr>
            </w:pPr>
          </w:p>
        </w:tc>
        <w:tc>
          <w:tcPr>
            <w:tcW w:w="827" w:type="dxa"/>
            <w:gridSpan w:val="2"/>
            <w:vAlign w:val="center"/>
          </w:tcPr>
          <w:p w14:paraId="6B5968FB" w14:textId="77777777" w:rsidR="00414476" w:rsidRPr="00CD1846" w:rsidRDefault="00414476" w:rsidP="009B2FE6">
            <w:pPr>
              <w:pStyle w:val="TableText"/>
              <w:spacing w:line="276" w:lineRule="auto"/>
              <w:jc w:val="center"/>
              <w:rPr>
                <w:noProof/>
                <w:color w:val="auto"/>
                <w:sz w:val="18"/>
                <w:szCs w:val="20"/>
                <w:lang w:val="en-US"/>
              </w:rPr>
            </w:pPr>
          </w:p>
        </w:tc>
        <w:tc>
          <w:tcPr>
            <w:tcW w:w="828" w:type="dxa"/>
          </w:tcPr>
          <w:p w14:paraId="601D5B92" w14:textId="77777777" w:rsidR="00414476" w:rsidRPr="00CD1846" w:rsidDel="009B2FE6" w:rsidRDefault="00414476" w:rsidP="009B2FE6">
            <w:pPr>
              <w:pStyle w:val="TableText"/>
              <w:spacing w:line="276" w:lineRule="auto"/>
              <w:jc w:val="center"/>
              <w:rPr>
                <w:rFonts w:ascii="Wingdings" w:eastAsia="Wingdings" w:hAnsi="Wingdings" w:cs="Wingdings"/>
                <w:noProof/>
                <w:color w:val="auto"/>
                <w:sz w:val="18"/>
                <w:szCs w:val="20"/>
                <w:lang w:val="en-US"/>
              </w:rPr>
            </w:pPr>
          </w:p>
        </w:tc>
        <w:tc>
          <w:tcPr>
            <w:tcW w:w="1038" w:type="dxa"/>
          </w:tcPr>
          <w:p w14:paraId="614EC994" w14:textId="77777777" w:rsidR="00414476" w:rsidRPr="00CD1846" w:rsidDel="009B2FE6" w:rsidRDefault="00414476" w:rsidP="009B2FE6">
            <w:pPr>
              <w:pStyle w:val="TableText"/>
              <w:spacing w:line="276" w:lineRule="auto"/>
              <w:jc w:val="center"/>
              <w:rPr>
                <w:rFonts w:ascii="Wingdings" w:eastAsia="Wingdings" w:hAnsi="Wingdings" w:cs="Wingdings"/>
                <w:noProof/>
                <w:color w:val="auto"/>
                <w:sz w:val="18"/>
                <w:szCs w:val="20"/>
                <w:lang w:val="en-US"/>
              </w:rPr>
            </w:pPr>
          </w:p>
        </w:tc>
        <w:tc>
          <w:tcPr>
            <w:tcW w:w="974" w:type="dxa"/>
          </w:tcPr>
          <w:p w14:paraId="26980EEE" w14:textId="352267D4" w:rsidR="00414476" w:rsidRPr="00CD1846" w:rsidRDefault="003967FF" w:rsidP="009B2FE6">
            <w:pPr>
              <w:pStyle w:val="TableText"/>
              <w:spacing w:line="276" w:lineRule="auto"/>
              <w:jc w:val="center"/>
              <w:rPr>
                <w:noProof/>
                <w:color w:val="auto"/>
                <w:sz w:val="18"/>
                <w:szCs w:val="20"/>
                <w:lang w:val="en-US"/>
              </w:rPr>
            </w:pPr>
            <w:r w:rsidRPr="00CD1846">
              <w:rPr>
                <w:rFonts w:ascii="Wingdings" w:eastAsia="Wingdings" w:hAnsi="Wingdings" w:cs="Wingdings"/>
                <w:noProof/>
                <w:color w:val="auto"/>
                <w:sz w:val="18"/>
                <w:szCs w:val="20"/>
                <w:lang w:val="en-US"/>
              </w:rPr>
              <w:t></w:t>
            </w:r>
          </w:p>
        </w:tc>
        <w:tc>
          <w:tcPr>
            <w:tcW w:w="20" w:type="dxa"/>
            <w:tcBorders>
              <w:top w:val="nil"/>
              <w:bottom w:val="nil"/>
            </w:tcBorders>
            <w:shd w:val="clear" w:color="auto" w:fill="FFFFFF" w:themeFill="background1"/>
            <w:vAlign w:val="center"/>
          </w:tcPr>
          <w:p w14:paraId="328183F9" w14:textId="77777777" w:rsidR="00414476" w:rsidRPr="003F0E54" w:rsidRDefault="00414476" w:rsidP="009B2FE6">
            <w:pPr>
              <w:pStyle w:val="TableText"/>
              <w:spacing w:line="276" w:lineRule="auto"/>
              <w:jc w:val="center"/>
              <w:rPr>
                <w:rFonts w:ascii="Wingdings" w:eastAsia="Wingdings" w:hAnsi="Wingdings" w:cs="Wingdings"/>
                <w:noProof/>
                <w:color w:val="1F497D" w:themeColor="text2"/>
                <w:sz w:val="18"/>
                <w:szCs w:val="20"/>
                <w:lang w:val="en-US"/>
              </w:rPr>
            </w:pPr>
          </w:p>
        </w:tc>
        <w:tc>
          <w:tcPr>
            <w:tcW w:w="745" w:type="dxa"/>
            <w:vAlign w:val="center"/>
          </w:tcPr>
          <w:p w14:paraId="2DB0B42F" w14:textId="45D51F33" w:rsidR="00414476" w:rsidRPr="002A5BF9" w:rsidDel="009B2FE6" w:rsidRDefault="00E96786" w:rsidP="009B2FE6">
            <w:pPr>
              <w:pStyle w:val="TableText"/>
              <w:spacing w:line="276" w:lineRule="auto"/>
              <w:jc w:val="center"/>
              <w:rPr>
                <w:rFonts w:ascii="Wingdings" w:eastAsia="Wingdings" w:hAnsi="Wingdings" w:cs="Wingdings"/>
                <w:noProof/>
                <w:color w:val="1F497D" w:themeColor="text2"/>
                <w:sz w:val="18"/>
                <w:szCs w:val="20"/>
                <w:lang w:val="en-US"/>
              </w:rPr>
            </w:pPr>
            <w:r w:rsidRPr="00CD1846">
              <w:rPr>
                <w:rFonts w:ascii="Wingdings" w:eastAsia="Wingdings" w:hAnsi="Wingdings" w:cs="Wingdings"/>
                <w:noProof/>
                <w:color w:val="auto"/>
                <w:sz w:val="18"/>
                <w:szCs w:val="20"/>
                <w:lang w:val="en-US"/>
              </w:rPr>
              <w:t></w:t>
            </w:r>
          </w:p>
        </w:tc>
        <w:tc>
          <w:tcPr>
            <w:tcW w:w="956" w:type="dxa"/>
            <w:vAlign w:val="center"/>
          </w:tcPr>
          <w:p w14:paraId="6EFD48E9" w14:textId="77777777" w:rsidR="00414476" w:rsidRPr="002A5BF9" w:rsidRDefault="00414476" w:rsidP="009B2FE6">
            <w:pPr>
              <w:pStyle w:val="TableText"/>
              <w:spacing w:line="276" w:lineRule="auto"/>
              <w:jc w:val="center"/>
              <w:rPr>
                <w:noProof/>
                <w:sz w:val="16"/>
                <w:szCs w:val="18"/>
                <w:lang w:val="en-US"/>
              </w:rPr>
            </w:pPr>
          </w:p>
        </w:tc>
      </w:tr>
      <w:tr w:rsidR="00B707AD" w:rsidRPr="00AF10FA" w14:paraId="76349BEF" w14:textId="77777777" w:rsidTr="25CA0D31">
        <w:trPr>
          <w:trHeight w:val="329"/>
        </w:trPr>
        <w:tc>
          <w:tcPr>
            <w:tcW w:w="4514" w:type="dxa"/>
            <w:noWrap/>
            <w:vAlign w:val="center"/>
            <w:hideMark/>
          </w:tcPr>
          <w:p w14:paraId="78B602C2" w14:textId="04C2B89E" w:rsidR="00B707AD" w:rsidRPr="003D451B" w:rsidRDefault="00B707AD" w:rsidP="00145AB7">
            <w:pPr>
              <w:pStyle w:val="Bullet1"/>
              <w:numPr>
                <w:ilvl w:val="0"/>
                <w:numId w:val="0"/>
              </w:numPr>
              <w:spacing w:line="276" w:lineRule="auto"/>
              <w:rPr>
                <w:noProof/>
                <w:sz w:val="18"/>
                <w:szCs w:val="18"/>
              </w:rPr>
            </w:pPr>
            <w:r>
              <w:rPr>
                <w:noProof/>
                <w:sz w:val="18"/>
                <w:szCs w:val="18"/>
              </w:rPr>
              <w:t xml:space="preserve">Costs </w:t>
            </w:r>
            <w:r w:rsidR="00037C02">
              <w:rPr>
                <w:noProof/>
                <w:sz w:val="18"/>
                <w:szCs w:val="18"/>
              </w:rPr>
              <w:t>for</w:t>
            </w:r>
            <w:r>
              <w:rPr>
                <w:noProof/>
                <w:sz w:val="18"/>
                <w:szCs w:val="18"/>
              </w:rPr>
              <w:t xml:space="preserve"> public authorities </w:t>
            </w:r>
          </w:p>
        </w:tc>
        <w:tc>
          <w:tcPr>
            <w:tcW w:w="23" w:type="dxa"/>
            <w:tcBorders>
              <w:top w:val="nil"/>
              <w:bottom w:val="nil"/>
            </w:tcBorders>
            <w:shd w:val="clear" w:color="auto" w:fill="FFFFFF" w:themeFill="background1"/>
          </w:tcPr>
          <w:p w14:paraId="7994C303" w14:textId="77777777" w:rsidR="00B707AD" w:rsidRPr="00E42C1E" w:rsidRDefault="00B707AD" w:rsidP="00145AB7">
            <w:pPr>
              <w:pStyle w:val="TableText"/>
              <w:spacing w:line="276" w:lineRule="auto"/>
              <w:rPr>
                <w:rFonts w:ascii="Wingdings" w:eastAsia="Wingdings" w:hAnsi="Wingdings" w:cs="Wingdings"/>
                <w:noProof/>
                <w:color w:val="1F497D" w:themeColor="text2"/>
                <w:sz w:val="18"/>
                <w:szCs w:val="20"/>
                <w:lang w:val="en-US"/>
              </w:rPr>
            </w:pPr>
          </w:p>
        </w:tc>
        <w:tc>
          <w:tcPr>
            <w:tcW w:w="827" w:type="dxa"/>
            <w:gridSpan w:val="2"/>
            <w:vAlign w:val="center"/>
          </w:tcPr>
          <w:p w14:paraId="5B0A31B7" w14:textId="77777777" w:rsidR="00B707AD" w:rsidRPr="00CD1846" w:rsidRDefault="00B707AD" w:rsidP="00145AB7">
            <w:pPr>
              <w:pStyle w:val="TableText"/>
              <w:spacing w:line="276" w:lineRule="auto"/>
              <w:jc w:val="center"/>
              <w:rPr>
                <w:noProof/>
                <w:color w:val="auto"/>
                <w:sz w:val="18"/>
                <w:szCs w:val="20"/>
                <w:lang w:val="en-US"/>
              </w:rPr>
            </w:pPr>
          </w:p>
        </w:tc>
        <w:tc>
          <w:tcPr>
            <w:tcW w:w="828" w:type="dxa"/>
            <w:vAlign w:val="center"/>
          </w:tcPr>
          <w:p w14:paraId="31221B6A" w14:textId="77777777" w:rsidR="00B707AD" w:rsidRPr="00CD1846" w:rsidRDefault="00B707AD" w:rsidP="00145AB7">
            <w:pPr>
              <w:pStyle w:val="TableText"/>
              <w:spacing w:line="276" w:lineRule="auto"/>
              <w:jc w:val="center"/>
              <w:rPr>
                <w:noProof/>
                <w:color w:val="auto"/>
                <w:sz w:val="18"/>
                <w:szCs w:val="20"/>
                <w:lang w:val="en-US"/>
              </w:rPr>
            </w:pPr>
          </w:p>
        </w:tc>
        <w:tc>
          <w:tcPr>
            <w:tcW w:w="1038" w:type="dxa"/>
            <w:vAlign w:val="center"/>
          </w:tcPr>
          <w:p w14:paraId="0482747F" w14:textId="77777777" w:rsidR="00B707AD" w:rsidRPr="00CD1846" w:rsidRDefault="00B707AD" w:rsidP="00145AB7">
            <w:pPr>
              <w:pStyle w:val="TableText"/>
              <w:spacing w:line="276" w:lineRule="auto"/>
              <w:jc w:val="center"/>
              <w:rPr>
                <w:noProof/>
                <w:color w:val="auto"/>
                <w:sz w:val="18"/>
                <w:szCs w:val="20"/>
                <w:lang w:val="en-US"/>
              </w:rPr>
            </w:pPr>
          </w:p>
        </w:tc>
        <w:tc>
          <w:tcPr>
            <w:tcW w:w="974" w:type="dxa"/>
            <w:vAlign w:val="center"/>
          </w:tcPr>
          <w:p w14:paraId="1BBBEE73" w14:textId="77777777" w:rsidR="00B707AD" w:rsidRPr="00CD1846" w:rsidRDefault="00B707AD" w:rsidP="00145AB7">
            <w:pPr>
              <w:pStyle w:val="TableText"/>
              <w:spacing w:line="276" w:lineRule="auto"/>
              <w:jc w:val="center"/>
              <w:rPr>
                <w:noProof/>
                <w:color w:val="auto"/>
                <w:sz w:val="18"/>
                <w:szCs w:val="20"/>
                <w:lang w:val="en-US"/>
              </w:rPr>
            </w:pPr>
            <w:r w:rsidRPr="00CD1846">
              <w:rPr>
                <w:rFonts w:ascii="Wingdings" w:eastAsia="Wingdings" w:hAnsi="Wingdings" w:cs="Wingdings"/>
                <w:noProof/>
                <w:color w:val="auto"/>
                <w:sz w:val="18"/>
                <w:szCs w:val="20"/>
                <w:lang w:val="en-US"/>
              </w:rPr>
              <w:t></w:t>
            </w:r>
          </w:p>
        </w:tc>
        <w:tc>
          <w:tcPr>
            <w:tcW w:w="20" w:type="dxa"/>
            <w:tcBorders>
              <w:top w:val="nil"/>
              <w:bottom w:val="nil"/>
            </w:tcBorders>
            <w:shd w:val="clear" w:color="auto" w:fill="FFFFFF" w:themeFill="background1"/>
            <w:vAlign w:val="center"/>
          </w:tcPr>
          <w:p w14:paraId="13B7821A" w14:textId="77777777" w:rsidR="00B707AD" w:rsidRPr="003F0E54" w:rsidRDefault="00B707AD" w:rsidP="00145AB7">
            <w:pPr>
              <w:pStyle w:val="TableText"/>
              <w:spacing w:line="276" w:lineRule="auto"/>
              <w:jc w:val="center"/>
              <w:rPr>
                <w:rFonts w:ascii="Wingdings" w:eastAsia="Wingdings" w:hAnsi="Wingdings" w:cs="Wingdings"/>
                <w:noProof/>
                <w:color w:val="1F497D" w:themeColor="text2"/>
                <w:sz w:val="18"/>
                <w:szCs w:val="20"/>
                <w:lang w:val="en-US"/>
              </w:rPr>
            </w:pPr>
          </w:p>
        </w:tc>
        <w:tc>
          <w:tcPr>
            <w:tcW w:w="745" w:type="dxa"/>
            <w:vAlign w:val="center"/>
          </w:tcPr>
          <w:p w14:paraId="0206EE80" w14:textId="77777777" w:rsidR="00B707AD" w:rsidRPr="002A5BF9" w:rsidRDefault="00B707AD" w:rsidP="00145AB7">
            <w:pPr>
              <w:pStyle w:val="TableText"/>
              <w:spacing w:line="276" w:lineRule="auto"/>
              <w:jc w:val="center"/>
              <w:rPr>
                <w:noProof/>
                <w:sz w:val="18"/>
                <w:szCs w:val="20"/>
                <w:lang w:val="en-US"/>
              </w:rPr>
            </w:pPr>
            <w:r w:rsidRPr="002A5BF9">
              <w:rPr>
                <w:rFonts w:ascii="Wingdings" w:eastAsia="Wingdings" w:hAnsi="Wingdings" w:cs="Wingdings"/>
                <w:noProof/>
                <w:color w:val="1F497D" w:themeColor="text2"/>
                <w:sz w:val="18"/>
                <w:szCs w:val="20"/>
                <w:lang w:val="en-US"/>
              </w:rPr>
              <w:t></w:t>
            </w:r>
          </w:p>
        </w:tc>
        <w:tc>
          <w:tcPr>
            <w:tcW w:w="956" w:type="dxa"/>
            <w:vAlign w:val="center"/>
          </w:tcPr>
          <w:p w14:paraId="5EF849D0" w14:textId="6199E754" w:rsidR="00B707AD" w:rsidRPr="002A5BF9" w:rsidRDefault="005A5304" w:rsidP="00145AB7">
            <w:pPr>
              <w:pStyle w:val="TableText"/>
              <w:spacing w:line="276" w:lineRule="auto"/>
              <w:jc w:val="center"/>
              <w:rPr>
                <w:rFonts w:ascii="Wingdings" w:eastAsia="Wingdings" w:hAnsi="Wingdings" w:cs="Wingdings"/>
                <w:noProof/>
                <w:color w:val="1F497D" w:themeColor="text2"/>
                <w:sz w:val="16"/>
                <w:szCs w:val="18"/>
                <w:lang w:val="en-US"/>
              </w:rPr>
            </w:pPr>
            <w:r w:rsidRPr="002A5BF9">
              <w:rPr>
                <w:rFonts w:ascii="Arial" w:eastAsia="Wingdings" w:hAnsi="Arial" w:cs="Arial"/>
                <w:noProof/>
                <w:color w:val="1F497D" w:themeColor="text2"/>
                <w:sz w:val="16"/>
                <w:szCs w:val="18"/>
                <w:lang w:val="en-US"/>
              </w:rPr>
              <w:t>partial</w:t>
            </w:r>
          </w:p>
        </w:tc>
      </w:tr>
      <w:tr w:rsidR="00B707AD" w:rsidRPr="00AF10FA" w14:paraId="739D2B36" w14:textId="77777777" w:rsidTr="25CA0D31">
        <w:trPr>
          <w:trHeight w:val="329"/>
        </w:trPr>
        <w:tc>
          <w:tcPr>
            <w:tcW w:w="4514" w:type="dxa"/>
            <w:noWrap/>
            <w:vAlign w:val="center"/>
          </w:tcPr>
          <w:p w14:paraId="5B4F1BD4" w14:textId="73DF0067" w:rsidR="00B707AD" w:rsidRPr="003D451B" w:rsidRDefault="00B707AD" w:rsidP="00145AB7">
            <w:pPr>
              <w:pStyle w:val="Bullet1"/>
              <w:numPr>
                <w:ilvl w:val="0"/>
                <w:numId w:val="0"/>
              </w:numPr>
              <w:spacing w:line="276" w:lineRule="auto"/>
              <w:rPr>
                <w:noProof/>
                <w:sz w:val="18"/>
                <w:szCs w:val="18"/>
              </w:rPr>
            </w:pPr>
            <w:r>
              <w:rPr>
                <w:noProof/>
                <w:sz w:val="18"/>
                <w:szCs w:val="18"/>
              </w:rPr>
              <w:t>Functioning of the internal market and competitiveness</w:t>
            </w:r>
            <w:r w:rsidR="00037C02">
              <w:rPr>
                <w:noProof/>
                <w:sz w:val="18"/>
                <w:szCs w:val="18"/>
              </w:rPr>
              <w:t xml:space="preserve"> (benefit)</w:t>
            </w:r>
          </w:p>
        </w:tc>
        <w:tc>
          <w:tcPr>
            <w:tcW w:w="23" w:type="dxa"/>
            <w:tcBorders>
              <w:top w:val="nil"/>
              <w:bottom w:val="nil"/>
            </w:tcBorders>
            <w:shd w:val="clear" w:color="auto" w:fill="FFFFFF" w:themeFill="background1"/>
          </w:tcPr>
          <w:p w14:paraId="04EB8589" w14:textId="77777777" w:rsidR="00B707AD" w:rsidRPr="00E42C1E" w:rsidRDefault="00B707AD" w:rsidP="00145AB7">
            <w:pPr>
              <w:pStyle w:val="TableText"/>
              <w:spacing w:line="276" w:lineRule="auto"/>
              <w:rPr>
                <w:rFonts w:ascii="Wingdings" w:eastAsia="Wingdings" w:hAnsi="Wingdings" w:cs="Wingdings"/>
                <w:noProof/>
                <w:color w:val="1F497D" w:themeColor="text2"/>
                <w:sz w:val="18"/>
                <w:szCs w:val="20"/>
                <w:lang w:val="en-US"/>
              </w:rPr>
            </w:pPr>
          </w:p>
        </w:tc>
        <w:tc>
          <w:tcPr>
            <w:tcW w:w="827" w:type="dxa"/>
            <w:gridSpan w:val="2"/>
            <w:vAlign w:val="center"/>
          </w:tcPr>
          <w:p w14:paraId="5A6E935D" w14:textId="77777777" w:rsidR="00B707AD" w:rsidRPr="00CD1846" w:rsidRDefault="00B707AD" w:rsidP="00145AB7">
            <w:pPr>
              <w:pStyle w:val="TableText"/>
              <w:spacing w:line="276" w:lineRule="auto"/>
              <w:jc w:val="center"/>
              <w:rPr>
                <w:rFonts w:ascii="Wingdings" w:eastAsia="Wingdings" w:hAnsi="Wingdings" w:cs="Wingdings"/>
                <w:noProof/>
                <w:color w:val="auto"/>
                <w:sz w:val="18"/>
                <w:szCs w:val="20"/>
                <w:lang w:val="en-US"/>
              </w:rPr>
            </w:pPr>
            <w:r w:rsidRPr="00CD1846">
              <w:rPr>
                <w:rFonts w:ascii="Wingdings" w:eastAsia="Wingdings" w:hAnsi="Wingdings" w:cs="Wingdings"/>
                <w:noProof/>
                <w:color w:val="auto"/>
                <w:sz w:val="18"/>
                <w:szCs w:val="20"/>
                <w:lang w:val="en-US"/>
              </w:rPr>
              <w:t></w:t>
            </w:r>
          </w:p>
        </w:tc>
        <w:tc>
          <w:tcPr>
            <w:tcW w:w="828" w:type="dxa"/>
            <w:vAlign w:val="center"/>
          </w:tcPr>
          <w:p w14:paraId="5F183245" w14:textId="77777777" w:rsidR="00B707AD" w:rsidRPr="00CD1846" w:rsidRDefault="00B707AD" w:rsidP="00145AB7">
            <w:pPr>
              <w:pStyle w:val="TableText"/>
              <w:spacing w:line="276" w:lineRule="auto"/>
              <w:jc w:val="center"/>
              <w:rPr>
                <w:rFonts w:ascii="Wingdings" w:eastAsia="Wingdings" w:hAnsi="Wingdings" w:cs="Wingdings"/>
                <w:noProof/>
                <w:color w:val="auto"/>
                <w:sz w:val="18"/>
                <w:szCs w:val="20"/>
                <w:lang w:val="en-US"/>
              </w:rPr>
            </w:pPr>
            <w:r w:rsidRPr="00CD1846">
              <w:rPr>
                <w:rFonts w:ascii="Wingdings" w:eastAsia="Wingdings" w:hAnsi="Wingdings" w:cs="Wingdings"/>
                <w:noProof/>
                <w:color w:val="auto"/>
                <w:sz w:val="18"/>
                <w:szCs w:val="20"/>
                <w:lang w:val="en-US"/>
              </w:rPr>
              <w:t></w:t>
            </w:r>
          </w:p>
        </w:tc>
        <w:tc>
          <w:tcPr>
            <w:tcW w:w="1038" w:type="dxa"/>
            <w:vAlign w:val="center"/>
          </w:tcPr>
          <w:p w14:paraId="3E4D78F4" w14:textId="77777777" w:rsidR="00B707AD" w:rsidRPr="00CD1846" w:rsidRDefault="00B707AD" w:rsidP="00145AB7">
            <w:pPr>
              <w:pStyle w:val="TableText"/>
              <w:spacing w:line="276" w:lineRule="auto"/>
              <w:jc w:val="center"/>
              <w:rPr>
                <w:rFonts w:ascii="Wingdings" w:eastAsia="Wingdings" w:hAnsi="Wingdings" w:cs="Wingdings"/>
                <w:noProof/>
                <w:color w:val="auto"/>
                <w:sz w:val="18"/>
                <w:szCs w:val="20"/>
                <w:lang w:val="en-US"/>
              </w:rPr>
            </w:pPr>
            <w:r w:rsidRPr="00CD1846">
              <w:rPr>
                <w:rFonts w:ascii="Wingdings" w:eastAsia="Wingdings" w:hAnsi="Wingdings" w:cs="Wingdings"/>
                <w:noProof/>
                <w:color w:val="auto"/>
                <w:sz w:val="18"/>
                <w:szCs w:val="20"/>
                <w:lang w:val="en-US"/>
              </w:rPr>
              <w:t></w:t>
            </w:r>
          </w:p>
        </w:tc>
        <w:tc>
          <w:tcPr>
            <w:tcW w:w="974" w:type="dxa"/>
            <w:vAlign w:val="center"/>
          </w:tcPr>
          <w:p w14:paraId="3D25F418" w14:textId="586E7F58" w:rsidR="00B707AD" w:rsidRPr="00CD1846" w:rsidDel="00A36807" w:rsidRDefault="00EC2402" w:rsidP="00145AB7">
            <w:pPr>
              <w:pStyle w:val="TableText"/>
              <w:spacing w:line="276" w:lineRule="auto"/>
              <w:jc w:val="center"/>
              <w:rPr>
                <w:rFonts w:ascii="Wingdings" w:eastAsia="Wingdings" w:hAnsi="Wingdings" w:cs="Wingdings"/>
                <w:noProof/>
                <w:color w:val="auto"/>
                <w:sz w:val="18"/>
                <w:szCs w:val="20"/>
                <w:lang w:val="en-US"/>
              </w:rPr>
            </w:pPr>
            <w:r w:rsidRPr="00CD1846">
              <w:rPr>
                <w:rFonts w:ascii="Wingdings" w:eastAsia="Wingdings" w:hAnsi="Wingdings" w:cs="Wingdings"/>
                <w:noProof/>
                <w:color w:val="auto"/>
                <w:sz w:val="18"/>
                <w:szCs w:val="20"/>
                <w:lang w:val="en-US"/>
              </w:rPr>
              <w:t></w:t>
            </w:r>
          </w:p>
        </w:tc>
        <w:tc>
          <w:tcPr>
            <w:tcW w:w="20" w:type="dxa"/>
            <w:tcBorders>
              <w:top w:val="nil"/>
              <w:bottom w:val="nil"/>
            </w:tcBorders>
            <w:shd w:val="clear" w:color="auto" w:fill="FFFFFF" w:themeFill="background1"/>
            <w:vAlign w:val="center"/>
          </w:tcPr>
          <w:p w14:paraId="7412132F" w14:textId="77777777" w:rsidR="00B707AD" w:rsidRPr="003F0E54" w:rsidRDefault="00B707AD" w:rsidP="00145AB7">
            <w:pPr>
              <w:pStyle w:val="TableText"/>
              <w:spacing w:line="276" w:lineRule="auto"/>
              <w:jc w:val="center"/>
              <w:rPr>
                <w:rFonts w:ascii="Wingdings" w:eastAsia="Wingdings" w:hAnsi="Wingdings" w:cs="Wingdings"/>
                <w:noProof/>
                <w:color w:val="1F497D" w:themeColor="text2"/>
                <w:sz w:val="18"/>
                <w:szCs w:val="20"/>
                <w:lang w:val="en-US"/>
              </w:rPr>
            </w:pPr>
          </w:p>
        </w:tc>
        <w:tc>
          <w:tcPr>
            <w:tcW w:w="745" w:type="dxa"/>
            <w:vAlign w:val="center"/>
          </w:tcPr>
          <w:p w14:paraId="7476E370" w14:textId="77777777" w:rsidR="00B707AD" w:rsidRPr="002A5BF9" w:rsidRDefault="00B707AD" w:rsidP="00145AB7">
            <w:pPr>
              <w:pStyle w:val="TableText"/>
              <w:spacing w:line="276" w:lineRule="auto"/>
              <w:jc w:val="center"/>
              <w:rPr>
                <w:rFonts w:ascii="Wingdings" w:eastAsia="Wingdings" w:hAnsi="Wingdings" w:cs="Wingdings"/>
                <w:noProof/>
                <w:color w:val="1F497D" w:themeColor="text2"/>
                <w:sz w:val="18"/>
                <w:szCs w:val="20"/>
                <w:lang w:val="en-US"/>
              </w:rPr>
            </w:pPr>
            <w:r w:rsidRPr="002A5BF9">
              <w:rPr>
                <w:rFonts w:ascii="Wingdings" w:eastAsia="Wingdings" w:hAnsi="Wingdings" w:cs="Wingdings"/>
                <w:noProof/>
                <w:color w:val="1F497D" w:themeColor="text2"/>
                <w:sz w:val="18"/>
                <w:szCs w:val="20"/>
                <w:lang w:val="en-US"/>
              </w:rPr>
              <w:t></w:t>
            </w:r>
          </w:p>
        </w:tc>
        <w:tc>
          <w:tcPr>
            <w:tcW w:w="956" w:type="dxa"/>
            <w:vAlign w:val="center"/>
          </w:tcPr>
          <w:p w14:paraId="10003926" w14:textId="77777777" w:rsidR="00B707AD" w:rsidRPr="002A5BF9" w:rsidRDefault="00B707AD" w:rsidP="00145AB7">
            <w:pPr>
              <w:pStyle w:val="TableText"/>
              <w:spacing w:line="276" w:lineRule="auto"/>
              <w:jc w:val="center"/>
              <w:rPr>
                <w:rFonts w:ascii="Arial" w:eastAsia="Wingdings" w:hAnsi="Arial" w:cs="Arial"/>
                <w:noProof/>
                <w:color w:val="1F497D" w:themeColor="text2"/>
                <w:sz w:val="16"/>
                <w:szCs w:val="18"/>
                <w:lang w:val="en-US"/>
              </w:rPr>
            </w:pPr>
          </w:p>
        </w:tc>
      </w:tr>
    </w:tbl>
    <w:p w14:paraId="0E3705F7" w14:textId="77777777" w:rsidR="00024F78" w:rsidRPr="00024F78" w:rsidRDefault="00024F78" w:rsidP="00025EAA">
      <w:pPr>
        <w:rPr>
          <w:noProof/>
        </w:rPr>
      </w:pPr>
      <w:bookmarkStart w:id="7" w:name="_Toc126870447"/>
      <w:bookmarkStart w:id="8" w:name="_Toc126873030"/>
      <w:bookmarkStart w:id="9" w:name="_Toc126916116"/>
      <w:bookmarkStart w:id="10" w:name="_Toc126916931"/>
      <w:bookmarkStart w:id="11" w:name="_Toc126919377"/>
      <w:bookmarkStart w:id="12" w:name="_Toc126919832"/>
      <w:bookmarkStart w:id="13" w:name="_Toc126928425"/>
      <w:bookmarkStart w:id="14" w:name="_Toc126930802"/>
    </w:p>
    <w:p w14:paraId="562A7C5E" w14:textId="406177A8" w:rsidR="00FE5B14" w:rsidRPr="00CF5993" w:rsidRDefault="003C37F6" w:rsidP="00C4288E">
      <w:pPr>
        <w:keepNext/>
        <w:numPr>
          <w:ilvl w:val="0"/>
          <w:numId w:val="14"/>
        </w:numPr>
        <w:spacing w:before="240" w:after="240"/>
        <w:jc w:val="both"/>
        <w:outlineLvl w:val="0"/>
        <w:rPr>
          <w:rFonts w:eastAsia="Times New Roman" w:cs="Times New Roman"/>
          <w:smallCaps/>
          <w:noProof/>
          <w:sz w:val="24"/>
          <w:szCs w:val="20"/>
          <w:u w:val="single"/>
        </w:rPr>
      </w:pPr>
      <w:r>
        <w:rPr>
          <w:rFonts w:eastAsia="Times New Roman" w:cs="Times New Roman"/>
          <w:b/>
          <w:smallCaps/>
          <w:noProof/>
          <w:sz w:val="24"/>
          <w:szCs w:val="20"/>
        </w:rPr>
        <w:t>A</w:t>
      </w:r>
      <w:r w:rsidR="00FE5B14" w:rsidRPr="00CF5993">
        <w:rPr>
          <w:rFonts w:eastAsia="Times New Roman" w:cs="Times New Roman"/>
          <w:b/>
          <w:smallCaps/>
          <w:noProof/>
          <w:sz w:val="24"/>
          <w:szCs w:val="20"/>
        </w:rPr>
        <w:t>ssessing the</w:t>
      </w:r>
      <w:r w:rsidR="00FE5B14" w:rsidRPr="00CF5993">
        <w:rPr>
          <w:rFonts w:eastAsia="Times New Roman" w:cs="Times New Roman"/>
          <w:smallCaps/>
          <w:noProof/>
          <w:sz w:val="24"/>
          <w:szCs w:val="20"/>
        </w:rPr>
        <w:t xml:space="preserve"> </w:t>
      </w:r>
      <w:r w:rsidR="00FE5B14" w:rsidRPr="00CF5993">
        <w:rPr>
          <w:rFonts w:eastAsia="Times New Roman" w:cs="Times New Roman"/>
          <w:b/>
          <w:smallCaps/>
          <w:noProof/>
          <w:sz w:val="24"/>
          <w:szCs w:val="20"/>
        </w:rPr>
        <w:t>policy options</w:t>
      </w:r>
      <w:bookmarkEnd w:id="7"/>
      <w:bookmarkEnd w:id="8"/>
      <w:bookmarkEnd w:id="9"/>
      <w:bookmarkEnd w:id="10"/>
      <w:bookmarkEnd w:id="11"/>
      <w:bookmarkEnd w:id="12"/>
      <w:bookmarkEnd w:id="13"/>
      <w:bookmarkEnd w:id="14"/>
    </w:p>
    <w:p w14:paraId="36F1F8FE" w14:textId="3BEB1CD1" w:rsidR="00FE5B14" w:rsidRPr="00FE5B14" w:rsidDel="00690028" w:rsidRDefault="00FE5B14" w:rsidP="00FE5B14">
      <w:pPr>
        <w:spacing w:after="240"/>
        <w:jc w:val="both"/>
        <w:rPr>
          <w:rFonts w:eastAsia="Calibri" w:cs="Times New Roman"/>
          <w:noProof/>
          <w:szCs w:val="20"/>
        </w:rPr>
      </w:pPr>
      <w:r w:rsidRPr="00FE5B14">
        <w:rPr>
          <w:rFonts w:eastAsia="Calibri" w:cs="Times New Roman"/>
          <w:noProof/>
          <w:szCs w:val="20"/>
        </w:rPr>
        <w:t xml:space="preserve">This section includes an assessment of every policy option in comparison to Policy Option 0 (the baseline). Each policy option is evaluated on its </w:t>
      </w:r>
      <w:r w:rsidRPr="00FE5B14">
        <w:rPr>
          <w:rFonts w:eastAsia="Calibri" w:cs="Times New Roman"/>
          <w:b/>
          <w:noProof/>
          <w:szCs w:val="20"/>
        </w:rPr>
        <w:t>effectiveness (section 1), efficiency (section 2) and coherence (section 3)</w:t>
      </w:r>
      <w:r w:rsidRPr="00FE5B14">
        <w:rPr>
          <w:rFonts w:eastAsia="Calibri" w:cs="Times New Roman"/>
          <w:noProof/>
          <w:szCs w:val="20"/>
        </w:rPr>
        <w:t xml:space="preserve">. </w:t>
      </w:r>
    </w:p>
    <w:p w14:paraId="7BE9EFC0" w14:textId="0184E7E2" w:rsidR="00FE5B14" w:rsidRPr="00CF5993" w:rsidRDefault="00FE5B14" w:rsidP="00C4288E">
      <w:pPr>
        <w:keepNext/>
        <w:numPr>
          <w:ilvl w:val="1"/>
          <w:numId w:val="14"/>
        </w:numPr>
        <w:tabs>
          <w:tab w:val="num" w:pos="1200"/>
        </w:tabs>
        <w:spacing w:before="240" w:after="240"/>
        <w:ind w:left="1200" w:hanging="720"/>
        <w:jc w:val="both"/>
        <w:outlineLvl w:val="0"/>
        <w:rPr>
          <w:rFonts w:eastAsia="Times New Roman" w:cs="Times New Roman"/>
          <w:b/>
          <w:smallCaps/>
          <w:noProof/>
          <w:sz w:val="24"/>
          <w:szCs w:val="20"/>
        </w:rPr>
      </w:pPr>
      <w:bookmarkStart w:id="15" w:name="_Toc126870448"/>
      <w:bookmarkStart w:id="16" w:name="_Toc126873031"/>
      <w:bookmarkStart w:id="17" w:name="_Toc126916117"/>
      <w:bookmarkStart w:id="18" w:name="_Toc126916932"/>
      <w:bookmarkStart w:id="19" w:name="_Toc126919378"/>
      <w:bookmarkStart w:id="20" w:name="_Toc126919833"/>
      <w:bookmarkStart w:id="21" w:name="_Toc126928426"/>
      <w:bookmarkStart w:id="22" w:name="_Toc126930803"/>
      <w:r w:rsidRPr="00CF5993">
        <w:rPr>
          <w:rFonts w:eastAsia="Times New Roman" w:cs="Times New Roman"/>
          <w:b/>
          <w:smallCaps/>
          <w:noProof/>
          <w:sz w:val="24"/>
          <w:szCs w:val="20"/>
        </w:rPr>
        <w:t>Methodological approach</w:t>
      </w:r>
      <w:bookmarkEnd w:id="15"/>
      <w:bookmarkEnd w:id="16"/>
      <w:bookmarkEnd w:id="17"/>
      <w:bookmarkEnd w:id="18"/>
      <w:bookmarkEnd w:id="19"/>
      <w:bookmarkEnd w:id="20"/>
      <w:bookmarkEnd w:id="21"/>
      <w:bookmarkEnd w:id="22"/>
      <w:r w:rsidRPr="00CF5993">
        <w:rPr>
          <w:rFonts w:eastAsia="Times New Roman" w:cs="Times New Roman"/>
          <w:b/>
          <w:smallCaps/>
          <w:noProof/>
          <w:sz w:val="24"/>
          <w:szCs w:val="20"/>
        </w:rPr>
        <w:t xml:space="preserve"> </w:t>
      </w:r>
    </w:p>
    <w:p w14:paraId="589FA3E4" w14:textId="2DC8176E" w:rsidR="00FE5B14" w:rsidRPr="00FE5B14" w:rsidRDefault="00FE5B14" w:rsidP="00FE5B14">
      <w:pPr>
        <w:keepNext/>
        <w:tabs>
          <w:tab w:val="num" w:pos="1920"/>
        </w:tabs>
        <w:spacing w:after="240"/>
        <w:ind w:left="1920" w:hanging="720"/>
        <w:jc w:val="both"/>
        <w:outlineLvl w:val="2"/>
        <w:rPr>
          <w:rFonts w:eastAsia="Times New Roman" w:cs="Times New Roman"/>
          <w:i/>
          <w:noProof/>
          <w:szCs w:val="16"/>
        </w:rPr>
      </w:pPr>
      <w:bookmarkStart w:id="23" w:name="_Toc126870449"/>
      <w:bookmarkStart w:id="24" w:name="_Toc126873032"/>
      <w:bookmarkStart w:id="25" w:name="_Toc126916118"/>
      <w:bookmarkStart w:id="26" w:name="_Toc126916933"/>
      <w:bookmarkStart w:id="27" w:name="_Toc126919379"/>
      <w:bookmarkStart w:id="28" w:name="_Toc126919834"/>
      <w:bookmarkStart w:id="29" w:name="_Toc126928427"/>
      <w:bookmarkStart w:id="30" w:name="_Toc126930804"/>
      <w:r w:rsidRPr="00FE5B14">
        <w:rPr>
          <w:rFonts w:eastAsia="Times New Roman" w:cs="Times New Roman"/>
          <w:i/>
          <w:noProof/>
          <w:szCs w:val="16"/>
        </w:rPr>
        <w:t>2.1.1 General methodological approach</w:t>
      </w:r>
      <w:bookmarkEnd w:id="23"/>
      <w:bookmarkEnd w:id="24"/>
      <w:bookmarkEnd w:id="25"/>
      <w:bookmarkEnd w:id="26"/>
      <w:bookmarkEnd w:id="27"/>
      <w:bookmarkEnd w:id="28"/>
      <w:bookmarkEnd w:id="29"/>
      <w:bookmarkEnd w:id="30"/>
    </w:p>
    <w:p w14:paraId="7F5F4781" w14:textId="55F73E86" w:rsidR="00DC3378" w:rsidRPr="00FE5B14" w:rsidRDefault="00DC3378" w:rsidP="00DC3378">
      <w:pPr>
        <w:spacing w:after="240"/>
        <w:jc w:val="both"/>
        <w:rPr>
          <w:rFonts w:eastAsia="Calibri" w:cs="Times New Roman"/>
          <w:noProof/>
          <w:szCs w:val="20"/>
        </w:rPr>
      </w:pPr>
      <w:r w:rsidRPr="00FE5B14">
        <w:rPr>
          <w:rFonts w:eastAsia="Calibri" w:cs="Times New Roman"/>
          <w:noProof/>
          <w:szCs w:val="20"/>
        </w:rPr>
        <w:t>The assessment of the policy options is based on a mixed methods approach in which the effectiveness, efficiency and coherence of the policy options are graded on a scoring system that comprises qualitative, quantitative and monetary data. The data employed for this analysis stems from various sources (</w:t>
      </w:r>
      <w:r>
        <w:rPr>
          <w:rFonts w:eastAsia="Calibri" w:cs="Times New Roman"/>
          <w:noProof/>
          <w:szCs w:val="20"/>
        </w:rPr>
        <w:t xml:space="preserve">the open </w:t>
      </w:r>
      <w:r w:rsidRPr="00FE5B14">
        <w:rPr>
          <w:rFonts w:eastAsia="Calibri" w:cs="Times New Roman"/>
          <w:noProof/>
          <w:szCs w:val="20"/>
        </w:rPr>
        <w:t xml:space="preserve">public consultation, literature, previous impact assessments on related topics, workshops with </w:t>
      </w:r>
      <w:r>
        <w:rPr>
          <w:rFonts w:eastAsia="Calibri" w:cs="Times New Roman"/>
          <w:noProof/>
          <w:szCs w:val="20"/>
        </w:rPr>
        <w:t xml:space="preserve">companies </w:t>
      </w:r>
      <w:r w:rsidRPr="00FE5B14">
        <w:rPr>
          <w:rFonts w:eastAsia="Calibri" w:cs="Times New Roman"/>
          <w:noProof/>
          <w:szCs w:val="20"/>
        </w:rPr>
        <w:t xml:space="preserve">as well as the expert opinion of the team drafting the impact assessment). </w:t>
      </w:r>
    </w:p>
    <w:p w14:paraId="1E2E3EC5" w14:textId="72F809D9" w:rsidR="00233DB6" w:rsidRPr="0042274E" w:rsidRDefault="00DC3378" w:rsidP="3BC44430">
      <w:pPr>
        <w:spacing w:after="240"/>
        <w:jc w:val="both"/>
        <w:rPr>
          <w:rFonts w:eastAsia="Calibri"/>
          <w:noProof/>
          <w:szCs w:val="20"/>
        </w:rPr>
      </w:pPr>
      <w:r w:rsidRPr="00FE5B14">
        <w:rPr>
          <w:rFonts w:eastAsia="Calibri" w:cs="Times New Roman"/>
          <w:noProof/>
          <w:szCs w:val="20"/>
        </w:rPr>
        <w:t xml:space="preserve">It is clear from Table 3 that the various impacts of the policy options cover both tangible </w:t>
      </w:r>
      <w:r w:rsidRPr="0042274E">
        <w:rPr>
          <w:rFonts w:eastAsia="Calibri" w:cs="Times New Roman"/>
          <w:noProof/>
          <w:szCs w:val="20"/>
        </w:rPr>
        <w:t xml:space="preserve">(e.g. administrative burden, costs for authorities) and intangible impacts (e.g. competitiveness or functioning of the internal market); the latter require a different methodological approach for the assessment. The tangible costs are monetised either by employing the Standard Cost Model (Tool #58) or by cost comparison of the baseline. Furthermore, many impacts are also scored by the views from stakeholders (from the </w:t>
      </w:r>
      <w:r w:rsidR="00D15A94" w:rsidRPr="0042274E">
        <w:rPr>
          <w:rFonts w:eastAsia="Calibri" w:cs="Times New Roman"/>
          <w:noProof/>
          <w:szCs w:val="20"/>
        </w:rPr>
        <w:t xml:space="preserve">public consultation </w:t>
      </w:r>
      <w:r w:rsidRPr="0042274E">
        <w:rPr>
          <w:rFonts w:eastAsia="Calibri" w:cs="Times New Roman"/>
          <w:noProof/>
          <w:szCs w:val="20"/>
        </w:rPr>
        <w:t xml:space="preserve">or the workshops) or by expert opinion on their magnitude of impact (see scoring system below) to have a comparative qualitative analysis as well. It was decided that for the purpose of this impact assessment it would not be relevant to monetise the intangible impacts through stated preference experiments (due to limited rationale, difficulty of choosing a payment vehicle and increased difficulty for the stakeholders) or through revealed preference (due to a lack of a comparable market of public information), but that it was more appropriate to apply a qualitative approach based on a straightforward scoring system. </w:t>
      </w:r>
      <w:r w:rsidR="00233DB6" w:rsidRPr="0042274E">
        <w:rPr>
          <w:rFonts w:eastAsia="Calibri" w:cs="Times New Roman"/>
          <w:noProof/>
          <w:szCs w:val="20"/>
        </w:rPr>
        <w:t>S</w:t>
      </w:r>
      <w:r w:rsidRPr="0042274E">
        <w:rPr>
          <w:rFonts w:eastAsia="Calibri"/>
          <w:noProof/>
          <w:szCs w:val="20"/>
        </w:rPr>
        <w:t>ome of the costs relate to direct impacts, whose magnitude can be assessed relatively easy, whereas other costs are (more) indirect and less likely to occur</w:t>
      </w:r>
      <w:r w:rsidR="00494AFC">
        <w:rPr>
          <w:rFonts w:eastAsia="Calibri"/>
          <w:noProof/>
          <w:szCs w:val="20"/>
        </w:rPr>
        <w:t>.</w:t>
      </w:r>
    </w:p>
    <w:p w14:paraId="72D675C9" w14:textId="5019726E" w:rsidR="00DC3378" w:rsidRPr="0042274E" w:rsidRDefault="00DC3378" w:rsidP="00233DB6">
      <w:pPr>
        <w:pStyle w:val="NormalWeb"/>
        <w:jc w:val="both"/>
        <w:rPr>
          <w:rFonts w:ascii="Verdana" w:eastAsia="Calibri" w:hAnsi="Verdana"/>
          <w:noProof/>
          <w:sz w:val="20"/>
          <w:szCs w:val="20"/>
          <w:lang w:val="en-GB"/>
        </w:rPr>
      </w:pPr>
      <w:r w:rsidRPr="13FDF75B">
        <w:rPr>
          <w:rFonts w:ascii="Verdana" w:eastAsia="Calibri" w:hAnsi="Verdana"/>
          <w:noProof/>
          <w:sz w:val="20"/>
          <w:szCs w:val="20"/>
          <w:lang w:val="en-GB"/>
        </w:rPr>
        <w:t xml:space="preserve">As mentioned above, the assessment of the policy options draws on a mixed-methods approach combining quantitative evidence, qualitative analysis and expert judgement. In particular, the quantitative assessment relies on Member States data on the number of </w:t>
      </w:r>
      <w:r w:rsidR="00F14A77" w:rsidRPr="13FDF75B">
        <w:rPr>
          <w:rFonts w:ascii="Verdana" w:eastAsia="Calibri" w:hAnsi="Verdana"/>
          <w:noProof/>
          <w:sz w:val="20"/>
          <w:szCs w:val="20"/>
          <w:lang w:val="en-GB"/>
        </w:rPr>
        <w:t xml:space="preserve">private </w:t>
      </w:r>
      <w:r w:rsidRPr="13FDF75B">
        <w:rPr>
          <w:rFonts w:ascii="Verdana" w:eastAsia="Calibri" w:hAnsi="Verdana"/>
          <w:noProof/>
          <w:sz w:val="20"/>
          <w:szCs w:val="20"/>
          <w:lang w:val="en-GB"/>
        </w:rPr>
        <w:t xml:space="preserve">limited liability companies (LLCs) registered over the past </w:t>
      </w:r>
      <w:r w:rsidR="00C372AD" w:rsidRPr="13FDF75B">
        <w:rPr>
          <w:rFonts w:ascii="Verdana" w:eastAsia="Calibri" w:hAnsi="Verdana"/>
          <w:noProof/>
          <w:sz w:val="20"/>
          <w:szCs w:val="20"/>
          <w:lang w:val="en-GB"/>
        </w:rPr>
        <w:t xml:space="preserve">three </w:t>
      </w:r>
      <w:r w:rsidRPr="13FDF75B">
        <w:rPr>
          <w:rFonts w:ascii="Verdana" w:eastAsia="Calibri" w:hAnsi="Verdana"/>
          <w:noProof/>
          <w:sz w:val="20"/>
          <w:szCs w:val="20"/>
          <w:lang w:val="en-GB"/>
        </w:rPr>
        <w:t xml:space="preserve">years, as well as observed and projected growth rates over this period. </w:t>
      </w:r>
      <w:r w:rsidR="007E3576" w:rsidRPr="13FDF75B">
        <w:rPr>
          <w:rFonts w:ascii="Verdana" w:eastAsia="Calibri" w:hAnsi="Verdana"/>
          <w:noProof/>
          <w:sz w:val="20"/>
          <w:szCs w:val="20"/>
          <w:lang w:val="en-GB"/>
        </w:rPr>
        <w:t xml:space="preserve">In </w:t>
      </w:r>
      <w:r w:rsidR="00716769" w:rsidRPr="13FDF75B">
        <w:rPr>
          <w:rFonts w:ascii="Verdana" w:eastAsia="Calibri" w:hAnsi="Verdana"/>
          <w:noProof/>
          <w:sz w:val="20"/>
          <w:szCs w:val="20"/>
          <w:lang w:val="en-GB"/>
        </w:rPr>
        <w:t xml:space="preserve">those </w:t>
      </w:r>
      <w:r w:rsidR="007E3576" w:rsidRPr="13FDF75B">
        <w:rPr>
          <w:rFonts w:ascii="Verdana" w:eastAsia="Calibri" w:hAnsi="Verdana"/>
          <w:noProof/>
          <w:sz w:val="20"/>
          <w:szCs w:val="20"/>
          <w:lang w:val="en-GB"/>
        </w:rPr>
        <w:t>Member States where a simplified legal form for limited liability companies exis</w:t>
      </w:r>
      <w:r w:rsidR="00716769" w:rsidRPr="13FDF75B">
        <w:rPr>
          <w:rFonts w:ascii="Verdana" w:eastAsia="Calibri" w:hAnsi="Verdana"/>
          <w:noProof/>
          <w:sz w:val="20"/>
          <w:szCs w:val="20"/>
          <w:lang w:val="en-GB"/>
        </w:rPr>
        <w:t>ts</w:t>
      </w:r>
      <w:r w:rsidR="007E3576" w:rsidRPr="13FDF75B">
        <w:rPr>
          <w:rFonts w:ascii="Verdana" w:eastAsia="Calibri" w:hAnsi="Verdana"/>
          <w:noProof/>
          <w:sz w:val="20"/>
          <w:szCs w:val="20"/>
          <w:lang w:val="en-GB"/>
        </w:rPr>
        <w:t xml:space="preserve"> (e.g. France), </w:t>
      </w:r>
      <w:r w:rsidR="00716769" w:rsidRPr="13FDF75B">
        <w:rPr>
          <w:rFonts w:ascii="Verdana" w:eastAsia="Calibri" w:hAnsi="Verdana"/>
          <w:noProof/>
          <w:sz w:val="20"/>
          <w:szCs w:val="20"/>
          <w:lang w:val="en-GB"/>
        </w:rPr>
        <w:t>th</w:t>
      </w:r>
      <w:r w:rsidR="00FB52A2" w:rsidRPr="13FDF75B">
        <w:rPr>
          <w:rFonts w:ascii="Verdana" w:eastAsia="Calibri" w:hAnsi="Verdana"/>
          <w:noProof/>
          <w:sz w:val="20"/>
          <w:szCs w:val="20"/>
          <w:lang w:val="en-GB"/>
        </w:rPr>
        <w:t xml:space="preserve">ose numbers and their growth </w:t>
      </w:r>
      <w:r w:rsidR="002858A0" w:rsidRPr="13FDF75B">
        <w:rPr>
          <w:rFonts w:ascii="Verdana" w:eastAsia="Calibri" w:hAnsi="Verdana"/>
          <w:noProof/>
          <w:sz w:val="20"/>
          <w:szCs w:val="20"/>
          <w:lang w:val="en-GB"/>
        </w:rPr>
        <w:t>rate w</w:t>
      </w:r>
      <w:r w:rsidR="00A02E23" w:rsidRPr="13FDF75B">
        <w:rPr>
          <w:rFonts w:ascii="Verdana" w:eastAsia="Calibri" w:hAnsi="Verdana"/>
          <w:noProof/>
          <w:sz w:val="20"/>
          <w:szCs w:val="20"/>
          <w:lang w:val="en-GB"/>
        </w:rPr>
        <w:t>ere</w:t>
      </w:r>
      <w:r w:rsidR="002858A0" w:rsidRPr="13FDF75B">
        <w:rPr>
          <w:rFonts w:ascii="Verdana" w:eastAsia="Calibri" w:hAnsi="Verdana"/>
          <w:noProof/>
          <w:sz w:val="20"/>
          <w:szCs w:val="20"/>
          <w:lang w:val="en-GB"/>
        </w:rPr>
        <w:t xml:space="preserve"> also </w:t>
      </w:r>
      <w:r w:rsidR="00F14B93" w:rsidRPr="13FDF75B">
        <w:rPr>
          <w:rFonts w:ascii="Verdana" w:eastAsia="Calibri" w:hAnsi="Verdana"/>
          <w:noProof/>
          <w:sz w:val="20"/>
          <w:szCs w:val="20"/>
          <w:lang w:val="en-GB"/>
        </w:rPr>
        <w:t>considered.</w:t>
      </w:r>
      <w:r w:rsidR="007E3576" w:rsidRPr="13FDF75B">
        <w:rPr>
          <w:rFonts w:ascii="Verdana" w:eastAsia="Calibri" w:hAnsi="Verdana"/>
          <w:noProof/>
          <w:sz w:val="20"/>
          <w:szCs w:val="20"/>
          <w:lang w:val="en-GB"/>
        </w:rPr>
        <w:t xml:space="preserve"> </w:t>
      </w:r>
      <w:r w:rsidRPr="13FDF75B">
        <w:rPr>
          <w:rFonts w:ascii="Verdana" w:eastAsia="Calibri" w:hAnsi="Verdana"/>
          <w:noProof/>
          <w:sz w:val="20"/>
          <w:szCs w:val="20"/>
          <w:lang w:val="en-GB"/>
        </w:rPr>
        <w:t>These data were used to establish a dynamic baseline and to estimate the population of companies potentially affected under each policy option</w:t>
      </w:r>
      <w:r w:rsidR="00DF42DF" w:rsidRPr="13FDF75B">
        <w:rPr>
          <w:rFonts w:ascii="Verdana" w:eastAsia="Calibri" w:hAnsi="Verdana"/>
          <w:noProof/>
          <w:sz w:val="20"/>
          <w:szCs w:val="20"/>
          <w:lang w:val="en-GB"/>
        </w:rPr>
        <w:t xml:space="preserve"> (</w:t>
      </w:r>
      <w:r w:rsidR="00731E30" w:rsidRPr="00494AFC">
        <w:rPr>
          <w:rFonts w:ascii="Verdana" w:eastAsia="Calibri" w:hAnsi="Verdana"/>
          <w:noProof/>
          <w:sz w:val="20"/>
          <w:szCs w:val="20"/>
          <w:lang w:val="en-GB"/>
        </w:rPr>
        <w:t>A</w:t>
      </w:r>
      <w:r w:rsidR="00DF42DF" w:rsidRPr="00494AFC">
        <w:rPr>
          <w:rFonts w:ascii="Verdana" w:eastAsia="Calibri" w:hAnsi="Verdana"/>
          <w:noProof/>
          <w:sz w:val="20"/>
          <w:szCs w:val="20"/>
          <w:lang w:val="en-GB"/>
        </w:rPr>
        <w:t xml:space="preserve">nnex </w:t>
      </w:r>
      <w:r w:rsidR="00731E30" w:rsidRPr="00731E30">
        <w:rPr>
          <w:rFonts w:ascii="Verdana" w:eastAsia="Calibri" w:hAnsi="Verdana"/>
          <w:noProof/>
          <w:sz w:val="20"/>
          <w:szCs w:val="20"/>
          <w:lang w:val="en-GB"/>
        </w:rPr>
        <w:t>8</w:t>
      </w:r>
      <w:r w:rsidR="00DF42DF" w:rsidRPr="13FDF75B">
        <w:rPr>
          <w:rFonts w:ascii="Verdana" w:eastAsia="Calibri" w:hAnsi="Verdana"/>
          <w:noProof/>
          <w:sz w:val="20"/>
          <w:szCs w:val="20"/>
          <w:lang w:val="en-GB"/>
        </w:rPr>
        <w:t>)</w:t>
      </w:r>
      <w:r w:rsidRPr="13FDF75B">
        <w:rPr>
          <w:rFonts w:ascii="Verdana" w:eastAsia="Calibri" w:hAnsi="Verdana"/>
          <w:noProof/>
          <w:sz w:val="20"/>
          <w:szCs w:val="20"/>
          <w:lang w:val="en-GB"/>
        </w:rPr>
        <w:t>.</w:t>
      </w:r>
    </w:p>
    <w:p w14:paraId="28719609" w14:textId="77777777" w:rsidR="00DC3378" w:rsidRPr="0042274E" w:rsidRDefault="00DC3378" w:rsidP="00233DB6">
      <w:pPr>
        <w:pStyle w:val="NormalWeb"/>
        <w:jc w:val="both"/>
        <w:rPr>
          <w:rFonts w:ascii="Verdana" w:eastAsia="Calibri" w:hAnsi="Verdana"/>
          <w:noProof/>
          <w:sz w:val="20"/>
          <w:szCs w:val="20"/>
          <w:lang w:val="en-GB"/>
        </w:rPr>
      </w:pPr>
      <w:r w:rsidRPr="0042274E">
        <w:rPr>
          <w:rFonts w:ascii="Verdana" w:eastAsia="Calibri" w:hAnsi="Verdana"/>
          <w:noProof/>
          <w:sz w:val="20"/>
          <w:szCs w:val="20"/>
          <w:lang w:val="en-GB"/>
        </w:rPr>
        <w:t>In estimating costs and benefits, the analysis systematically applied conservative assumptions. Cost savings for companies and efficiency gains were calculated using lower-bound estimates, while potential benefits were capped where uncertainty existed, in order to avoid any overestimation. Similarly, where data were incomplete or heterogeneous, cautious extrapolations were made on the basis of available evidence, ensuring that assumptions remained prudent and transparent.</w:t>
      </w:r>
    </w:p>
    <w:p w14:paraId="28958E0B" w14:textId="77777777" w:rsidR="00DC3378" w:rsidRPr="0042274E" w:rsidRDefault="00DC3378" w:rsidP="00233DB6">
      <w:pPr>
        <w:pStyle w:val="NormalWeb"/>
        <w:jc w:val="both"/>
        <w:rPr>
          <w:rFonts w:ascii="Verdana" w:eastAsia="Calibri" w:hAnsi="Verdana"/>
          <w:noProof/>
          <w:sz w:val="20"/>
          <w:szCs w:val="20"/>
          <w:lang w:val="en-GB"/>
        </w:rPr>
      </w:pPr>
      <w:r w:rsidRPr="0042274E">
        <w:rPr>
          <w:rFonts w:ascii="Verdana" w:eastAsia="Calibri" w:hAnsi="Verdana"/>
          <w:noProof/>
          <w:sz w:val="20"/>
          <w:szCs w:val="20"/>
          <w:lang w:val="en-GB"/>
        </w:rPr>
        <w:t>This conservative approach was applied consistently across the assessment, with the aim of ensuring that the estimated impacts represent a lower-end estimate of the likely effects of the policy options. As a result, the quantified cost savings with the standard cost model should be interpreted as indicative and robust, rather than optimistic, while providing a credible basis for comparing the relative performance of the policy options against the baseline.</w:t>
      </w:r>
    </w:p>
    <w:p w14:paraId="74B17DF9" w14:textId="77777777" w:rsidR="00FE5B14" w:rsidRPr="00233DB6" w:rsidRDefault="00FE5B14" w:rsidP="00FE5B14">
      <w:pPr>
        <w:spacing w:after="240"/>
        <w:jc w:val="both"/>
        <w:rPr>
          <w:rFonts w:eastAsia="Calibri" w:cs="Times New Roman"/>
          <w:noProof/>
          <w:szCs w:val="20"/>
        </w:rPr>
      </w:pPr>
      <w:r w:rsidRPr="00233DB6">
        <w:rPr>
          <w:rFonts w:eastAsia="Calibri" w:cs="Times New Roman"/>
          <w:noProof/>
          <w:szCs w:val="20"/>
        </w:rPr>
        <w:t xml:space="preserve">The scoring system applied in this Impact Assessment is straightforward and easy to comprehend. </w:t>
      </w:r>
    </w:p>
    <w:p w14:paraId="583ABE9A" w14:textId="77777777" w:rsidR="00FE5B14" w:rsidRPr="00FE5B14" w:rsidRDefault="00FE5B14" w:rsidP="00FE5B14">
      <w:pPr>
        <w:keepNext/>
        <w:tabs>
          <w:tab w:val="num" w:pos="1920"/>
        </w:tabs>
        <w:spacing w:after="240"/>
        <w:ind w:left="1920" w:hanging="720"/>
        <w:jc w:val="both"/>
        <w:outlineLvl w:val="2"/>
        <w:rPr>
          <w:rFonts w:eastAsia="Times New Roman" w:cs="Times New Roman"/>
          <w:i/>
          <w:noProof/>
          <w:szCs w:val="16"/>
        </w:rPr>
      </w:pPr>
      <w:bookmarkStart w:id="31" w:name="_Toc126870450"/>
      <w:bookmarkStart w:id="32" w:name="_Toc126873033"/>
      <w:bookmarkStart w:id="33" w:name="_Toc126916119"/>
      <w:bookmarkStart w:id="34" w:name="_Toc126916934"/>
      <w:bookmarkStart w:id="35" w:name="_Toc126919380"/>
      <w:bookmarkStart w:id="36" w:name="_Toc126919835"/>
      <w:bookmarkStart w:id="37" w:name="_Toc126928428"/>
      <w:bookmarkStart w:id="38" w:name="_Toc126930805"/>
      <w:r w:rsidRPr="00FE5B14">
        <w:rPr>
          <w:rFonts w:eastAsia="Times New Roman" w:cs="Times New Roman"/>
          <w:i/>
          <w:noProof/>
          <w:szCs w:val="16"/>
        </w:rPr>
        <w:t>2.1.2. Scoring approach</w:t>
      </w:r>
      <w:bookmarkEnd w:id="31"/>
      <w:bookmarkEnd w:id="32"/>
      <w:bookmarkEnd w:id="33"/>
      <w:bookmarkEnd w:id="34"/>
      <w:bookmarkEnd w:id="35"/>
      <w:bookmarkEnd w:id="36"/>
      <w:bookmarkEnd w:id="37"/>
      <w:bookmarkEnd w:id="38"/>
    </w:p>
    <w:p w14:paraId="60AF119B" w14:textId="77777777"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As outlined above, the combination of quantitative, monetary and qualitative assessment was adopted in this study. Some of the more intangible impacts were scored by the available evidence gathered from stakeholders, literature, previous impact assessment and/or the expert assessment of the unit drafting the Impact Assessment. For reasons of clarity, all the available evidence is translated into a straightforward scoring system to have comparable scores between policy options as well as between various impacts. </w:t>
      </w:r>
    </w:p>
    <w:p w14:paraId="37434438" w14:textId="5538CBC7"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The scores range from 0 to 5 for all three pillars of the evaluation (effectiveness, efficiency and coherence). </w:t>
      </w:r>
    </w:p>
    <w:p w14:paraId="2A9CFB2D" w14:textId="77777777" w:rsidR="00FE5B14" w:rsidRPr="00FE5B14" w:rsidRDefault="00FE5B14" w:rsidP="00FE5B14">
      <w:pPr>
        <w:spacing w:after="240"/>
        <w:jc w:val="both"/>
        <w:rPr>
          <w:rFonts w:eastAsia="Calibri" w:cs="Times New Roman"/>
          <w:b/>
          <w:i/>
          <w:noProof/>
          <w:szCs w:val="20"/>
        </w:rPr>
      </w:pPr>
      <w:r w:rsidRPr="00FE5B14">
        <w:rPr>
          <w:rFonts w:eastAsia="Calibri" w:cs="Times New Roman"/>
          <w:b/>
          <w:i/>
          <w:noProof/>
          <w:szCs w:val="20"/>
        </w:rPr>
        <w:t>Effectiveness:</w:t>
      </w:r>
    </w:p>
    <w:p w14:paraId="635CB73A" w14:textId="77777777" w:rsidR="00FE5B14" w:rsidRPr="00FE5B14" w:rsidRDefault="00FE5B14" w:rsidP="00FE5B14">
      <w:pPr>
        <w:spacing w:after="240"/>
        <w:jc w:val="both"/>
        <w:rPr>
          <w:rFonts w:eastAsia="Calibri" w:cs="Times New Roman"/>
          <w:i/>
          <w:noProof/>
          <w:szCs w:val="20"/>
        </w:rPr>
      </w:pPr>
      <w:r w:rsidRPr="00FE5B14">
        <w:rPr>
          <w:rFonts w:eastAsia="Calibri" w:cs="Times New Roman"/>
          <w:i/>
          <w:noProof/>
          <w:szCs w:val="20"/>
        </w:rPr>
        <w:t>The scoring system assessed to what extent the objective (or a specific part of the objective) is realised by the policy option at hand.</w:t>
      </w:r>
    </w:p>
    <w:p w14:paraId="105F009E" w14:textId="55B78E73" w:rsidR="008F0115" w:rsidRPr="00B64877" w:rsidRDefault="008F0115" w:rsidP="008F0115">
      <w:pPr>
        <w:spacing w:after="240"/>
        <w:jc w:val="both"/>
        <w:rPr>
          <w:rFonts w:eastAsia="Calibri" w:cs="Times New Roman"/>
          <w:noProof/>
          <w:szCs w:val="20"/>
          <w:lang w:val="en-IE"/>
        </w:rPr>
      </w:pPr>
      <w:r w:rsidRPr="00B64877">
        <w:rPr>
          <w:rFonts w:eastAsia="Calibri" w:cs="Times New Roman"/>
          <w:b/>
          <w:bCs/>
          <w:noProof/>
          <w:szCs w:val="20"/>
          <w:lang w:val="en-IE"/>
        </w:rPr>
        <w:t>5</w:t>
      </w:r>
      <w:r w:rsidRPr="00B64877">
        <w:rPr>
          <w:rFonts w:eastAsia="Calibri" w:cs="Times New Roman"/>
          <w:noProof/>
          <w:szCs w:val="20"/>
          <w:lang w:val="en-IE"/>
        </w:rPr>
        <w:t xml:space="preserve"> – The option makes a </w:t>
      </w:r>
      <w:r w:rsidRPr="00B64877">
        <w:rPr>
          <w:rFonts w:eastAsia="Calibri" w:cs="Times New Roman"/>
          <w:b/>
          <w:bCs/>
          <w:noProof/>
          <w:szCs w:val="20"/>
          <w:lang w:val="en-IE"/>
        </w:rPr>
        <w:t>very strong contribution</w:t>
      </w:r>
      <w:r w:rsidRPr="00B64877">
        <w:rPr>
          <w:rFonts w:eastAsia="Calibri" w:cs="Times New Roman"/>
          <w:noProof/>
          <w:szCs w:val="20"/>
          <w:lang w:val="en-IE"/>
        </w:rPr>
        <w:t xml:space="preserve"> to achieving the objective</w:t>
      </w:r>
    </w:p>
    <w:p w14:paraId="27A7758E" w14:textId="77777777" w:rsidR="008F0115" w:rsidRPr="00B64877" w:rsidRDefault="008F0115" w:rsidP="008F0115">
      <w:pPr>
        <w:spacing w:after="240"/>
        <w:jc w:val="both"/>
        <w:rPr>
          <w:rFonts w:eastAsia="Calibri" w:cs="Times New Roman"/>
          <w:noProof/>
          <w:szCs w:val="20"/>
          <w:lang w:val="en-IE"/>
        </w:rPr>
      </w:pPr>
      <w:r w:rsidRPr="00B64877">
        <w:rPr>
          <w:rFonts w:eastAsia="Calibri" w:cs="Times New Roman"/>
          <w:b/>
          <w:bCs/>
          <w:noProof/>
          <w:szCs w:val="20"/>
          <w:lang w:val="en-IE"/>
        </w:rPr>
        <w:t>4</w:t>
      </w:r>
      <w:r w:rsidRPr="00B64877">
        <w:rPr>
          <w:rFonts w:eastAsia="Calibri" w:cs="Times New Roman"/>
          <w:noProof/>
          <w:szCs w:val="20"/>
          <w:lang w:val="en-IE"/>
        </w:rPr>
        <w:t xml:space="preserve"> – The option makes a </w:t>
      </w:r>
      <w:r w:rsidRPr="00B64877">
        <w:rPr>
          <w:rFonts w:eastAsia="Calibri" w:cs="Times New Roman"/>
          <w:b/>
          <w:bCs/>
          <w:noProof/>
          <w:szCs w:val="20"/>
          <w:lang w:val="en-IE"/>
        </w:rPr>
        <w:t>strong contribution</w:t>
      </w:r>
      <w:r w:rsidRPr="00B64877">
        <w:rPr>
          <w:rFonts w:eastAsia="Calibri" w:cs="Times New Roman"/>
          <w:noProof/>
          <w:szCs w:val="20"/>
          <w:lang w:val="en-IE"/>
        </w:rPr>
        <w:t xml:space="preserve"> to achieving the objective</w:t>
      </w:r>
    </w:p>
    <w:p w14:paraId="5E559F5A" w14:textId="77777777" w:rsidR="008F0115" w:rsidRPr="00B64877" w:rsidRDefault="008F0115" w:rsidP="008F0115">
      <w:pPr>
        <w:spacing w:after="240"/>
        <w:jc w:val="both"/>
        <w:rPr>
          <w:rFonts w:eastAsia="Calibri" w:cs="Times New Roman"/>
          <w:noProof/>
          <w:szCs w:val="20"/>
          <w:lang w:val="en-IE"/>
        </w:rPr>
      </w:pPr>
      <w:r w:rsidRPr="00B64877">
        <w:rPr>
          <w:rFonts w:eastAsia="Calibri" w:cs="Times New Roman"/>
          <w:b/>
          <w:bCs/>
          <w:noProof/>
          <w:szCs w:val="20"/>
          <w:lang w:val="en-IE"/>
        </w:rPr>
        <w:t>3</w:t>
      </w:r>
      <w:r w:rsidRPr="00B64877">
        <w:rPr>
          <w:rFonts w:eastAsia="Calibri" w:cs="Times New Roman"/>
          <w:noProof/>
          <w:szCs w:val="20"/>
          <w:lang w:val="en-IE"/>
        </w:rPr>
        <w:t xml:space="preserve"> – The option makes a </w:t>
      </w:r>
      <w:r w:rsidRPr="00B64877">
        <w:rPr>
          <w:rFonts w:eastAsia="Calibri" w:cs="Times New Roman"/>
          <w:b/>
          <w:bCs/>
          <w:noProof/>
          <w:szCs w:val="20"/>
          <w:lang w:val="en-IE"/>
        </w:rPr>
        <w:t>moderate contribution</w:t>
      </w:r>
      <w:r w:rsidRPr="00B64877">
        <w:rPr>
          <w:rFonts w:eastAsia="Calibri" w:cs="Times New Roman"/>
          <w:noProof/>
          <w:szCs w:val="20"/>
          <w:lang w:val="en-IE"/>
        </w:rPr>
        <w:t xml:space="preserve"> to achieving the objective</w:t>
      </w:r>
    </w:p>
    <w:p w14:paraId="15CF2693" w14:textId="77777777" w:rsidR="008F0115" w:rsidRPr="00B64877" w:rsidRDefault="008F0115" w:rsidP="008F0115">
      <w:pPr>
        <w:spacing w:after="240"/>
        <w:jc w:val="both"/>
        <w:rPr>
          <w:rFonts w:eastAsia="Calibri" w:cs="Times New Roman"/>
          <w:noProof/>
          <w:szCs w:val="20"/>
          <w:lang w:val="en-IE"/>
        </w:rPr>
      </w:pPr>
      <w:r w:rsidRPr="00B64877">
        <w:rPr>
          <w:rFonts w:eastAsia="Calibri" w:cs="Times New Roman"/>
          <w:b/>
          <w:bCs/>
          <w:noProof/>
          <w:szCs w:val="20"/>
          <w:lang w:val="en-IE"/>
        </w:rPr>
        <w:t>2</w:t>
      </w:r>
      <w:r w:rsidRPr="00B64877">
        <w:rPr>
          <w:rFonts w:eastAsia="Calibri" w:cs="Times New Roman"/>
          <w:noProof/>
          <w:szCs w:val="20"/>
          <w:lang w:val="en-IE"/>
        </w:rPr>
        <w:t xml:space="preserve"> – The option makes a </w:t>
      </w:r>
      <w:r w:rsidRPr="00B64877">
        <w:rPr>
          <w:rFonts w:eastAsia="Calibri" w:cs="Times New Roman"/>
          <w:b/>
          <w:bCs/>
          <w:noProof/>
          <w:szCs w:val="20"/>
          <w:lang w:val="en-IE"/>
        </w:rPr>
        <w:t>limited contribution</w:t>
      </w:r>
      <w:r w:rsidRPr="00B64877">
        <w:rPr>
          <w:rFonts w:eastAsia="Calibri" w:cs="Times New Roman"/>
          <w:noProof/>
          <w:szCs w:val="20"/>
          <w:lang w:val="en-IE"/>
        </w:rPr>
        <w:t xml:space="preserve"> to achieving the objective</w:t>
      </w:r>
    </w:p>
    <w:p w14:paraId="470797F0" w14:textId="77777777" w:rsidR="008F0115" w:rsidRPr="00B64877" w:rsidRDefault="008F0115" w:rsidP="008F0115">
      <w:pPr>
        <w:spacing w:after="240"/>
        <w:jc w:val="both"/>
        <w:rPr>
          <w:rFonts w:eastAsia="Calibri" w:cs="Times New Roman"/>
          <w:noProof/>
          <w:szCs w:val="20"/>
          <w:lang w:val="en-IE"/>
        </w:rPr>
      </w:pPr>
      <w:r w:rsidRPr="00B64877">
        <w:rPr>
          <w:rFonts w:eastAsia="Calibri" w:cs="Times New Roman"/>
          <w:b/>
          <w:bCs/>
          <w:noProof/>
          <w:szCs w:val="20"/>
          <w:lang w:val="en-IE"/>
        </w:rPr>
        <w:t>1</w:t>
      </w:r>
      <w:r w:rsidRPr="00B64877">
        <w:rPr>
          <w:rFonts w:eastAsia="Calibri" w:cs="Times New Roman"/>
          <w:noProof/>
          <w:szCs w:val="20"/>
          <w:lang w:val="en-IE"/>
        </w:rPr>
        <w:t xml:space="preserve"> – The option makes a </w:t>
      </w:r>
      <w:r w:rsidRPr="00B64877">
        <w:rPr>
          <w:rFonts w:eastAsia="Calibri" w:cs="Times New Roman"/>
          <w:b/>
          <w:bCs/>
          <w:noProof/>
          <w:szCs w:val="20"/>
          <w:lang w:val="en-IE"/>
        </w:rPr>
        <w:t>very limited contribution</w:t>
      </w:r>
      <w:r w:rsidRPr="00B64877">
        <w:rPr>
          <w:rFonts w:eastAsia="Calibri" w:cs="Times New Roman"/>
          <w:noProof/>
          <w:szCs w:val="20"/>
          <w:lang w:val="en-IE"/>
        </w:rPr>
        <w:t xml:space="preserve"> to achieving the objective</w:t>
      </w:r>
    </w:p>
    <w:p w14:paraId="095CB76B" w14:textId="77777777" w:rsidR="008F0115" w:rsidRDefault="008F0115" w:rsidP="008F0115">
      <w:pPr>
        <w:spacing w:after="240"/>
        <w:jc w:val="both"/>
        <w:rPr>
          <w:rFonts w:eastAsia="Calibri" w:cs="Times New Roman"/>
          <w:noProof/>
          <w:szCs w:val="20"/>
          <w:lang w:val="en-IE"/>
        </w:rPr>
      </w:pPr>
      <w:r w:rsidRPr="00B64877">
        <w:rPr>
          <w:rFonts w:eastAsia="Calibri" w:cs="Times New Roman"/>
          <w:b/>
          <w:bCs/>
          <w:noProof/>
          <w:szCs w:val="20"/>
          <w:lang w:val="en-IE"/>
        </w:rPr>
        <w:t>0</w:t>
      </w:r>
      <w:r w:rsidRPr="00B64877">
        <w:rPr>
          <w:rFonts w:eastAsia="Calibri" w:cs="Times New Roman"/>
          <w:noProof/>
          <w:szCs w:val="20"/>
          <w:lang w:val="en-IE"/>
        </w:rPr>
        <w:t xml:space="preserve"> – The option does </w:t>
      </w:r>
      <w:r w:rsidRPr="00B64877">
        <w:rPr>
          <w:rFonts w:eastAsia="Calibri" w:cs="Times New Roman"/>
          <w:b/>
          <w:bCs/>
          <w:noProof/>
          <w:szCs w:val="20"/>
          <w:lang w:val="en-IE"/>
        </w:rPr>
        <w:t>not contribute</w:t>
      </w:r>
      <w:r w:rsidRPr="00B64877">
        <w:rPr>
          <w:rFonts w:eastAsia="Calibri" w:cs="Times New Roman"/>
          <w:noProof/>
          <w:szCs w:val="20"/>
          <w:lang w:val="en-IE"/>
        </w:rPr>
        <w:t xml:space="preserve"> to achieving the objective compared to the baseline</w:t>
      </w:r>
    </w:p>
    <w:p w14:paraId="52864781" w14:textId="261E8554" w:rsidR="00FE5B14" w:rsidRPr="00FE5B14" w:rsidRDefault="00FE5B14" w:rsidP="00FE5B14">
      <w:pPr>
        <w:spacing w:after="240"/>
        <w:jc w:val="both"/>
        <w:rPr>
          <w:rFonts w:eastAsia="Calibri" w:cs="Times New Roman"/>
          <w:i/>
          <w:noProof/>
          <w:szCs w:val="20"/>
        </w:rPr>
      </w:pPr>
      <w:r w:rsidRPr="00FE5B14">
        <w:rPr>
          <w:rFonts w:eastAsia="Calibri" w:cs="Times New Roman"/>
          <w:b/>
          <w:i/>
          <w:noProof/>
          <w:szCs w:val="20"/>
        </w:rPr>
        <w:t>Efficiency:</w:t>
      </w:r>
      <w:r w:rsidRPr="00FE5B14">
        <w:rPr>
          <w:rFonts w:eastAsia="Calibri" w:cs="Times New Roman"/>
          <w:i/>
          <w:noProof/>
          <w:szCs w:val="20"/>
        </w:rPr>
        <w:t xml:space="preserve"> </w:t>
      </w:r>
    </w:p>
    <w:p w14:paraId="0471F715" w14:textId="67F44C5B" w:rsidR="00FE5B14" w:rsidRPr="00FE5B14" w:rsidRDefault="00FE5B14" w:rsidP="25CA0D31">
      <w:pPr>
        <w:spacing w:after="240"/>
        <w:jc w:val="both"/>
        <w:rPr>
          <w:rFonts w:eastAsia="Calibri" w:cs="Times New Roman"/>
          <w:i/>
          <w:iCs/>
          <w:noProof/>
        </w:rPr>
      </w:pPr>
      <w:r w:rsidRPr="25CA0D31">
        <w:rPr>
          <w:rFonts w:eastAsia="Calibri" w:cs="Times New Roman"/>
          <w:i/>
          <w:iCs/>
          <w:noProof/>
        </w:rPr>
        <w:t xml:space="preserve">The scoring system is similar for costs and benefits, meaning that for costs it is an increase compared to the baseline and for benefits it is an increase compared to the baseline as well. </w:t>
      </w:r>
    </w:p>
    <w:p w14:paraId="2320A497" w14:textId="605D1619"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5 means there is a </w:t>
      </w:r>
      <w:r w:rsidRPr="00912326">
        <w:rPr>
          <w:rFonts w:eastAsia="Calibri" w:cs="Times New Roman"/>
          <w:b/>
          <w:bCs/>
          <w:noProof/>
          <w:szCs w:val="20"/>
        </w:rPr>
        <w:t>very large increase</w:t>
      </w:r>
      <w:r w:rsidRPr="00FE5B14">
        <w:rPr>
          <w:rFonts w:eastAsia="Calibri" w:cs="Times New Roman"/>
          <w:noProof/>
          <w:szCs w:val="20"/>
        </w:rPr>
        <w:t xml:space="preserve"> in costs/benefits</w:t>
      </w:r>
    </w:p>
    <w:p w14:paraId="36570508" w14:textId="6E2594D2"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4 means there is a </w:t>
      </w:r>
      <w:r w:rsidRPr="00912326">
        <w:rPr>
          <w:rFonts w:eastAsia="Calibri" w:cs="Times New Roman"/>
          <w:b/>
          <w:bCs/>
          <w:noProof/>
          <w:szCs w:val="20"/>
        </w:rPr>
        <w:t>large increase</w:t>
      </w:r>
      <w:r w:rsidRPr="00FE5B14">
        <w:rPr>
          <w:rFonts w:eastAsia="Calibri" w:cs="Times New Roman"/>
          <w:noProof/>
          <w:szCs w:val="20"/>
        </w:rPr>
        <w:t xml:space="preserve"> in costs/benefits</w:t>
      </w:r>
    </w:p>
    <w:p w14:paraId="4368C505" w14:textId="32CB3107"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3 means there is a </w:t>
      </w:r>
      <w:r w:rsidRPr="00912326">
        <w:rPr>
          <w:rFonts w:eastAsia="Calibri" w:cs="Times New Roman"/>
          <w:b/>
          <w:bCs/>
          <w:noProof/>
          <w:szCs w:val="20"/>
        </w:rPr>
        <w:t>moderate increase</w:t>
      </w:r>
      <w:r w:rsidRPr="00FE5B14">
        <w:rPr>
          <w:rFonts w:eastAsia="Calibri" w:cs="Times New Roman"/>
          <w:noProof/>
          <w:szCs w:val="20"/>
        </w:rPr>
        <w:t xml:space="preserve"> in costs/benefits</w:t>
      </w:r>
    </w:p>
    <w:p w14:paraId="255B24BD" w14:textId="3824B362"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2 means there is </w:t>
      </w:r>
      <w:r w:rsidR="00A70305" w:rsidRPr="00FE5B14">
        <w:rPr>
          <w:rFonts w:eastAsia="Calibri" w:cs="Times New Roman"/>
          <w:noProof/>
          <w:szCs w:val="20"/>
        </w:rPr>
        <w:t xml:space="preserve">a </w:t>
      </w:r>
      <w:r w:rsidR="00A70305" w:rsidRPr="00912326">
        <w:rPr>
          <w:rFonts w:eastAsia="Calibri" w:cs="Times New Roman"/>
          <w:b/>
          <w:bCs/>
          <w:noProof/>
          <w:szCs w:val="20"/>
        </w:rPr>
        <w:t xml:space="preserve">small </w:t>
      </w:r>
      <w:r w:rsidRPr="00912326">
        <w:rPr>
          <w:rFonts w:eastAsia="Calibri" w:cs="Times New Roman"/>
          <w:b/>
          <w:bCs/>
          <w:noProof/>
          <w:szCs w:val="20"/>
        </w:rPr>
        <w:t>increase</w:t>
      </w:r>
      <w:r w:rsidRPr="00FE5B14">
        <w:rPr>
          <w:rFonts w:eastAsia="Calibri" w:cs="Times New Roman"/>
          <w:noProof/>
          <w:szCs w:val="20"/>
        </w:rPr>
        <w:t xml:space="preserve"> in costs/benefits</w:t>
      </w:r>
    </w:p>
    <w:p w14:paraId="349D2AEC" w14:textId="73028845"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1 means there is </w:t>
      </w:r>
      <w:r w:rsidR="00A70305" w:rsidRPr="00FE5B14">
        <w:rPr>
          <w:rFonts w:eastAsia="Calibri" w:cs="Times New Roman"/>
          <w:noProof/>
          <w:szCs w:val="20"/>
        </w:rPr>
        <w:t xml:space="preserve">a </w:t>
      </w:r>
      <w:r w:rsidR="00A70305" w:rsidRPr="00912326">
        <w:rPr>
          <w:rFonts w:eastAsia="Calibri" w:cs="Times New Roman"/>
          <w:b/>
          <w:bCs/>
          <w:noProof/>
          <w:szCs w:val="20"/>
        </w:rPr>
        <w:t>very small</w:t>
      </w:r>
      <w:r w:rsidR="00A70305" w:rsidRPr="00FE5B14">
        <w:rPr>
          <w:rFonts w:eastAsia="Calibri" w:cs="Times New Roman"/>
          <w:noProof/>
          <w:szCs w:val="20"/>
        </w:rPr>
        <w:t xml:space="preserve"> </w:t>
      </w:r>
      <w:r w:rsidRPr="00FE5B14">
        <w:rPr>
          <w:rFonts w:eastAsia="Calibri" w:cs="Times New Roman"/>
          <w:noProof/>
          <w:szCs w:val="20"/>
        </w:rPr>
        <w:t>in costs/benefits</w:t>
      </w:r>
    </w:p>
    <w:p w14:paraId="0C84656C" w14:textId="4332BED2"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0 means that the</w:t>
      </w:r>
      <w:r w:rsidR="00A70305">
        <w:rPr>
          <w:rFonts w:eastAsia="Calibri" w:cs="Times New Roman"/>
          <w:noProof/>
          <w:szCs w:val="20"/>
        </w:rPr>
        <w:t xml:space="preserve">re is </w:t>
      </w:r>
      <w:r w:rsidR="00A70305" w:rsidRPr="00912326">
        <w:rPr>
          <w:rFonts w:eastAsia="Calibri" w:cs="Times New Roman"/>
          <w:b/>
          <w:bCs/>
          <w:noProof/>
          <w:szCs w:val="20"/>
        </w:rPr>
        <w:t>no change</w:t>
      </w:r>
      <w:r w:rsidR="00A70305">
        <w:rPr>
          <w:rFonts w:eastAsia="Calibri" w:cs="Times New Roman"/>
          <w:noProof/>
          <w:szCs w:val="20"/>
        </w:rPr>
        <w:t xml:space="preserve"> </w:t>
      </w:r>
      <w:r w:rsidRPr="00FE5B14">
        <w:rPr>
          <w:rFonts w:eastAsia="Calibri" w:cs="Times New Roman"/>
          <w:noProof/>
          <w:szCs w:val="20"/>
        </w:rPr>
        <w:t xml:space="preserve">compared to the baseline. </w:t>
      </w:r>
    </w:p>
    <w:p w14:paraId="4E3390DD" w14:textId="77777777"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Note 1: For the impacts for which there is monetized information, these impacts are also translated into scores to assess the overall efficiency.</w:t>
      </w:r>
    </w:p>
    <w:p w14:paraId="2B4943B4" w14:textId="77777777"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Note 2: the scores should be interpreted compared to the baseline. The scores should at this stage not be assessed compared over various impacts. For instance, a score of 3 on administrative burden could reflect a larger impact than a score of 3 for adjustment costs. This relative comparison will be tackled in the Multi-criteria analysis (MCA) (see below under section 2.5). </w:t>
      </w:r>
    </w:p>
    <w:p w14:paraId="34B72CEE" w14:textId="77777777" w:rsidR="00FE5B14" w:rsidRPr="00FE5B14" w:rsidRDefault="00FE5B14" w:rsidP="00FE5B14">
      <w:pPr>
        <w:spacing w:after="240"/>
        <w:jc w:val="both"/>
        <w:rPr>
          <w:rFonts w:eastAsia="Calibri" w:cs="Times New Roman"/>
          <w:b/>
          <w:i/>
          <w:noProof/>
          <w:szCs w:val="20"/>
        </w:rPr>
      </w:pPr>
      <w:r w:rsidRPr="00FE5B14">
        <w:rPr>
          <w:rFonts w:eastAsia="Calibri" w:cs="Times New Roman"/>
          <w:b/>
          <w:i/>
          <w:noProof/>
          <w:szCs w:val="20"/>
        </w:rPr>
        <w:t>Coherence:</w:t>
      </w:r>
    </w:p>
    <w:p w14:paraId="72436672" w14:textId="77777777" w:rsidR="00FE5B14" w:rsidRPr="00FE5B14" w:rsidRDefault="00FE5B14" w:rsidP="00FE5B14">
      <w:pPr>
        <w:spacing w:after="240"/>
        <w:jc w:val="both"/>
        <w:rPr>
          <w:rFonts w:eastAsia="Calibri" w:cs="Times New Roman"/>
          <w:i/>
          <w:noProof/>
          <w:szCs w:val="20"/>
        </w:rPr>
      </w:pPr>
      <w:r w:rsidRPr="00FE5B14">
        <w:rPr>
          <w:rFonts w:eastAsia="Calibri" w:cs="Times New Roman"/>
          <w:i/>
          <w:noProof/>
          <w:szCs w:val="20"/>
        </w:rPr>
        <w:t>The scoring system assessed to what extent the policy option at hand improves internal and external coherence.</w:t>
      </w:r>
    </w:p>
    <w:p w14:paraId="1EBE2844" w14:textId="77777777"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5 means the coherence is improved to a </w:t>
      </w:r>
      <w:r w:rsidRPr="00912326">
        <w:rPr>
          <w:rFonts w:eastAsia="Calibri" w:cs="Times New Roman"/>
          <w:b/>
          <w:bCs/>
          <w:noProof/>
          <w:szCs w:val="20"/>
        </w:rPr>
        <w:t>very large extent</w:t>
      </w:r>
      <w:r w:rsidRPr="00FE5B14">
        <w:rPr>
          <w:rFonts w:eastAsia="Calibri" w:cs="Times New Roman"/>
          <w:noProof/>
          <w:szCs w:val="20"/>
        </w:rPr>
        <w:t xml:space="preserve">; </w:t>
      </w:r>
    </w:p>
    <w:p w14:paraId="001B6E22" w14:textId="77777777"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4 means the coherence is improved to a </w:t>
      </w:r>
      <w:r w:rsidRPr="00912326">
        <w:rPr>
          <w:rFonts w:eastAsia="Calibri" w:cs="Times New Roman"/>
          <w:b/>
          <w:bCs/>
          <w:noProof/>
          <w:szCs w:val="20"/>
        </w:rPr>
        <w:t>large extent</w:t>
      </w:r>
      <w:r w:rsidRPr="00FE5B14">
        <w:rPr>
          <w:rFonts w:eastAsia="Calibri" w:cs="Times New Roman"/>
          <w:noProof/>
          <w:szCs w:val="20"/>
        </w:rPr>
        <w:t>;</w:t>
      </w:r>
    </w:p>
    <w:p w14:paraId="375CAF05" w14:textId="77777777"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3 means the coherence is improved to a </w:t>
      </w:r>
      <w:r w:rsidRPr="00912326">
        <w:rPr>
          <w:rFonts w:eastAsia="Calibri" w:cs="Times New Roman"/>
          <w:b/>
          <w:bCs/>
          <w:noProof/>
          <w:szCs w:val="20"/>
        </w:rPr>
        <w:t>moderate extent</w:t>
      </w:r>
      <w:r w:rsidRPr="00FE5B14">
        <w:rPr>
          <w:rFonts w:eastAsia="Calibri" w:cs="Times New Roman"/>
          <w:noProof/>
          <w:szCs w:val="20"/>
        </w:rPr>
        <w:t xml:space="preserve">; </w:t>
      </w:r>
    </w:p>
    <w:p w14:paraId="79B33426" w14:textId="78B8FDD5"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2 means the coherence is improved to </w:t>
      </w:r>
      <w:r w:rsidR="00A70305" w:rsidRPr="00FE5B14">
        <w:rPr>
          <w:rFonts w:eastAsia="Calibri" w:cs="Times New Roman"/>
          <w:noProof/>
          <w:szCs w:val="20"/>
        </w:rPr>
        <w:t xml:space="preserve">a </w:t>
      </w:r>
      <w:r w:rsidR="00A70305" w:rsidRPr="00912326">
        <w:rPr>
          <w:rFonts w:eastAsia="Calibri" w:cs="Times New Roman"/>
          <w:b/>
          <w:bCs/>
          <w:noProof/>
          <w:szCs w:val="20"/>
        </w:rPr>
        <w:t xml:space="preserve">small </w:t>
      </w:r>
      <w:r w:rsidRPr="00912326">
        <w:rPr>
          <w:rFonts w:eastAsia="Calibri" w:cs="Times New Roman"/>
          <w:b/>
          <w:bCs/>
          <w:noProof/>
          <w:szCs w:val="20"/>
        </w:rPr>
        <w:t>extent</w:t>
      </w:r>
      <w:r w:rsidRPr="00FE5B14">
        <w:rPr>
          <w:rFonts w:eastAsia="Calibri" w:cs="Times New Roman"/>
          <w:noProof/>
          <w:szCs w:val="20"/>
        </w:rPr>
        <w:t xml:space="preserve">; </w:t>
      </w:r>
    </w:p>
    <w:p w14:paraId="6AE47C28" w14:textId="3B221CD5" w:rsidR="00FE5B14" w:rsidRPr="00FE5B14" w:rsidRDefault="00FE5B14" w:rsidP="00FE5B14">
      <w:pPr>
        <w:spacing w:after="240"/>
        <w:jc w:val="both"/>
        <w:rPr>
          <w:rFonts w:eastAsia="Calibri" w:cs="Times New Roman"/>
          <w:noProof/>
          <w:szCs w:val="20"/>
        </w:rPr>
      </w:pPr>
      <w:r w:rsidRPr="00FE5B14">
        <w:rPr>
          <w:rFonts w:eastAsia="Calibri" w:cs="Times New Roman"/>
          <w:noProof/>
          <w:szCs w:val="20"/>
        </w:rPr>
        <w:t xml:space="preserve">1 means the coherence is improved to </w:t>
      </w:r>
      <w:r w:rsidR="00A70305" w:rsidRPr="00FE5B14">
        <w:rPr>
          <w:rFonts w:eastAsia="Calibri" w:cs="Times New Roman"/>
          <w:noProof/>
          <w:szCs w:val="20"/>
        </w:rPr>
        <w:t>a</w:t>
      </w:r>
      <w:r w:rsidR="00A70305">
        <w:rPr>
          <w:rFonts w:eastAsia="Calibri" w:cs="Times New Roman"/>
          <w:noProof/>
          <w:szCs w:val="20"/>
        </w:rPr>
        <w:t xml:space="preserve"> </w:t>
      </w:r>
      <w:r w:rsidR="00A70305" w:rsidRPr="00912326">
        <w:rPr>
          <w:rFonts w:eastAsia="Calibri" w:cs="Times New Roman"/>
          <w:b/>
          <w:bCs/>
          <w:noProof/>
          <w:szCs w:val="20"/>
        </w:rPr>
        <w:t xml:space="preserve">very small </w:t>
      </w:r>
      <w:r w:rsidRPr="00912326">
        <w:rPr>
          <w:rFonts w:eastAsia="Calibri" w:cs="Times New Roman"/>
          <w:b/>
          <w:bCs/>
          <w:noProof/>
          <w:szCs w:val="20"/>
        </w:rPr>
        <w:t>extent</w:t>
      </w:r>
      <w:r w:rsidRPr="00FE5B14">
        <w:rPr>
          <w:rFonts w:eastAsia="Calibri" w:cs="Times New Roman"/>
          <w:noProof/>
          <w:szCs w:val="20"/>
        </w:rPr>
        <w:t xml:space="preserve">; </w:t>
      </w:r>
    </w:p>
    <w:p w14:paraId="167AA673" w14:textId="6E56DBAE" w:rsidR="00FE5B14" w:rsidRDefault="00FE5B14" w:rsidP="00A70305">
      <w:pPr>
        <w:spacing w:after="240"/>
        <w:jc w:val="both"/>
        <w:rPr>
          <w:rFonts w:eastAsia="Calibri" w:cs="Times New Roman"/>
          <w:noProof/>
          <w:szCs w:val="20"/>
        </w:rPr>
      </w:pPr>
      <w:r w:rsidRPr="00FE5B14">
        <w:rPr>
          <w:rFonts w:eastAsia="Calibri" w:cs="Times New Roman"/>
          <w:noProof/>
          <w:szCs w:val="20"/>
        </w:rPr>
        <w:t>0</w:t>
      </w:r>
      <w:r w:rsidR="00A70305">
        <w:rPr>
          <w:rFonts w:eastAsia="Calibri" w:cs="Times New Roman"/>
          <w:noProof/>
          <w:szCs w:val="20"/>
        </w:rPr>
        <w:t xml:space="preserve"> </w:t>
      </w:r>
      <w:r w:rsidR="00A70305" w:rsidRPr="00FE5B14">
        <w:rPr>
          <w:rFonts w:eastAsia="Calibri" w:cs="Times New Roman"/>
          <w:noProof/>
          <w:szCs w:val="20"/>
        </w:rPr>
        <w:t>means that the</w:t>
      </w:r>
      <w:r w:rsidR="00A70305">
        <w:rPr>
          <w:rFonts w:eastAsia="Calibri" w:cs="Times New Roman"/>
          <w:noProof/>
          <w:szCs w:val="20"/>
        </w:rPr>
        <w:t xml:space="preserve">re is </w:t>
      </w:r>
      <w:r w:rsidR="00A70305" w:rsidRPr="00912326">
        <w:rPr>
          <w:rFonts w:eastAsia="Calibri" w:cs="Times New Roman"/>
          <w:b/>
          <w:bCs/>
          <w:noProof/>
          <w:szCs w:val="20"/>
        </w:rPr>
        <w:t>no change</w:t>
      </w:r>
      <w:r w:rsidR="00A70305">
        <w:rPr>
          <w:rFonts w:eastAsia="Calibri" w:cs="Times New Roman"/>
          <w:noProof/>
          <w:szCs w:val="20"/>
        </w:rPr>
        <w:t xml:space="preserve"> </w:t>
      </w:r>
      <w:r w:rsidR="00A70305" w:rsidRPr="00FE5B14">
        <w:rPr>
          <w:rFonts w:eastAsia="Calibri" w:cs="Times New Roman"/>
          <w:noProof/>
          <w:szCs w:val="20"/>
        </w:rPr>
        <w:t>compared to the baseline.</w:t>
      </w:r>
    </w:p>
    <w:p w14:paraId="2D711359" w14:textId="77777777" w:rsidR="00CF5993" w:rsidRPr="00986885" w:rsidRDefault="00CF5993" w:rsidP="00A70305">
      <w:pPr>
        <w:spacing w:after="240"/>
        <w:jc w:val="both"/>
        <w:rPr>
          <w:rFonts w:eastAsia="Calibri" w:cs="Times New Roman"/>
          <w:noProof/>
          <w:szCs w:val="20"/>
          <w:lang w:val="en-IE"/>
        </w:rPr>
      </w:pPr>
    </w:p>
    <w:p w14:paraId="6440EA42" w14:textId="4E8B7202" w:rsidR="00CF5993" w:rsidRPr="00C457EC" w:rsidRDefault="00CF5993" w:rsidP="00C4288E">
      <w:pPr>
        <w:pStyle w:val="Heading1"/>
        <w:numPr>
          <w:ilvl w:val="1"/>
          <w:numId w:val="14"/>
        </w:numPr>
        <w:tabs>
          <w:tab w:val="num" w:pos="360"/>
          <w:tab w:val="num" w:pos="1200"/>
        </w:tabs>
        <w:ind w:left="1200" w:hanging="720"/>
        <w:rPr>
          <w:noProof/>
        </w:rPr>
      </w:pPr>
      <w:bookmarkStart w:id="39" w:name="_Toc126870452"/>
      <w:bookmarkStart w:id="40" w:name="_Toc126873035"/>
      <w:bookmarkStart w:id="41" w:name="_Toc126916121"/>
      <w:bookmarkStart w:id="42" w:name="_Toc126916936"/>
      <w:bookmarkStart w:id="43" w:name="_Toc126919382"/>
      <w:bookmarkStart w:id="44" w:name="_Toc126919837"/>
      <w:bookmarkStart w:id="45" w:name="_Toc126928430"/>
      <w:bookmarkStart w:id="46" w:name="_Toc126930807"/>
      <w:r w:rsidRPr="00C457EC">
        <w:rPr>
          <w:noProof/>
        </w:rPr>
        <w:t>Effectiveness of the policy options</w:t>
      </w:r>
      <w:bookmarkEnd w:id="39"/>
      <w:bookmarkEnd w:id="40"/>
      <w:bookmarkEnd w:id="41"/>
      <w:bookmarkEnd w:id="42"/>
      <w:bookmarkEnd w:id="43"/>
      <w:bookmarkEnd w:id="44"/>
      <w:bookmarkEnd w:id="45"/>
      <w:bookmarkEnd w:id="46"/>
    </w:p>
    <w:p w14:paraId="6C89BC75" w14:textId="185393A4" w:rsidR="00EA710A" w:rsidRDefault="00EA710A" w:rsidP="00912326">
      <w:pPr>
        <w:jc w:val="both"/>
        <w:rPr>
          <w:noProof/>
        </w:rPr>
      </w:pPr>
      <w:r>
        <w:rPr>
          <w:noProof/>
        </w:rPr>
        <w:t>In this section, the options are analysed in order to assess to what extent they will achieve the policy objectives of the initiative</w:t>
      </w:r>
      <w:r w:rsidR="00F57886">
        <w:rPr>
          <w:noProof/>
        </w:rPr>
        <w:t xml:space="preserve">; some options are analysed against all three objectives and some – </w:t>
      </w:r>
      <w:r w:rsidR="00695E70">
        <w:rPr>
          <w:noProof/>
        </w:rPr>
        <w:t>against</w:t>
      </w:r>
      <w:r w:rsidR="00F57886">
        <w:rPr>
          <w:noProof/>
        </w:rPr>
        <w:t xml:space="preserve"> the two </w:t>
      </w:r>
      <w:r w:rsidR="00543882">
        <w:rPr>
          <w:noProof/>
        </w:rPr>
        <w:t xml:space="preserve">relevant </w:t>
      </w:r>
      <w:r w:rsidR="00CB6CF9">
        <w:rPr>
          <w:noProof/>
        </w:rPr>
        <w:t>objectives</w:t>
      </w:r>
      <w:r>
        <w:rPr>
          <w:noProof/>
        </w:rPr>
        <w:t>.</w:t>
      </w:r>
      <w:r w:rsidR="00013B7B">
        <w:rPr>
          <w:noProof/>
        </w:rPr>
        <w:t xml:space="preserve"> </w:t>
      </w:r>
      <w:r w:rsidR="0038428F">
        <w:rPr>
          <w:noProof/>
        </w:rPr>
        <w:t>For instance, policy options 2 about setting up 28</w:t>
      </w:r>
      <w:r w:rsidR="0038428F" w:rsidRPr="0038428F">
        <w:rPr>
          <w:noProof/>
          <w:vertAlign w:val="superscript"/>
        </w:rPr>
        <w:t>th</w:t>
      </w:r>
      <w:r w:rsidR="0038428F">
        <w:rPr>
          <w:noProof/>
        </w:rPr>
        <w:t xml:space="preserve"> regime companies are not analysed against the objective on </w:t>
      </w:r>
      <w:r w:rsidR="0038428F" w:rsidRPr="00EB6A36">
        <w:rPr>
          <w:rFonts w:cstheme="minorHAnsi"/>
          <w:noProof/>
          <w:szCs w:val="20"/>
        </w:rPr>
        <w:t>an enabling framework to invest</w:t>
      </w:r>
      <w:r w:rsidR="00CC030D">
        <w:rPr>
          <w:rFonts w:cstheme="minorHAnsi"/>
          <w:noProof/>
          <w:szCs w:val="20"/>
        </w:rPr>
        <w:t xml:space="preserve"> as they do not provide any relevant measures</w:t>
      </w:r>
      <w:r w:rsidR="0063767C">
        <w:rPr>
          <w:rFonts w:cstheme="minorHAnsi"/>
          <w:noProof/>
          <w:szCs w:val="20"/>
        </w:rPr>
        <w:t>.</w:t>
      </w:r>
    </w:p>
    <w:p w14:paraId="224B2B43" w14:textId="0B1565D2" w:rsidR="000C60EF" w:rsidRPr="00D80F11" w:rsidRDefault="000C60EF" w:rsidP="000C60EF">
      <w:pPr>
        <w:pStyle w:val="Caption"/>
        <w:spacing w:after="0"/>
        <w:jc w:val="both"/>
        <w:rPr>
          <w:b/>
          <w:noProof/>
          <w:sz w:val="24"/>
          <w:szCs w:val="24"/>
        </w:rPr>
      </w:pPr>
      <w:r w:rsidRPr="00D80F11">
        <w:rPr>
          <w:noProof/>
          <w:sz w:val="24"/>
          <w:szCs w:val="24"/>
        </w:rPr>
        <w:t xml:space="preserve">Table </w:t>
      </w:r>
      <w:r w:rsidRPr="00D80F11">
        <w:rPr>
          <w:b/>
          <w:noProof/>
          <w:sz w:val="24"/>
          <w:szCs w:val="24"/>
        </w:rPr>
        <w:fldChar w:fldCharType="begin"/>
      </w:r>
      <w:r w:rsidRPr="00D80F11">
        <w:rPr>
          <w:noProof/>
          <w:sz w:val="24"/>
          <w:szCs w:val="24"/>
        </w:rPr>
        <w:instrText xml:space="preserve"> SEQ Table \* ARABIC </w:instrText>
      </w:r>
      <w:r w:rsidRPr="00D80F11">
        <w:rPr>
          <w:b/>
          <w:noProof/>
          <w:sz w:val="24"/>
          <w:szCs w:val="24"/>
        </w:rPr>
        <w:fldChar w:fldCharType="separate"/>
      </w:r>
      <w:r w:rsidR="00B312D6">
        <w:rPr>
          <w:noProof/>
          <w:sz w:val="24"/>
          <w:szCs w:val="24"/>
        </w:rPr>
        <w:t>1</w:t>
      </w:r>
      <w:r w:rsidRPr="00D80F11">
        <w:rPr>
          <w:b/>
          <w:noProof/>
          <w:sz w:val="24"/>
          <w:szCs w:val="24"/>
        </w:rPr>
        <w:fldChar w:fldCharType="end"/>
      </w:r>
      <w:r w:rsidRPr="00D80F11">
        <w:rPr>
          <w:noProof/>
          <w:sz w:val="24"/>
          <w:szCs w:val="24"/>
        </w:rPr>
        <w:t xml:space="preserve">: Effectiveness of policy options 1 </w:t>
      </w:r>
      <w:r w:rsidRPr="00CF5993">
        <w:rPr>
          <w:noProof/>
          <w:sz w:val="24"/>
          <w:szCs w:val="24"/>
        </w:rPr>
        <w:t>to provide a harmonised company legal form for entrepreneurs</w:t>
      </w:r>
      <w:r>
        <w:rPr>
          <w:noProof/>
          <w:sz w:val="24"/>
          <w:szCs w:val="24"/>
        </w:rPr>
        <w:t xml:space="preserve"> </w:t>
      </w:r>
    </w:p>
    <w:p w14:paraId="25E98E76" w14:textId="6A3A4A31" w:rsidR="00CF5993" w:rsidRPr="00926445" w:rsidRDefault="00CF5993" w:rsidP="00C4288E">
      <w:pPr>
        <w:pStyle w:val="ListParagraph"/>
        <w:numPr>
          <w:ilvl w:val="0"/>
          <w:numId w:val="15"/>
        </w:numPr>
        <w:tabs>
          <w:tab w:val="left" w:pos="170"/>
        </w:tabs>
        <w:jc w:val="both"/>
        <w:rPr>
          <w:noProof/>
        </w:rPr>
      </w:pPr>
      <w:r>
        <w:rPr>
          <w:noProof/>
        </w:rPr>
        <w:t>Policy option 1a - Introduce a new harmonised legal form for a 28</w:t>
      </w:r>
      <w:r w:rsidRPr="00755A6F">
        <w:rPr>
          <w:noProof/>
          <w:vertAlign w:val="superscript"/>
        </w:rPr>
        <w:t>th</w:t>
      </w:r>
      <w:r>
        <w:rPr>
          <w:noProof/>
        </w:rPr>
        <w:t xml:space="preserve"> regime company with a recognisable EU brand</w:t>
      </w:r>
      <w:r w:rsidR="00AE4629">
        <w:rPr>
          <w:noProof/>
        </w:rPr>
        <w:t>, to be set up by n</w:t>
      </w:r>
      <w:r>
        <w:rPr>
          <w:noProof/>
        </w:rPr>
        <w:t>atural persons as founders.</w:t>
      </w:r>
    </w:p>
    <w:p w14:paraId="0C0B005D" w14:textId="090B1862" w:rsidR="00CF5993" w:rsidRDefault="00CF5993" w:rsidP="00C4288E">
      <w:pPr>
        <w:pStyle w:val="ListParagraph"/>
        <w:numPr>
          <w:ilvl w:val="0"/>
          <w:numId w:val="15"/>
        </w:numPr>
        <w:tabs>
          <w:tab w:val="left" w:pos="170"/>
        </w:tabs>
        <w:ind w:left="714" w:hanging="357"/>
        <w:jc w:val="both"/>
        <w:rPr>
          <w:noProof/>
        </w:rPr>
      </w:pPr>
      <w:r>
        <w:rPr>
          <w:noProof/>
        </w:rPr>
        <w:t xml:space="preserve">Policy option 1b - Option 1a + </w:t>
      </w:r>
      <w:r w:rsidR="00D11B0C">
        <w:rPr>
          <w:noProof/>
        </w:rPr>
        <w:t xml:space="preserve">to be set up </w:t>
      </w:r>
      <w:r>
        <w:rPr>
          <w:noProof/>
        </w:rPr>
        <w:t xml:space="preserve">also </w:t>
      </w:r>
      <w:r w:rsidR="00D11B0C">
        <w:rPr>
          <w:noProof/>
        </w:rPr>
        <w:t xml:space="preserve">by </w:t>
      </w:r>
      <w:r>
        <w:rPr>
          <w:noProof/>
        </w:rPr>
        <w:t>legal persons (28</w:t>
      </w:r>
      <w:r w:rsidRPr="00755A6F">
        <w:rPr>
          <w:noProof/>
          <w:vertAlign w:val="superscript"/>
        </w:rPr>
        <w:t>th</w:t>
      </w:r>
      <w:r>
        <w:rPr>
          <w:noProof/>
        </w:rPr>
        <w:t xml:space="preserve"> regime subsidiaries)</w:t>
      </w:r>
      <w:r w:rsidR="00D11B0C">
        <w:rPr>
          <w:noProof/>
        </w:rPr>
        <w:t>, with a possibility for e</w:t>
      </w:r>
      <w:r>
        <w:rPr>
          <w:noProof/>
        </w:rPr>
        <w:t xml:space="preserve">xisting companies </w:t>
      </w:r>
      <w:r w:rsidR="00D11B0C">
        <w:rPr>
          <w:noProof/>
        </w:rPr>
        <w:t xml:space="preserve">to </w:t>
      </w:r>
      <w:r>
        <w:rPr>
          <w:noProof/>
        </w:rPr>
        <w:t>convert through domestic conversion</w:t>
      </w:r>
      <w:r w:rsidR="00D11B0C">
        <w:rPr>
          <w:noProof/>
        </w:rPr>
        <w:t xml:space="preserve">s, and with </w:t>
      </w:r>
      <w:r>
        <w:rPr>
          <w:noProof/>
        </w:rPr>
        <w:t>harmonised rules for setting up branches of 28</w:t>
      </w:r>
      <w:r w:rsidRPr="00755A6F">
        <w:rPr>
          <w:noProof/>
          <w:vertAlign w:val="superscript"/>
        </w:rPr>
        <w:t>th</w:t>
      </w:r>
      <w:r>
        <w:rPr>
          <w:noProof/>
        </w:rPr>
        <w:t xml:space="preserve"> regime companies.</w:t>
      </w:r>
    </w:p>
    <w:p w14:paraId="022681CA" w14:textId="77777777" w:rsidR="00115BAA" w:rsidRDefault="00CF5993" w:rsidP="00C4288E">
      <w:pPr>
        <w:pStyle w:val="ListParagraph"/>
        <w:numPr>
          <w:ilvl w:val="0"/>
          <w:numId w:val="15"/>
        </w:numPr>
        <w:tabs>
          <w:tab w:val="left" w:pos="170"/>
        </w:tabs>
        <w:ind w:left="714" w:hanging="357"/>
        <w:jc w:val="both"/>
        <w:rPr>
          <w:noProof/>
        </w:rPr>
      </w:pPr>
      <w:r>
        <w:rPr>
          <w:noProof/>
        </w:rPr>
        <w:t xml:space="preserve">Policy option 1c - </w:t>
      </w:r>
      <w:r w:rsidRPr="00926445">
        <w:rPr>
          <w:noProof/>
        </w:rPr>
        <w:t xml:space="preserve">Option 1b + </w:t>
      </w:r>
      <w:r w:rsidR="00DA1478">
        <w:rPr>
          <w:noProof/>
        </w:rPr>
        <w:t xml:space="preserve">a </w:t>
      </w:r>
      <w:r w:rsidR="003C3B45">
        <w:rPr>
          <w:noProof/>
        </w:rPr>
        <w:t xml:space="preserve">possibility for </w:t>
      </w:r>
      <w:r w:rsidRPr="00CF5993">
        <w:rPr>
          <w:noProof/>
        </w:rPr>
        <w:t xml:space="preserve">existing companies </w:t>
      </w:r>
      <w:r w:rsidR="003C3B45">
        <w:rPr>
          <w:noProof/>
        </w:rPr>
        <w:t xml:space="preserve">to </w:t>
      </w:r>
      <w:r w:rsidRPr="00CF5993">
        <w:rPr>
          <w:noProof/>
        </w:rPr>
        <w:t>create a 28th regime company through a cross-border conversion, division or merger in accordance with Directive 2019/2121.</w:t>
      </w:r>
    </w:p>
    <w:p w14:paraId="3C872648" w14:textId="27089E17" w:rsidR="001676A1" w:rsidRPr="000020C7" w:rsidRDefault="004B422B" w:rsidP="25CA0D31">
      <w:pPr>
        <w:tabs>
          <w:tab w:val="left" w:pos="170"/>
        </w:tabs>
        <w:ind w:right="-2"/>
        <w:jc w:val="both"/>
        <w:rPr>
          <w:noProof/>
          <w:sz w:val="22"/>
          <w:lang w:val="en-IE"/>
        </w:rPr>
      </w:pPr>
      <w:r>
        <w:rPr>
          <w:noProof/>
        </w:rPr>
        <w:t>These policy options would address the following driver</w:t>
      </w:r>
      <w:r w:rsidR="00115BAA">
        <w:rPr>
          <w:noProof/>
        </w:rPr>
        <w:t>:</w:t>
      </w:r>
      <w:r>
        <w:rPr>
          <w:noProof/>
        </w:rPr>
        <w:t xml:space="preserve"> </w:t>
      </w:r>
      <w:r w:rsidR="00E81EED" w:rsidRPr="25CA0D31">
        <w:rPr>
          <w:noProof/>
          <w:lang w:val="en-IE"/>
        </w:rPr>
        <w:t>d</w:t>
      </w:r>
      <w:r w:rsidR="001676A1" w:rsidRPr="25CA0D31">
        <w:rPr>
          <w:noProof/>
          <w:lang w:val="en-IE"/>
        </w:rPr>
        <w:t xml:space="preserve">ifferent national company legal forms and absence of a distinct EU brand for </w:t>
      </w:r>
      <w:r w:rsidR="001676A1" w:rsidRPr="0D3F1FC3">
        <w:rPr>
          <w:noProof/>
          <w:lang w:val="en-IE"/>
        </w:rPr>
        <w:t>s</w:t>
      </w:r>
      <w:r w:rsidR="1B054071" w:rsidRPr="0D3F1FC3">
        <w:rPr>
          <w:noProof/>
          <w:lang w:val="en-IE"/>
        </w:rPr>
        <w:t>tartup</w:t>
      </w:r>
      <w:r w:rsidR="001676A1" w:rsidRPr="0D3F1FC3">
        <w:rPr>
          <w:noProof/>
          <w:lang w:val="en-IE"/>
        </w:rPr>
        <w:t>s</w:t>
      </w:r>
      <w:r w:rsidR="008D7808" w:rsidRPr="25CA0D31">
        <w:rPr>
          <w:noProof/>
          <w:lang w:val="en-IE"/>
        </w:rPr>
        <w:t>.</w:t>
      </w:r>
    </w:p>
    <w:p w14:paraId="3B6C81B1" w14:textId="77777777" w:rsidR="00CF5993" w:rsidRDefault="00CF5993" w:rsidP="00CF5993">
      <w:pPr>
        <w:pStyle w:val="ListParagraph"/>
        <w:tabs>
          <w:tab w:val="left" w:pos="170"/>
        </w:tabs>
        <w:spacing w:before="0" w:after="0"/>
        <w:rPr>
          <w:noProof/>
        </w:rPr>
      </w:pPr>
    </w:p>
    <w:tbl>
      <w:tblPr>
        <w:tblStyle w:val="TableGrid"/>
        <w:tblW w:w="9781" w:type="dxa"/>
        <w:tblInd w:w="-147" w:type="dxa"/>
        <w:tblLayout w:type="fixed"/>
        <w:tblLook w:val="04A0" w:firstRow="1" w:lastRow="0" w:firstColumn="1" w:lastColumn="0" w:noHBand="0" w:noVBand="1"/>
      </w:tblPr>
      <w:tblGrid>
        <w:gridCol w:w="2528"/>
        <w:gridCol w:w="860"/>
        <w:gridCol w:w="856"/>
        <w:gridCol w:w="860"/>
        <w:gridCol w:w="4677"/>
      </w:tblGrid>
      <w:tr w:rsidR="00B12AD9" w14:paraId="768AF75F" w14:textId="77777777" w:rsidTr="25CA0D31">
        <w:trPr>
          <w:trHeight w:val="299"/>
        </w:trPr>
        <w:tc>
          <w:tcPr>
            <w:tcW w:w="2528" w:type="dxa"/>
            <w:shd w:val="clear" w:color="auto" w:fill="B8CCE4" w:themeFill="accent1" w:themeFillTint="66"/>
          </w:tcPr>
          <w:p w14:paraId="55D65B04" w14:textId="77777777" w:rsidR="00CF5993" w:rsidRPr="005C4BC3" w:rsidRDefault="00CF5993">
            <w:pPr>
              <w:rPr>
                <w:noProof/>
              </w:rPr>
            </w:pPr>
          </w:p>
        </w:tc>
        <w:tc>
          <w:tcPr>
            <w:tcW w:w="860" w:type="dxa"/>
            <w:shd w:val="clear" w:color="auto" w:fill="B8CCE4" w:themeFill="accent1" w:themeFillTint="66"/>
          </w:tcPr>
          <w:p w14:paraId="1B6E7B1A" w14:textId="77777777" w:rsidR="00CF5993" w:rsidRPr="005C4BC3" w:rsidRDefault="00CF5993">
            <w:pPr>
              <w:jc w:val="center"/>
              <w:rPr>
                <w:noProof/>
              </w:rPr>
            </w:pPr>
            <w:r w:rsidRPr="005C4BC3">
              <w:rPr>
                <w:noProof/>
              </w:rPr>
              <w:t>PO1a</w:t>
            </w:r>
          </w:p>
        </w:tc>
        <w:tc>
          <w:tcPr>
            <w:tcW w:w="856" w:type="dxa"/>
            <w:shd w:val="clear" w:color="auto" w:fill="B8CCE4" w:themeFill="accent1" w:themeFillTint="66"/>
          </w:tcPr>
          <w:p w14:paraId="78755555" w14:textId="77777777" w:rsidR="00CF5993" w:rsidRPr="005C4BC3" w:rsidRDefault="00CF5993">
            <w:pPr>
              <w:jc w:val="center"/>
              <w:rPr>
                <w:noProof/>
              </w:rPr>
            </w:pPr>
            <w:r w:rsidRPr="005C4BC3">
              <w:rPr>
                <w:noProof/>
              </w:rPr>
              <w:t>PO1b</w:t>
            </w:r>
          </w:p>
        </w:tc>
        <w:tc>
          <w:tcPr>
            <w:tcW w:w="860" w:type="dxa"/>
            <w:shd w:val="clear" w:color="auto" w:fill="B8CCE4" w:themeFill="accent1" w:themeFillTint="66"/>
          </w:tcPr>
          <w:p w14:paraId="48578342" w14:textId="77777777" w:rsidR="00CF5993" w:rsidRPr="005C4BC3" w:rsidRDefault="00CF5993">
            <w:pPr>
              <w:jc w:val="center"/>
              <w:rPr>
                <w:noProof/>
              </w:rPr>
            </w:pPr>
            <w:r w:rsidRPr="005C4BC3">
              <w:rPr>
                <w:noProof/>
              </w:rPr>
              <w:t>PO1c</w:t>
            </w:r>
          </w:p>
        </w:tc>
        <w:tc>
          <w:tcPr>
            <w:tcW w:w="4677" w:type="dxa"/>
            <w:shd w:val="clear" w:color="auto" w:fill="B8CCE4" w:themeFill="accent1" w:themeFillTint="66"/>
          </w:tcPr>
          <w:p w14:paraId="60534BAC" w14:textId="77777777" w:rsidR="00CF5993" w:rsidRPr="005C4BC3" w:rsidRDefault="00CF5993">
            <w:pPr>
              <w:rPr>
                <w:noProof/>
              </w:rPr>
            </w:pPr>
            <w:r w:rsidRPr="005C4BC3">
              <w:rPr>
                <w:noProof/>
              </w:rPr>
              <w:t>Motivation</w:t>
            </w:r>
          </w:p>
        </w:tc>
      </w:tr>
      <w:tr w:rsidR="00CF5993" w:rsidRPr="00423F8E" w14:paraId="68CF3F8B" w14:textId="77777777" w:rsidTr="25CA0D31">
        <w:trPr>
          <w:trHeight w:val="539"/>
        </w:trPr>
        <w:tc>
          <w:tcPr>
            <w:tcW w:w="2528" w:type="dxa"/>
          </w:tcPr>
          <w:p w14:paraId="73F5F304" w14:textId="3B8C9302" w:rsidR="00CF5993" w:rsidRPr="005C4BC3" w:rsidRDefault="00CF5993" w:rsidP="25CA0D31">
            <w:pPr>
              <w:rPr>
                <w:noProof/>
              </w:rPr>
            </w:pPr>
            <w:r w:rsidRPr="25CA0D31">
              <w:rPr>
                <w:b/>
                <w:bCs/>
                <w:noProof/>
              </w:rPr>
              <w:t>Specific objective 1:</w:t>
            </w:r>
            <w:r w:rsidRPr="25CA0D31">
              <w:rPr>
                <w:noProof/>
              </w:rPr>
              <w:t xml:space="preserve">  </w:t>
            </w:r>
            <w:r w:rsidR="1F0E9FD9" w:rsidRPr="25CA0D31">
              <w:rPr>
                <w:noProof/>
              </w:rPr>
              <w:t xml:space="preserve">Provide </w:t>
            </w:r>
            <w:r w:rsidR="4DEF6A9A" w:rsidRPr="25CA0D31">
              <w:rPr>
                <w:noProof/>
              </w:rPr>
              <w:t xml:space="preserve">a common corporate legal framework for </w:t>
            </w:r>
            <w:r>
              <w:rPr>
                <w:noProof/>
              </w:rPr>
              <w:t xml:space="preserve">companies, in particular </w:t>
            </w:r>
            <w:r w:rsidR="4DEF6A9A" w:rsidRPr="0D3F1FC3">
              <w:rPr>
                <w:noProof/>
              </w:rPr>
              <w:t>s</w:t>
            </w:r>
            <w:r w:rsidR="0972D18C" w:rsidRPr="0D3F1FC3">
              <w:rPr>
                <w:noProof/>
              </w:rPr>
              <w:t>tartup</w:t>
            </w:r>
            <w:r w:rsidR="4DEF6A9A" w:rsidRPr="0D3F1FC3">
              <w:rPr>
                <w:noProof/>
              </w:rPr>
              <w:t>s</w:t>
            </w:r>
            <w:r w:rsidR="4DEF6A9A" w:rsidRPr="25CA0D31">
              <w:rPr>
                <w:noProof/>
              </w:rPr>
              <w:t xml:space="preserve"> and </w:t>
            </w:r>
            <w:r w:rsidR="4DEF6A9A" w:rsidRPr="5AE42BD2">
              <w:rPr>
                <w:noProof/>
              </w:rPr>
              <w:t>s</w:t>
            </w:r>
            <w:r w:rsidR="5DF897A7" w:rsidRPr="5AE42BD2">
              <w:rPr>
                <w:noProof/>
              </w:rPr>
              <w:t>caleup</w:t>
            </w:r>
            <w:r w:rsidR="4DEF6A9A" w:rsidRPr="5AE42BD2">
              <w:rPr>
                <w:noProof/>
              </w:rPr>
              <w:t>s</w:t>
            </w:r>
            <w:r w:rsidR="4DEF6A9A" w:rsidRPr="25CA0D31">
              <w:rPr>
                <w:noProof/>
              </w:rPr>
              <w:t xml:space="preserve"> in the EU</w:t>
            </w:r>
          </w:p>
        </w:tc>
        <w:tc>
          <w:tcPr>
            <w:tcW w:w="860" w:type="dxa"/>
          </w:tcPr>
          <w:p w14:paraId="3D78E12E" w14:textId="3ADDA1BA" w:rsidR="00CF5993" w:rsidRPr="005C4BC3" w:rsidRDefault="001C0419">
            <w:pPr>
              <w:jc w:val="center"/>
              <w:rPr>
                <w:rFonts w:cstheme="minorHAnsi"/>
                <w:noProof/>
                <w:szCs w:val="20"/>
              </w:rPr>
            </w:pPr>
            <w:r>
              <w:rPr>
                <w:rFonts w:cstheme="minorHAnsi"/>
                <w:noProof/>
                <w:szCs w:val="20"/>
              </w:rPr>
              <w:t>2</w:t>
            </w:r>
          </w:p>
        </w:tc>
        <w:tc>
          <w:tcPr>
            <w:tcW w:w="856" w:type="dxa"/>
          </w:tcPr>
          <w:p w14:paraId="61637DF2" w14:textId="6BE272E6" w:rsidR="00CF5993" w:rsidRPr="005C4BC3" w:rsidRDefault="000B7F42">
            <w:pPr>
              <w:jc w:val="center"/>
              <w:rPr>
                <w:rFonts w:cstheme="minorHAnsi"/>
                <w:noProof/>
                <w:szCs w:val="20"/>
              </w:rPr>
            </w:pPr>
            <w:r>
              <w:rPr>
                <w:rFonts w:cstheme="minorHAnsi"/>
                <w:noProof/>
                <w:szCs w:val="20"/>
              </w:rPr>
              <w:t>3</w:t>
            </w:r>
          </w:p>
        </w:tc>
        <w:tc>
          <w:tcPr>
            <w:tcW w:w="860" w:type="dxa"/>
          </w:tcPr>
          <w:p w14:paraId="40E39DC2" w14:textId="11B1A371" w:rsidR="00CF5993" w:rsidRPr="005C4BC3" w:rsidRDefault="00C07264">
            <w:pPr>
              <w:jc w:val="center"/>
              <w:rPr>
                <w:rFonts w:cstheme="minorHAnsi"/>
                <w:noProof/>
                <w:szCs w:val="20"/>
              </w:rPr>
            </w:pPr>
            <w:r>
              <w:rPr>
                <w:rFonts w:cstheme="minorHAnsi"/>
                <w:noProof/>
                <w:szCs w:val="20"/>
              </w:rPr>
              <w:t>4</w:t>
            </w:r>
          </w:p>
        </w:tc>
        <w:tc>
          <w:tcPr>
            <w:tcW w:w="4677" w:type="dxa"/>
          </w:tcPr>
          <w:p w14:paraId="4A2E3D10" w14:textId="74486B8B" w:rsidR="00C826F8" w:rsidRDefault="0DE59C83" w:rsidP="00D446B7">
            <w:pPr>
              <w:spacing w:after="0"/>
              <w:jc w:val="both"/>
              <w:rPr>
                <w:noProof/>
              </w:rPr>
            </w:pPr>
            <w:r>
              <w:rPr>
                <w:noProof/>
              </w:rPr>
              <w:t xml:space="preserve">The </w:t>
            </w:r>
            <w:r w:rsidR="621584E8">
              <w:rPr>
                <w:noProof/>
              </w:rPr>
              <w:t xml:space="preserve">consultation activities (the public consultation, the </w:t>
            </w:r>
            <w:r w:rsidR="2476B2F2">
              <w:rPr>
                <w:noProof/>
              </w:rPr>
              <w:t xml:space="preserve">workshops, the </w:t>
            </w:r>
            <w:r w:rsidR="217FC071">
              <w:rPr>
                <w:noProof/>
              </w:rPr>
              <w:t xml:space="preserve">High Level </w:t>
            </w:r>
            <w:r w:rsidR="27D24065">
              <w:rPr>
                <w:noProof/>
              </w:rPr>
              <w:t>F</w:t>
            </w:r>
            <w:r w:rsidR="217FC071">
              <w:rPr>
                <w:noProof/>
              </w:rPr>
              <w:t>orum, meetings with stakeholders a</w:t>
            </w:r>
            <w:r w:rsidR="45637356">
              <w:rPr>
                <w:noProof/>
              </w:rPr>
              <w:t xml:space="preserve">s </w:t>
            </w:r>
            <w:r w:rsidR="57C28C48">
              <w:rPr>
                <w:noProof/>
              </w:rPr>
              <w:t xml:space="preserve">well as stakeholder driven initiatives such as </w:t>
            </w:r>
            <w:r w:rsidR="004437BF">
              <w:rPr>
                <w:noProof/>
              </w:rPr>
              <w:t>the</w:t>
            </w:r>
            <w:r w:rsidR="57C28C48" w:rsidDel="004437BF">
              <w:rPr>
                <w:noProof/>
              </w:rPr>
              <w:t xml:space="preserve"> </w:t>
            </w:r>
            <w:r w:rsidR="57C28C48">
              <w:rPr>
                <w:noProof/>
              </w:rPr>
              <w:t xml:space="preserve">petition and subsequent blueprint </w:t>
            </w:r>
            <w:r w:rsidR="6D6ACFC8">
              <w:rPr>
                <w:noProof/>
              </w:rPr>
              <w:t xml:space="preserve">by </w:t>
            </w:r>
            <w:r w:rsidR="113780BD">
              <w:rPr>
                <w:noProof/>
              </w:rPr>
              <w:t xml:space="preserve">EUInc) </w:t>
            </w:r>
            <w:r w:rsidR="69A3606F">
              <w:rPr>
                <w:noProof/>
              </w:rPr>
              <w:t>showed strong calls and support for common</w:t>
            </w:r>
            <w:r w:rsidR="2EDF03C4">
              <w:rPr>
                <w:noProof/>
              </w:rPr>
              <w:t xml:space="preserve"> rules </w:t>
            </w:r>
            <w:r w:rsidR="24923987">
              <w:rPr>
                <w:noProof/>
              </w:rPr>
              <w:t>including</w:t>
            </w:r>
            <w:r w:rsidR="0B8B76C7">
              <w:rPr>
                <w:noProof/>
              </w:rPr>
              <w:t xml:space="preserve"> </w:t>
            </w:r>
            <w:r w:rsidR="00311597">
              <w:rPr>
                <w:noProof/>
              </w:rPr>
              <w:t>a</w:t>
            </w:r>
            <w:r w:rsidR="0B8B76C7">
              <w:rPr>
                <w:noProof/>
              </w:rPr>
              <w:t xml:space="preserve"> </w:t>
            </w:r>
            <w:r w:rsidR="24923987">
              <w:rPr>
                <w:noProof/>
              </w:rPr>
              <w:t>harmonised</w:t>
            </w:r>
            <w:r w:rsidR="0B8B76C7">
              <w:rPr>
                <w:noProof/>
              </w:rPr>
              <w:t xml:space="preserve"> legal form for</w:t>
            </w:r>
            <w:r w:rsidR="24923987">
              <w:rPr>
                <w:noProof/>
              </w:rPr>
              <w:t xml:space="preserve"> s</w:t>
            </w:r>
            <w:r w:rsidR="5233DB37">
              <w:rPr>
                <w:noProof/>
              </w:rPr>
              <w:t>tartup</w:t>
            </w:r>
            <w:r w:rsidR="24923987">
              <w:rPr>
                <w:noProof/>
              </w:rPr>
              <w:t>s and s</w:t>
            </w:r>
            <w:r w:rsidR="66A0FF49">
              <w:rPr>
                <w:noProof/>
              </w:rPr>
              <w:t>caleup</w:t>
            </w:r>
            <w:r w:rsidR="24923987">
              <w:rPr>
                <w:noProof/>
              </w:rPr>
              <w:t xml:space="preserve">s. </w:t>
            </w:r>
            <w:r w:rsidR="0B8B76C7">
              <w:rPr>
                <w:noProof/>
              </w:rPr>
              <w:t xml:space="preserve"> </w:t>
            </w:r>
          </w:p>
          <w:p w14:paraId="6D7CD39E" w14:textId="3C6DEEF7" w:rsidR="00CF5993" w:rsidRPr="00C167EC" w:rsidRDefault="3F6945ED" w:rsidP="25CA0D31">
            <w:pPr>
              <w:jc w:val="both"/>
              <w:rPr>
                <w:i/>
                <w:iCs/>
                <w:noProof/>
              </w:rPr>
            </w:pPr>
            <w:r>
              <w:rPr>
                <w:noProof/>
              </w:rPr>
              <w:t>While all options would p</w:t>
            </w:r>
            <w:r w:rsidR="7CC5DB67">
              <w:rPr>
                <w:noProof/>
              </w:rPr>
              <w:t>rovide a common legal form for 28</w:t>
            </w:r>
            <w:r w:rsidR="7CC5DB67" w:rsidRPr="25CA0D31">
              <w:rPr>
                <w:noProof/>
                <w:vertAlign w:val="superscript"/>
              </w:rPr>
              <w:t>th</w:t>
            </w:r>
            <w:r w:rsidR="7CC5DB67">
              <w:rPr>
                <w:noProof/>
              </w:rPr>
              <w:t xml:space="preserve"> regime companies</w:t>
            </w:r>
            <w:r w:rsidR="24AD2FD2">
              <w:rPr>
                <w:noProof/>
              </w:rPr>
              <w:t xml:space="preserve"> with a recognisable brand</w:t>
            </w:r>
            <w:r w:rsidR="7CC5DB67">
              <w:rPr>
                <w:noProof/>
              </w:rPr>
              <w:t xml:space="preserve">, </w:t>
            </w:r>
            <w:r w:rsidR="6A3F2B87">
              <w:rPr>
                <w:noProof/>
              </w:rPr>
              <w:t>PO</w:t>
            </w:r>
            <w:r w:rsidR="051BCAB7">
              <w:rPr>
                <w:noProof/>
              </w:rPr>
              <w:t xml:space="preserve">1b </w:t>
            </w:r>
            <w:r w:rsidR="64D23858">
              <w:rPr>
                <w:noProof/>
              </w:rPr>
              <w:t>and P</w:t>
            </w:r>
            <w:r w:rsidR="0F7E22AA">
              <w:rPr>
                <w:noProof/>
              </w:rPr>
              <w:t>O</w:t>
            </w:r>
            <w:r w:rsidR="64D23858">
              <w:rPr>
                <w:noProof/>
              </w:rPr>
              <w:t>1</w:t>
            </w:r>
            <w:r w:rsidR="3CE68D77">
              <w:rPr>
                <w:noProof/>
              </w:rPr>
              <w:t>c</w:t>
            </w:r>
            <w:r w:rsidR="111F2468">
              <w:rPr>
                <w:noProof/>
              </w:rPr>
              <w:t xml:space="preserve"> would </w:t>
            </w:r>
            <w:r w:rsidR="7E09A5DE">
              <w:rPr>
                <w:noProof/>
              </w:rPr>
              <w:t xml:space="preserve">make </w:t>
            </w:r>
            <w:r w:rsidR="0077188A">
              <w:rPr>
                <w:noProof/>
              </w:rPr>
              <w:t>it</w:t>
            </w:r>
            <w:r w:rsidR="111F2468">
              <w:rPr>
                <w:noProof/>
              </w:rPr>
              <w:t xml:space="preserve"> </w:t>
            </w:r>
            <w:r w:rsidR="5F09EC12">
              <w:rPr>
                <w:noProof/>
              </w:rPr>
              <w:t xml:space="preserve">available </w:t>
            </w:r>
            <w:r w:rsidR="0A8B6C56">
              <w:rPr>
                <w:noProof/>
              </w:rPr>
              <w:t xml:space="preserve">for </w:t>
            </w:r>
            <w:r w:rsidR="7E09A5DE">
              <w:rPr>
                <w:noProof/>
              </w:rPr>
              <w:t>potential s</w:t>
            </w:r>
            <w:r w:rsidR="3C2A4D98">
              <w:rPr>
                <w:noProof/>
              </w:rPr>
              <w:t>tartup</w:t>
            </w:r>
            <w:r w:rsidR="7E09A5DE">
              <w:rPr>
                <w:noProof/>
              </w:rPr>
              <w:t xml:space="preserve"> founders</w:t>
            </w:r>
            <w:r w:rsidR="50494876">
              <w:rPr>
                <w:noProof/>
              </w:rPr>
              <w:t xml:space="preserve"> </w:t>
            </w:r>
            <w:r w:rsidR="78066417">
              <w:rPr>
                <w:noProof/>
              </w:rPr>
              <w:t>(</w:t>
            </w:r>
            <w:r w:rsidR="59933C04">
              <w:rPr>
                <w:noProof/>
              </w:rPr>
              <w:t xml:space="preserve">natural </w:t>
            </w:r>
            <w:r w:rsidR="78066417">
              <w:rPr>
                <w:noProof/>
              </w:rPr>
              <w:t>persons)</w:t>
            </w:r>
            <w:r w:rsidR="50494876">
              <w:rPr>
                <w:noProof/>
              </w:rPr>
              <w:t xml:space="preserve"> and</w:t>
            </w:r>
            <w:r w:rsidR="2BAFE345">
              <w:rPr>
                <w:noProof/>
              </w:rPr>
              <w:t xml:space="preserve"> also</w:t>
            </w:r>
            <w:r w:rsidR="50494876">
              <w:rPr>
                <w:noProof/>
              </w:rPr>
              <w:t xml:space="preserve"> </w:t>
            </w:r>
            <w:r w:rsidR="728AD25A">
              <w:rPr>
                <w:noProof/>
              </w:rPr>
              <w:t>for</w:t>
            </w:r>
            <w:r w:rsidR="59933C04">
              <w:rPr>
                <w:noProof/>
              </w:rPr>
              <w:t xml:space="preserve"> legal persons (</w:t>
            </w:r>
            <w:r w:rsidR="001C2AA8">
              <w:rPr>
                <w:noProof/>
              </w:rPr>
              <w:t xml:space="preserve">thus </w:t>
            </w:r>
            <w:r w:rsidR="009F5D21">
              <w:rPr>
                <w:noProof/>
              </w:rPr>
              <w:t xml:space="preserve">benefitting also </w:t>
            </w:r>
            <w:r w:rsidR="438012BC">
              <w:rPr>
                <w:noProof/>
              </w:rPr>
              <w:t>groups</w:t>
            </w:r>
            <w:r w:rsidR="007607A5">
              <w:rPr>
                <w:noProof/>
              </w:rPr>
              <w:t>, whose parent</w:t>
            </w:r>
            <w:r w:rsidR="438012BC" w:rsidDel="007607A5">
              <w:rPr>
                <w:noProof/>
              </w:rPr>
              <w:t xml:space="preserve"> </w:t>
            </w:r>
            <w:r w:rsidR="438012BC">
              <w:rPr>
                <w:noProof/>
              </w:rPr>
              <w:t>compan</w:t>
            </w:r>
            <w:r w:rsidR="007607A5">
              <w:rPr>
                <w:noProof/>
              </w:rPr>
              <w:t>ies</w:t>
            </w:r>
            <w:r w:rsidR="438012BC">
              <w:rPr>
                <w:noProof/>
              </w:rPr>
              <w:t xml:space="preserve"> </w:t>
            </w:r>
            <w:r w:rsidR="59933C04">
              <w:rPr>
                <w:noProof/>
              </w:rPr>
              <w:t xml:space="preserve">could </w:t>
            </w:r>
            <w:r w:rsidR="438012BC">
              <w:rPr>
                <w:noProof/>
              </w:rPr>
              <w:t>be founder</w:t>
            </w:r>
            <w:r w:rsidR="005247E2">
              <w:rPr>
                <w:noProof/>
              </w:rPr>
              <w:t>s of 28</w:t>
            </w:r>
            <w:r w:rsidR="005247E2" w:rsidRPr="00656E8D">
              <w:rPr>
                <w:noProof/>
                <w:vertAlign w:val="superscript"/>
              </w:rPr>
              <w:t>th</w:t>
            </w:r>
            <w:r w:rsidR="005247E2">
              <w:rPr>
                <w:noProof/>
              </w:rPr>
              <w:t xml:space="preserve"> regime companies</w:t>
            </w:r>
            <w:r w:rsidR="54720498">
              <w:rPr>
                <w:noProof/>
              </w:rPr>
              <w:t>)</w:t>
            </w:r>
            <w:r w:rsidR="438012BC">
              <w:rPr>
                <w:noProof/>
              </w:rPr>
              <w:t xml:space="preserve">. </w:t>
            </w:r>
            <w:r w:rsidR="698CF2A7">
              <w:rPr>
                <w:noProof/>
              </w:rPr>
              <w:t xml:space="preserve">In the public consultation, </w:t>
            </w:r>
            <w:r w:rsidR="698CF2A7" w:rsidRPr="25CA0D31">
              <w:rPr>
                <w:rFonts w:cs="Times New Roman"/>
                <w:noProof/>
                <w:lang w:val="en-IE"/>
              </w:rPr>
              <w:t>85% of respondents replied that both entrepreneurs and groups of companies (both natural and legal persons) should be able to set up a 28</w:t>
            </w:r>
            <w:r w:rsidR="698CF2A7" w:rsidRPr="25CA0D31">
              <w:rPr>
                <w:rFonts w:cs="Times New Roman"/>
                <w:noProof/>
                <w:vertAlign w:val="superscript"/>
                <w:lang w:val="en-IE"/>
              </w:rPr>
              <w:t>th</w:t>
            </w:r>
            <w:r w:rsidR="698CF2A7" w:rsidRPr="25CA0D31">
              <w:rPr>
                <w:rFonts w:cs="Times New Roman"/>
                <w:noProof/>
                <w:lang w:val="en-IE"/>
              </w:rPr>
              <w:t xml:space="preserve"> regime company</w:t>
            </w:r>
            <w:r w:rsidR="5276C5BA" w:rsidRPr="25CA0D31">
              <w:rPr>
                <w:rFonts w:cs="Times New Roman"/>
                <w:noProof/>
                <w:lang w:val="en-IE"/>
              </w:rPr>
              <w:t>.</w:t>
            </w:r>
            <w:r w:rsidR="6A20B66D" w:rsidRPr="25CA0D31">
              <w:rPr>
                <w:rFonts w:cs="Times New Roman"/>
                <w:noProof/>
                <w:lang w:val="en-IE"/>
              </w:rPr>
              <w:t xml:space="preserve"> </w:t>
            </w:r>
            <w:r w:rsidR="0D324C6F" w:rsidRPr="25CA0D31">
              <w:rPr>
                <w:rFonts w:cs="Times New Roman"/>
                <w:noProof/>
                <w:lang w:val="en-IE"/>
              </w:rPr>
              <w:t>O</w:t>
            </w:r>
            <w:r w:rsidR="7608E958" w:rsidRPr="25CA0D31">
              <w:rPr>
                <w:rFonts w:cs="Times New Roman"/>
                <w:noProof/>
                <w:lang w:val="en-IE"/>
              </w:rPr>
              <w:t xml:space="preserve">ption </w:t>
            </w:r>
            <w:r w:rsidR="3067FA07" w:rsidRPr="25CA0D31">
              <w:rPr>
                <w:rFonts w:cs="Times New Roman"/>
                <w:noProof/>
                <w:lang w:val="en-IE"/>
              </w:rPr>
              <w:t>1</w:t>
            </w:r>
            <w:r w:rsidR="47D8E692" w:rsidRPr="25CA0D31">
              <w:rPr>
                <w:rFonts w:cs="Times New Roman"/>
                <w:noProof/>
                <w:lang w:val="en-IE"/>
              </w:rPr>
              <w:t xml:space="preserve">b would </w:t>
            </w:r>
            <w:r w:rsidR="0D324C6F" w:rsidRPr="25CA0D31">
              <w:rPr>
                <w:rFonts w:cs="Times New Roman"/>
                <w:noProof/>
                <w:lang w:val="en-IE"/>
              </w:rPr>
              <w:t xml:space="preserve">in addition </w:t>
            </w:r>
            <w:r w:rsidR="47D8E692" w:rsidRPr="25CA0D31">
              <w:rPr>
                <w:rFonts w:cs="Times New Roman"/>
                <w:noProof/>
                <w:lang w:val="en-IE"/>
              </w:rPr>
              <w:t xml:space="preserve">make it possible </w:t>
            </w:r>
            <w:r w:rsidR="49B73716" w:rsidRPr="25CA0D31">
              <w:rPr>
                <w:rFonts w:cs="Times New Roman"/>
                <w:noProof/>
                <w:lang w:val="en-IE"/>
              </w:rPr>
              <w:t>to create a 28</w:t>
            </w:r>
            <w:r w:rsidR="49B73716" w:rsidRPr="25CA0D31">
              <w:rPr>
                <w:rFonts w:cs="Times New Roman"/>
                <w:noProof/>
                <w:vertAlign w:val="superscript"/>
                <w:lang w:val="en-IE"/>
              </w:rPr>
              <w:t>th</w:t>
            </w:r>
            <w:r w:rsidR="49B73716" w:rsidRPr="25CA0D31">
              <w:rPr>
                <w:rFonts w:cs="Times New Roman"/>
                <w:noProof/>
                <w:lang w:val="en-IE"/>
              </w:rPr>
              <w:t xml:space="preserve"> regime company through domestic conversion</w:t>
            </w:r>
            <w:r w:rsidR="70F410EE" w:rsidRPr="25CA0D31">
              <w:rPr>
                <w:rFonts w:cs="Times New Roman"/>
                <w:noProof/>
                <w:lang w:val="en-IE"/>
              </w:rPr>
              <w:t xml:space="preserve">, </w:t>
            </w:r>
            <w:r w:rsidR="70F410EE">
              <w:rPr>
                <w:noProof/>
              </w:rPr>
              <w:t>w</w:t>
            </w:r>
            <w:r w:rsidR="6C2F27EA">
              <w:rPr>
                <w:noProof/>
              </w:rPr>
              <w:t xml:space="preserve">hile the </w:t>
            </w:r>
            <w:r w:rsidR="6B00A8F1">
              <w:rPr>
                <w:noProof/>
              </w:rPr>
              <w:t>P</w:t>
            </w:r>
            <w:r w:rsidR="6C2F27EA">
              <w:rPr>
                <w:noProof/>
              </w:rPr>
              <w:t>O</w:t>
            </w:r>
            <w:r w:rsidR="6B00A8F1">
              <w:rPr>
                <w:noProof/>
              </w:rPr>
              <w:t xml:space="preserve">2c would </w:t>
            </w:r>
            <w:r w:rsidR="6C2F27EA">
              <w:rPr>
                <w:noProof/>
              </w:rPr>
              <w:t xml:space="preserve">in addition provide that </w:t>
            </w:r>
            <w:r w:rsidR="00C537AA">
              <w:rPr>
                <w:noProof/>
              </w:rPr>
              <w:t>a</w:t>
            </w:r>
            <w:r w:rsidR="6C2F27EA">
              <w:rPr>
                <w:noProof/>
              </w:rPr>
              <w:t xml:space="preserve"> </w:t>
            </w:r>
            <w:r w:rsidR="5B340903">
              <w:rPr>
                <w:noProof/>
              </w:rPr>
              <w:t>28th regime company</w:t>
            </w:r>
            <w:r w:rsidR="766D6FAC">
              <w:rPr>
                <w:noProof/>
              </w:rPr>
              <w:t xml:space="preserve"> </w:t>
            </w:r>
            <w:r w:rsidR="5FD74B67">
              <w:rPr>
                <w:noProof/>
              </w:rPr>
              <w:t>could be formed through cross-border merger</w:t>
            </w:r>
            <w:r w:rsidR="4510213C">
              <w:rPr>
                <w:noProof/>
              </w:rPr>
              <w:t>s</w:t>
            </w:r>
            <w:r w:rsidR="5FD74B67">
              <w:rPr>
                <w:noProof/>
              </w:rPr>
              <w:t>, division</w:t>
            </w:r>
            <w:r w:rsidR="4510213C">
              <w:rPr>
                <w:noProof/>
              </w:rPr>
              <w:t>s</w:t>
            </w:r>
            <w:r w:rsidR="5FD74B67">
              <w:rPr>
                <w:noProof/>
              </w:rPr>
              <w:t xml:space="preserve"> or conversions</w:t>
            </w:r>
            <w:r w:rsidR="78ECADE1">
              <w:rPr>
                <w:noProof/>
              </w:rPr>
              <w:t>. A creation of th</w:t>
            </w:r>
            <w:r w:rsidR="1DCDE678">
              <w:rPr>
                <w:noProof/>
              </w:rPr>
              <w:t>e</w:t>
            </w:r>
            <w:r w:rsidR="78ECADE1">
              <w:rPr>
                <w:noProof/>
              </w:rPr>
              <w:t xml:space="preserve"> </w:t>
            </w:r>
            <w:r w:rsidR="1B7B1144">
              <w:rPr>
                <w:noProof/>
              </w:rPr>
              <w:t>28</w:t>
            </w:r>
            <w:r w:rsidR="1B7B1144" w:rsidRPr="25CA0D31">
              <w:rPr>
                <w:noProof/>
                <w:vertAlign w:val="superscript"/>
              </w:rPr>
              <w:t>th</w:t>
            </w:r>
            <w:r w:rsidR="78ECADE1">
              <w:rPr>
                <w:noProof/>
              </w:rPr>
              <w:t xml:space="preserve"> regime company through </w:t>
            </w:r>
            <w:r w:rsidR="1B7B1144">
              <w:rPr>
                <w:noProof/>
              </w:rPr>
              <w:t xml:space="preserve">a </w:t>
            </w:r>
            <w:r w:rsidR="76DB4ACC">
              <w:rPr>
                <w:noProof/>
              </w:rPr>
              <w:t xml:space="preserve">conversion </w:t>
            </w:r>
            <w:r w:rsidR="3BC76CD3">
              <w:rPr>
                <w:noProof/>
              </w:rPr>
              <w:t>was</w:t>
            </w:r>
            <w:r w:rsidR="493B8CB4">
              <w:rPr>
                <w:noProof/>
              </w:rPr>
              <w:t xml:space="preserve"> supported by </w:t>
            </w:r>
            <w:r w:rsidR="6F373C93">
              <w:rPr>
                <w:noProof/>
              </w:rPr>
              <w:t>over</w:t>
            </w:r>
            <w:r w:rsidR="3BC76CD3">
              <w:rPr>
                <w:noProof/>
              </w:rPr>
              <w:t xml:space="preserve"> </w:t>
            </w:r>
            <w:r w:rsidR="328BD220">
              <w:rPr>
                <w:noProof/>
              </w:rPr>
              <w:t>8</w:t>
            </w:r>
            <w:r w:rsidR="6F373C93">
              <w:rPr>
                <w:noProof/>
              </w:rPr>
              <w:t>0</w:t>
            </w:r>
            <w:r w:rsidR="3BC76CD3">
              <w:rPr>
                <w:noProof/>
              </w:rPr>
              <w:t>% of respondents to the public consultation</w:t>
            </w:r>
            <w:r w:rsidR="5BA6EDB5">
              <w:rPr>
                <w:noProof/>
              </w:rPr>
              <w:t xml:space="preserve">. </w:t>
            </w:r>
          </w:p>
        </w:tc>
      </w:tr>
    </w:tbl>
    <w:p w14:paraId="7269E796" w14:textId="77777777" w:rsidR="00912326" w:rsidRDefault="00912326" w:rsidP="00BF65B7">
      <w:pPr>
        <w:pStyle w:val="Caption"/>
        <w:spacing w:after="0"/>
        <w:jc w:val="both"/>
        <w:rPr>
          <w:noProof/>
          <w:sz w:val="24"/>
          <w:szCs w:val="24"/>
        </w:rPr>
      </w:pPr>
    </w:p>
    <w:p w14:paraId="7A50D0CB" w14:textId="15ECF6BB" w:rsidR="004C599B" w:rsidRPr="00D80F11" w:rsidRDefault="004C599B" w:rsidP="00BF65B7">
      <w:pPr>
        <w:pStyle w:val="Caption"/>
        <w:spacing w:after="0"/>
        <w:jc w:val="both"/>
        <w:rPr>
          <w:b/>
          <w:noProof/>
          <w:sz w:val="24"/>
          <w:szCs w:val="24"/>
        </w:rPr>
      </w:pPr>
      <w:r w:rsidRPr="00D80F11">
        <w:rPr>
          <w:noProof/>
          <w:sz w:val="24"/>
          <w:szCs w:val="24"/>
        </w:rPr>
        <w:t xml:space="preserve">Table </w:t>
      </w:r>
      <w:r w:rsidRPr="00D80F11">
        <w:rPr>
          <w:b/>
          <w:noProof/>
          <w:sz w:val="24"/>
          <w:szCs w:val="24"/>
        </w:rPr>
        <w:fldChar w:fldCharType="begin"/>
      </w:r>
      <w:r w:rsidRPr="00D80F11">
        <w:rPr>
          <w:noProof/>
          <w:sz w:val="24"/>
          <w:szCs w:val="24"/>
        </w:rPr>
        <w:instrText xml:space="preserve"> SEQ Table \* ARABIC </w:instrText>
      </w:r>
      <w:r w:rsidRPr="00D80F11">
        <w:rPr>
          <w:b/>
          <w:noProof/>
          <w:sz w:val="24"/>
          <w:szCs w:val="24"/>
        </w:rPr>
        <w:fldChar w:fldCharType="separate"/>
      </w:r>
      <w:r w:rsidR="00B312D6">
        <w:rPr>
          <w:noProof/>
          <w:sz w:val="24"/>
          <w:szCs w:val="24"/>
        </w:rPr>
        <w:t>2</w:t>
      </w:r>
      <w:r w:rsidRPr="00D80F11">
        <w:rPr>
          <w:b/>
          <w:noProof/>
          <w:sz w:val="24"/>
          <w:szCs w:val="24"/>
        </w:rPr>
        <w:fldChar w:fldCharType="end"/>
      </w:r>
      <w:r w:rsidRPr="00D80F11">
        <w:rPr>
          <w:noProof/>
          <w:sz w:val="24"/>
          <w:szCs w:val="24"/>
        </w:rPr>
        <w:t xml:space="preserve">: Effectiveness of policy options </w:t>
      </w:r>
      <w:r>
        <w:rPr>
          <w:noProof/>
          <w:sz w:val="24"/>
          <w:szCs w:val="24"/>
        </w:rPr>
        <w:t>2</w:t>
      </w:r>
      <w:r w:rsidRPr="00D80F11">
        <w:rPr>
          <w:noProof/>
          <w:sz w:val="24"/>
          <w:szCs w:val="24"/>
        </w:rPr>
        <w:t xml:space="preserve"> </w:t>
      </w:r>
      <w:r w:rsidRPr="004C599B">
        <w:rPr>
          <w:noProof/>
          <w:sz w:val="24"/>
          <w:szCs w:val="24"/>
        </w:rPr>
        <w:t xml:space="preserve">to make registration of </w:t>
      </w:r>
      <w:r>
        <w:rPr>
          <w:noProof/>
          <w:sz w:val="24"/>
          <w:szCs w:val="24"/>
        </w:rPr>
        <w:t xml:space="preserve">companies, in particular </w:t>
      </w:r>
      <w:r w:rsidRPr="60F133DC">
        <w:rPr>
          <w:noProof/>
          <w:sz w:val="24"/>
          <w:szCs w:val="24"/>
        </w:rPr>
        <w:t>s</w:t>
      </w:r>
      <w:r w:rsidR="062CE61C" w:rsidRPr="60F133DC">
        <w:rPr>
          <w:noProof/>
          <w:sz w:val="24"/>
          <w:szCs w:val="24"/>
        </w:rPr>
        <w:t>tartup</w:t>
      </w:r>
      <w:r w:rsidRPr="60F133DC">
        <w:rPr>
          <w:noProof/>
          <w:sz w:val="24"/>
          <w:szCs w:val="24"/>
        </w:rPr>
        <w:t>s</w:t>
      </w:r>
      <w:r w:rsidRPr="004C599B">
        <w:rPr>
          <w:noProof/>
          <w:sz w:val="24"/>
          <w:szCs w:val="24"/>
        </w:rPr>
        <w:t xml:space="preserve"> quicker and simpler</w:t>
      </w:r>
      <w:r w:rsidR="00EB4D43">
        <w:rPr>
          <w:noProof/>
          <w:sz w:val="24"/>
          <w:szCs w:val="24"/>
        </w:rPr>
        <w:t xml:space="preserve"> </w:t>
      </w:r>
    </w:p>
    <w:p w14:paraId="283D74E6" w14:textId="25D75262" w:rsidR="004C599B" w:rsidRDefault="004C599B" w:rsidP="00C4288E">
      <w:pPr>
        <w:pStyle w:val="ListParagraph"/>
        <w:numPr>
          <w:ilvl w:val="0"/>
          <w:numId w:val="15"/>
        </w:numPr>
        <w:tabs>
          <w:tab w:val="left" w:pos="170"/>
        </w:tabs>
        <w:jc w:val="both"/>
        <w:rPr>
          <w:noProof/>
        </w:rPr>
      </w:pPr>
      <w:r>
        <w:rPr>
          <w:noProof/>
        </w:rPr>
        <w:t xml:space="preserve">Policy option 2a - </w:t>
      </w:r>
      <w:r w:rsidRPr="004C599B">
        <w:rPr>
          <w:noProof/>
        </w:rPr>
        <w:t>Create an EU single interface based on BRIS for the registration of 28</w:t>
      </w:r>
      <w:r w:rsidRPr="3012C217">
        <w:rPr>
          <w:noProof/>
          <w:vertAlign w:val="superscript"/>
        </w:rPr>
        <w:t>th</w:t>
      </w:r>
      <w:r w:rsidRPr="004C599B">
        <w:rPr>
          <w:noProof/>
        </w:rPr>
        <w:t xml:space="preserve"> regime companies with harmonised bilingual templates (EN/national language) and preventive administrative, judicial or notarial control</w:t>
      </w:r>
      <w:r w:rsidR="00983B20">
        <w:rPr>
          <w:noProof/>
        </w:rPr>
        <w:t>.</w:t>
      </w:r>
    </w:p>
    <w:p w14:paraId="4D999D8B" w14:textId="0FE6C050" w:rsidR="006D4471" w:rsidRPr="006D4471" w:rsidRDefault="006D4471" w:rsidP="00C4288E">
      <w:pPr>
        <w:pStyle w:val="ListParagraph"/>
        <w:numPr>
          <w:ilvl w:val="0"/>
          <w:numId w:val="15"/>
        </w:numPr>
        <w:tabs>
          <w:tab w:val="left" w:pos="170"/>
        </w:tabs>
        <w:ind w:left="714" w:hanging="357"/>
        <w:jc w:val="both"/>
        <w:rPr>
          <w:bCs/>
          <w:noProof/>
          <w:szCs w:val="20"/>
          <w:lang w:val="en-US"/>
        </w:rPr>
      </w:pPr>
      <w:r w:rsidRPr="006D4471">
        <w:rPr>
          <w:bCs/>
          <w:noProof/>
          <w:szCs w:val="20"/>
          <w:lang w:val="en-US"/>
        </w:rPr>
        <w:t>Policy Option 2b: Option 2a + introduc</w:t>
      </w:r>
      <w:r w:rsidR="00353780">
        <w:rPr>
          <w:bCs/>
          <w:noProof/>
          <w:szCs w:val="20"/>
          <w:lang w:val="en-US"/>
        </w:rPr>
        <w:t>e</w:t>
      </w:r>
      <w:r w:rsidRPr="006D4471">
        <w:rPr>
          <w:bCs/>
          <w:noProof/>
          <w:szCs w:val="20"/>
          <w:lang w:val="en-US"/>
        </w:rPr>
        <w:t xml:space="preserve"> a deadline (48 hours) </w:t>
      </w:r>
      <w:r w:rsidRPr="006D4471" w:rsidDel="00925B24">
        <w:rPr>
          <w:bCs/>
          <w:noProof/>
          <w:szCs w:val="20"/>
          <w:lang w:val="en-US"/>
        </w:rPr>
        <w:t xml:space="preserve">and cost ceiling </w:t>
      </w:r>
      <w:r w:rsidRPr="006D4471">
        <w:rPr>
          <w:bCs/>
          <w:noProof/>
          <w:szCs w:val="20"/>
          <w:lang w:val="en-US"/>
        </w:rPr>
        <w:t xml:space="preserve">of </w:t>
      </w:r>
      <w:r w:rsidR="008D68A0">
        <w:rPr>
          <w:bCs/>
          <w:noProof/>
          <w:szCs w:val="20"/>
          <w:lang w:val="en-US"/>
        </w:rPr>
        <w:t>EUR </w:t>
      </w:r>
      <w:r w:rsidRPr="006D4471">
        <w:rPr>
          <w:bCs/>
          <w:noProof/>
          <w:szCs w:val="20"/>
          <w:lang w:val="en-US"/>
        </w:rPr>
        <w:t>100 to complete the registration including the preventive administrative, judicial or notarial control when the standardised template is used by founders as natural persons.</w:t>
      </w:r>
    </w:p>
    <w:p w14:paraId="193838D8" w14:textId="09905169" w:rsidR="004C599B" w:rsidRDefault="004C599B" w:rsidP="00C4288E">
      <w:pPr>
        <w:pStyle w:val="ListParagraph"/>
        <w:numPr>
          <w:ilvl w:val="0"/>
          <w:numId w:val="15"/>
        </w:numPr>
        <w:tabs>
          <w:tab w:val="left" w:pos="170"/>
        </w:tabs>
        <w:spacing w:before="0"/>
        <w:ind w:left="714" w:hanging="357"/>
        <w:jc w:val="both"/>
        <w:rPr>
          <w:noProof/>
        </w:rPr>
      </w:pPr>
      <w:r>
        <w:rPr>
          <w:noProof/>
        </w:rPr>
        <w:t xml:space="preserve">Policy option 2c - </w:t>
      </w:r>
      <w:r w:rsidRPr="004C599B">
        <w:rPr>
          <w:noProof/>
        </w:rPr>
        <w:t>As option 2b but</w:t>
      </w:r>
      <w:r w:rsidR="004D38E1">
        <w:rPr>
          <w:noProof/>
        </w:rPr>
        <w:t xml:space="preserve"> with </w:t>
      </w:r>
      <w:r w:rsidR="0060142A" w:rsidRPr="006D4471">
        <w:rPr>
          <w:bCs/>
          <w:noProof/>
          <w:szCs w:val="20"/>
          <w:lang w:val="en-US"/>
        </w:rPr>
        <w:t xml:space="preserve">preventive control </w:t>
      </w:r>
      <w:r w:rsidR="00CB5E33">
        <w:rPr>
          <w:bCs/>
          <w:noProof/>
          <w:szCs w:val="20"/>
          <w:lang w:val="en-US"/>
        </w:rPr>
        <w:t xml:space="preserve">by judicial or </w:t>
      </w:r>
      <w:r w:rsidR="0060142A" w:rsidRPr="006D4471">
        <w:rPr>
          <w:bCs/>
          <w:noProof/>
          <w:szCs w:val="20"/>
          <w:lang w:val="en-US"/>
        </w:rPr>
        <w:t>administrative</w:t>
      </w:r>
      <w:r w:rsidR="00CB5E33">
        <w:rPr>
          <w:bCs/>
          <w:noProof/>
          <w:szCs w:val="20"/>
          <w:lang w:val="en-US"/>
        </w:rPr>
        <w:t xml:space="preserve"> authorities</w:t>
      </w:r>
      <w:r w:rsidR="0060142A" w:rsidRPr="006D4471">
        <w:rPr>
          <w:bCs/>
          <w:noProof/>
          <w:szCs w:val="20"/>
          <w:lang w:val="en-US"/>
        </w:rPr>
        <w:t xml:space="preserve"> </w:t>
      </w:r>
      <w:r w:rsidR="00644B02">
        <w:rPr>
          <w:bCs/>
          <w:noProof/>
          <w:szCs w:val="20"/>
          <w:lang w:val="en-US"/>
        </w:rPr>
        <w:t>(excluding notari</w:t>
      </w:r>
      <w:r w:rsidR="00E932FF">
        <w:rPr>
          <w:bCs/>
          <w:noProof/>
          <w:szCs w:val="20"/>
          <w:lang w:val="en-US"/>
        </w:rPr>
        <w:t>es</w:t>
      </w:r>
      <w:r w:rsidR="00644B02">
        <w:rPr>
          <w:bCs/>
          <w:noProof/>
          <w:szCs w:val="20"/>
          <w:lang w:val="en-US"/>
        </w:rPr>
        <w:t xml:space="preserve">) </w:t>
      </w:r>
      <w:r w:rsidR="0060142A" w:rsidRPr="006D4471">
        <w:rPr>
          <w:bCs/>
          <w:noProof/>
          <w:szCs w:val="20"/>
          <w:lang w:val="en-US"/>
        </w:rPr>
        <w:t xml:space="preserve">when the </w:t>
      </w:r>
      <w:r w:rsidR="00CB5E33" w:rsidRPr="006D4471">
        <w:rPr>
          <w:bCs/>
          <w:noProof/>
          <w:szCs w:val="20"/>
          <w:lang w:val="en-US"/>
        </w:rPr>
        <w:t>standardized</w:t>
      </w:r>
      <w:r w:rsidR="0060142A" w:rsidRPr="006D4471">
        <w:rPr>
          <w:bCs/>
          <w:noProof/>
          <w:szCs w:val="20"/>
          <w:lang w:val="en-US"/>
        </w:rPr>
        <w:t xml:space="preserve"> template is used by founders as natural persons</w:t>
      </w:r>
      <w:r w:rsidR="00983B20">
        <w:rPr>
          <w:noProof/>
        </w:rPr>
        <w:t>.</w:t>
      </w:r>
    </w:p>
    <w:p w14:paraId="7BAA6B54" w14:textId="77777777" w:rsidR="00296868" w:rsidRDefault="001676A1" w:rsidP="00AB404A">
      <w:pPr>
        <w:tabs>
          <w:tab w:val="left" w:pos="170"/>
        </w:tabs>
        <w:jc w:val="both"/>
        <w:rPr>
          <w:noProof/>
          <w:szCs w:val="20"/>
          <w:lang w:val="en-IE"/>
        </w:rPr>
      </w:pPr>
      <w:r w:rsidRPr="00296E82">
        <w:rPr>
          <w:noProof/>
          <w:szCs w:val="20"/>
          <w:lang w:val="en-IE"/>
        </w:rPr>
        <w:t>These policy options would address the</w:t>
      </w:r>
      <w:r w:rsidR="000C322B" w:rsidRPr="00296E82">
        <w:rPr>
          <w:noProof/>
          <w:szCs w:val="20"/>
          <w:lang w:val="en-IE"/>
        </w:rPr>
        <w:t xml:space="preserve"> following drivers: </w:t>
      </w:r>
    </w:p>
    <w:p w14:paraId="011C0EB6" w14:textId="3925AA28" w:rsidR="00296868" w:rsidRPr="00296868" w:rsidRDefault="00F252CC" w:rsidP="00C4288E">
      <w:pPr>
        <w:pStyle w:val="ListParagraph"/>
        <w:numPr>
          <w:ilvl w:val="0"/>
          <w:numId w:val="20"/>
        </w:numPr>
        <w:tabs>
          <w:tab w:val="left" w:pos="170"/>
        </w:tabs>
        <w:jc w:val="both"/>
        <w:rPr>
          <w:noProof/>
          <w:lang w:val="en-IE"/>
        </w:rPr>
      </w:pPr>
      <w:r w:rsidRPr="00A623E7">
        <w:rPr>
          <w:noProof/>
        </w:rPr>
        <w:t>Different</w:t>
      </w:r>
      <w:r w:rsidR="001676A1" w:rsidRPr="00A623E7">
        <w:rPr>
          <w:noProof/>
        </w:rPr>
        <w:t xml:space="preserve"> national company legal forms and </w:t>
      </w:r>
      <w:r w:rsidRPr="00A623E7">
        <w:rPr>
          <w:noProof/>
        </w:rPr>
        <w:t>lack</w:t>
      </w:r>
      <w:r w:rsidR="001676A1" w:rsidRPr="00A623E7">
        <w:rPr>
          <w:noProof/>
        </w:rPr>
        <w:t xml:space="preserve"> of </w:t>
      </w:r>
      <w:r w:rsidRPr="00A623E7">
        <w:rPr>
          <w:noProof/>
        </w:rPr>
        <w:t>an</w:t>
      </w:r>
      <w:r w:rsidR="001676A1" w:rsidRPr="00A623E7">
        <w:rPr>
          <w:noProof/>
        </w:rPr>
        <w:t xml:space="preserve"> EU brand for s</w:t>
      </w:r>
      <w:r w:rsidR="70454CF8" w:rsidRPr="00A623E7">
        <w:rPr>
          <w:noProof/>
        </w:rPr>
        <w:t>tartup</w:t>
      </w:r>
      <w:r w:rsidR="001676A1" w:rsidRPr="00A623E7">
        <w:rPr>
          <w:noProof/>
        </w:rPr>
        <w:t>s</w:t>
      </w:r>
      <w:r w:rsidR="00296868" w:rsidRPr="60F133DC">
        <w:rPr>
          <w:noProof/>
          <w:lang w:val="en-IE"/>
        </w:rPr>
        <w:t>,</w:t>
      </w:r>
      <w:r w:rsidR="001676A1" w:rsidRPr="60F133DC">
        <w:rPr>
          <w:noProof/>
          <w:lang w:val="en-IE"/>
        </w:rPr>
        <w:t xml:space="preserve"> </w:t>
      </w:r>
      <w:r w:rsidR="000C322B" w:rsidRPr="60F133DC">
        <w:rPr>
          <w:noProof/>
          <w:lang w:val="en-IE"/>
        </w:rPr>
        <w:t xml:space="preserve">and </w:t>
      </w:r>
    </w:p>
    <w:p w14:paraId="1B8049EA" w14:textId="63312BA8" w:rsidR="001676A1" w:rsidRPr="00296E82" w:rsidRDefault="000C322B" w:rsidP="00C4288E">
      <w:pPr>
        <w:pStyle w:val="ListParagraph"/>
        <w:numPr>
          <w:ilvl w:val="0"/>
          <w:numId w:val="20"/>
        </w:numPr>
        <w:tabs>
          <w:tab w:val="left" w:pos="170"/>
        </w:tabs>
        <w:jc w:val="both"/>
        <w:rPr>
          <w:noProof/>
          <w:szCs w:val="20"/>
          <w:lang w:val="en-IE"/>
        </w:rPr>
      </w:pPr>
      <w:r w:rsidRPr="00296E82">
        <w:rPr>
          <w:noProof/>
          <w:szCs w:val="20"/>
          <w:lang w:val="en-IE"/>
        </w:rPr>
        <w:t xml:space="preserve">insufficient availability of digital tools and procedures during </w:t>
      </w:r>
      <w:r w:rsidR="0024239F" w:rsidRPr="0024239F">
        <w:rPr>
          <w:noProof/>
          <w:szCs w:val="20"/>
          <w:lang w:val="en-IE"/>
        </w:rPr>
        <w:t>company</w:t>
      </w:r>
      <w:r w:rsidRPr="00296E82">
        <w:rPr>
          <w:noProof/>
          <w:szCs w:val="20"/>
          <w:lang w:val="en-IE"/>
        </w:rPr>
        <w:t xml:space="preserve"> set-up. </w:t>
      </w:r>
    </w:p>
    <w:p w14:paraId="38515294" w14:textId="77777777" w:rsidR="001676A1" w:rsidRPr="00AB404A" w:rsidRDefault="001676A1" w:rsidP="004C599B">
      <w:pPr>
        <w:pStyle w:val="ListParagraph"/>
        <w:tabs>
          <w:tab w:val="left" w:pos="170"/>
        </w:tabs>
        <w:spacing w:before="0" w:after="0"/>
        <w:jc w:val="both"/>
        <w:rPr>
          <w:noProof/>
          <w:lang w:val="en-IE"/>
        </w:rPr>
      </w:pPr>
    </w:p>
    <w:tbl>
      <w:tblPr>
        <w:tblStyle w:val="TableGrid"/>
        <w:tblW w:w="9781" w:type="dxa"/>
        <w:tblInd w:w="-147" w:type="dxa"/>
        <w:tblLayout w:type="fixed"/>
        <w:tblLook w:val="04A0" w:firstRow="1" w:lastRow="0" w:firstColumn="1" w:lastColumn="0" w:noHBand="0" w:noVBand="1"/>
      </w:tblPr>
      <w:tblGrid>
        <w:gridCol w:w="2528"/>
        <w:gridCol w:w="860"/>
        <w:gridCol w:w="856"/>
        <w:gridCol w:w="860"/>
        <w:gridCol w:w="4677"/>
      </w:tblGrid>
      <w:tr w:rsidR="00B12AD9" w14:paraId="4365D96E" w14:textId="77777777" w:rsidTr="00597D21">
        <w:trPr>
          <w:trHeight w:val="299"/>
        </w:trPr>
        <w:tc>
          <w:tcPr>
            <w:tcW w:w="2528" w:type="dxa"/>
            <w:shd w:val="clear" w:color="auto" w:fill="B8CCE4" w:themeFill="accent1" w:themeFillTint="66"/>
          </w:tcPr>
          <w:p w14:paraId="1CE96321" w14:textId="77777777" w:rsidR="004C599B" w:rsidRPr="005C4BC3" w:rsidRDefault="004C599B">
            <w:pPr>
              <w:rPr>
                <w:noProof/>
              </w:rPr>
            </w:pPr>
          </w:p>
        </w:tc>
        <w:tc>
          <w:tcPr>
            <w:tcW w:w="860" w:type="dxa"/>
            <w:shd w:val="clear" w:color="auto" w:fill="B8CCE4" w:themeFill="accent1" w:themeFillTint="66"/>
          </w:tcPr>
          <w:p w14:paraId="408CA65B" w14:textId="1D6B0330" w:rsidR="004C599B" w:rsidRPr="005C4BC3" w:rsidRDefault="004C599B">
            <w:pPr>
              <w:jc w:val="center"/>
              <w:rPr>
                <w:noProof/>
              </w:rPr>
            </w:pPr>
            <w:r w:rsidRPr="005C4BC3">
              <w:rPr>
                <w:noProof/>
              </w:rPr>
              <w:t>PO</w:t>
            </w:r>
            <w:r>
              <w:rPr>
                <w:noProof/>
              </w:rPr>
              <w:t>2</w:t>
            </w:r>
            <w:r w:rsidRPr="005C4BC3">
              <w:rPr>
                <w:noProof/>
              </w:rPr>
              <w:t>a</w:t>
            </w:r>
          </w:p>
        </w:tc>
        <w:tc>
          <w:tcPr>
            <w:tcW w:w="856" w:type="dxa"/>
            <w:shd w:val="clear" w:color="auto" w:fill="B8CCE4" w:themeFill="accent1" w:themeFillTint="66"/>
          </w:tcPr>
          <w:p w14:paraId="6ED6C1D4" w14:textId="3E9D593D" w:rsidR="004C599B" w:rsidRPr="005C4BC3" w:rsidRDefault="004C599B">
            <w:pPr>
              <w:jc w:val="center"/>
              <w:rPr>
                <w:noProof/>
              </w:rPr>
            </w:pPr>
            <w:r w:rsidRPr="005C4BC3">
              <w:rPr>
                <w:noProof/>
              </w:rPr>
              <w:t>PO</w:t>
            </w:r>
            <w:r>
              <w:rPr>
                <w:noProof/>
              </w:rPr>
              <w:t>2</w:t>
            </w:r>
            <w:r w:rsidRPr="005C4BC3">
              <w:rPr>
                <w:noProof/>
              </w:rPr>
              <w:t>b</w:t>
            </w:r>
          </w:p>
        </w:tc>
        <w:tc>
          <w:tcPr>
            <w:tcW w:w="860" w:type="dxa"/>
            <w:shd w:val="clear" w:color="auto" w:fill="B8CCE4" w:themeFill="accent1" w:themeFillTint="66"/>
          </w:tcPr>
          <w:p w14:paraId="3FD6DAE0" w14:textId="6F2F2D7E" w:rsidR="004C599B" w:rsidRPr="005C4BC3" w:rsidRDefault="004C599B">
            <w:pPr>
              <w:jc w:val="center"/>
              <w:rPr>
                <w:noProof/>
              </w:rPr>
            </w:pPr>
            <w:r w:rsidRPr="005C4BC3">
              <w:rPr>
                <w:noProof/>
              </w:rPr>
              <w:t>PO</w:t>
            </w:r>
            <w:r>
              <w:rPr>
                <w:noProof/>
              </w:rPr>
              <w:t>2</w:t>
            </w:r>
            <w:r w:rsidRPr="005C4BC3">
              <w:rPr>
                <w:noProof/>
              </w:rPr>
              <w:t>c</w:t>
            </w:r>
          </w:p>
        </w:tc>
        <w:tc>
          <w:tcPr>
            <w:tcW w:w="4677" w:type="dxa"/>
            <w:shd w:val="clear" w:color="auto" w:fill="B8CCE4" w:themeFill="accent1" w:themeFillTint="66"/>
          </w:tcPr>
          <w:p w14:paraId="30979CC4" w14:textId="77777777" w:rsidR="004C599B" w:rsidRPr="005C4BC3" w:rsidRDefault="004C599B">
            <w:pPr>
              <w:rPr>
                <w:noProof/>
              </w:rPr>
            </w:pPr>
            <w:r w:rsidRPr="005C4BC3">
              <w:rPr>
                <w:noProof/>
              </w:rPr>
              <w:t>Motivation</w:t>
            </w:r>
          </w:p>
        </w:tc>
      </w:tr>
      <w:tr w:rsidR="004C599B" w:rsidRPr="00423F8E" w14:paraId="4805FE61" w14:textId="77777777" w:rsidTr="00597D21">
        <w:trPr>
          <w:trHeight w:val="539"/>
        </w:trPr>
        <w:tc>
          <w:tcPr>
            <w:tcW w:w="2528" w:type="dxa"/>
          </w:tcPr>
          <w:p w14:paraId="35531CB7" w14:textId="3C325769" w:rsidR="004C599B" w:rsidRPr="005C4BC3" w:rsidRDefault="004C599B">
            <w:pPr>
              <w:rPr>
                <w:noProof/>
              </w:rPr>
            </w:pPr>
            <w:r w:rsidRPr="60F133DC">
              <w:rPr>
                <w:b/>
                <w:noProof/>
              </w:rPr>
              <w:t xml:space="preserve">Specific </w:t>
            </w:r>
            <w:r w:rsidR="7AD48D46" w:rsidRPr="3012C217">
              <w:rPr>
                <w:b/>
                <w:bCs/>
                <w:noProof/>
              </w:rPr>
              <w:t>O</w:t>
            </w:r>
            <w:r w:rsidR="071131A4" w:rsidRPr="3012C217">
              <w:rPr>
                <w:b/>
                <w:bCs/>
                <w:noProof/>
              </w:rPr>
              <w:t>bjective</w:t>
            </w:r>
            <w:r w:rsidRPr="60F133DC">
              <w:rPr>
                <w:b/>
                <w:noProof/>
              </w:rPr>
              <w:t xml:space="preserve"> 1:</w:t>
            </w:r>
            <w:r w:rsidRPr="60F133DC">
              <w:rPr>
                <w:noProof/>
              </w:rPr>
              <w:t xml:space="preserve">  </w:t>
            </w:r>
            <w:r w:rsidR="00D22996" w:rsidRPr="60F133DC">
              <w:rPr>
                <w:noProof/>
              </w:rPr>
              <w:t xml:space="preserve">Provide </w:t>
            </w:r>
            <w:r w:rsidRPr="60F133DC">
              <w:rPr>
                <w:noProof/>
              </w:rPr>
              <w:t xml:space="preserve">a common corporate legal framework for </w:t>
            </w:r>
            <w:r>
              <w:rPr>
                <w:noProof/>
              </w:rPr>
              <w:t xml:space="preserve">companies, in particular </w:t>
            </w:r>
            <w:r w:rsidRPr="60F133DC">
              <w:rPr>
                <w:noProof/>
              </w:rPr>
              <w:t>s</w:t>
            </w:r>
            <w:r w:rsidR="70454CF8" w:rsidRPr="60F133DC">
              <w:rPr>
                <w:noProof/>
              </w:rPr>
              <w:t>tartup</w:t>
            </w:r>
            <w:r w:rsidRPr="60F133DC">
              <w:rPr>
                <w:noProof/>
              </w:rPr>
              <w:t xml:space="preserve">s and </w:t>
            </w:r>
            <w:r w:rsidRPr="7DEE8D98">
              <w:rPr>
                <w:noProof/>
              </w:rPr>
              <w:t>s</w:t>
            </w:r>
            <w:r w:rsidR="49A1F7CF" w:rsidRPr="7DEE8D98">
              <w:rPr>
                <w:noProof/>
              </w:rPr>
              <w:t>caleup</w:t>
            </w:r>
            <w:r w:rsidRPr="7DEE8D98">
              <w:rPr>
                <w:noProof/>
              </w:rPr>
              <w:t>s</w:t>
            </w:r>
            <w:r w:rsidRPr="60F133DC">
              <w:rPr>
                <w:noProof/>
              </w:rPr>
              <w:t xml:space="preserve"> in the EU</w:t>
            </w:r>
          </w:p>
        </w:tc>
        <w:tc>
          <w:tcPr>
            <w:tcW w:w="860" w:type="dxa"/>
          </w:tcPr>
          <w:p w14:paraId="50816475" w14:textId="3F92E175" w:rsidR="004C599B" w:rsidRPr="005C4BC3" w:rsidRDefault="00A360AC">
            <w:pPr>
              <w:jc w:val="center"/>
              <w:rPr>
                <w:rFonts w:cstheme="minorHAnsi"/>
                <w:noProof/>
                <w:szCs w:val="20"/>
              </w:rPr>
            </w:pPr>
            <w:r>
              <w:rPr>
                <w:rFonts w:cstheme="minorHAnsi"/>
                <w:noProof/>
                <w:szCs w:val="20"/>
              </w:rPr>
              <w:t>2</w:t>
            </w:r>
          </w:p>
        </w:tc>
        <w:tc>
          <w:tcPr>
            <w:tcW w:w="856" w:type="dxa"/>
          </w:tcPr>
          <w:p w14:paraId="0EF7BD64" w14:textId="00E01887" w:rsidR="004C599B" w:rsidRPr="005C4BC3" w:rsidRDefault="00A360AC">
            <w:pPr>
              <w:jc w:val="center"/>
              <w:rPr>
                <w:rFonts w:cstheme="minorHAnsi"/>
                <w:noProof/>
                <w:szCs w:val="20"/>
              </w:rPr>
            </w:pPr>
            <w:r>
              <w:rPr>
                <w:rFonts w:cstheme="minorHAnsi"/>
                <w:noProof/>
                <w:szCs w:val="20"/>
              </w:rPr>
              <w:t>3</w:t>
            </w:r>
          </w:p>
        </w:tc>
        <w:tc>
          <w:tcPr>
            <w:tcW w:w="860" w:type="dxa"/>
          </w:tcPr>
          <w:p w14:paraId="5129537C" w14:textId="52C4C199" w:rsidR="004C599B" w:rsidRPr="005C4BC3" w:rsidRDefault="004A3940">
            <w:pPr>
              <w:jc w:val="center"/>
              <w:rPr>
                <w:rFonts w:cstheme="minorHAnsi"/>
                <w:noProof/>
                <w:szCs w:val="20"/>
              </w:rPr>
            </w:pPr>
            <w:r>
              <w:rPr>
                <w:rFonts w:cstheme="minorHAnsi"/>
                <w:noProof/>
                <w:szCs w:val="20"/>
              </w:rPr>
              <w:t>3</w:t>
            </w:r>
          </w:p>
        </w:tc>
        <w:tc>
          <w:tcPr>
            <w:tcW w:w="4677" w:type="dxa"/>
          </w:tcPr>
          <w:p w14:paraId="397491B1" w14:textId="4DA39F9F" w:rsidR="004C599B" w:rsidRPr="003F5FB6" w:rsidRDefault="00CE5A41" w:rsidP="0022214D">
            <w:pPr>
              <w:jc w:val="both"/>
              <w:rPr>
                <w:noProof/>
              </w:rPr>
            </w:pPr>
            <w:r>
              <w:rPr>
                <w:noProof/>
              </w:rPr>
              <w:t xml:space="preserve">While the common rules would be </w:t>
            </w:r>
            <w:r w:rsidR="005D5EA9">
              <w:rPr>
                <w:noProof/>
              </w:rPr>
              <w:t>in principle provided by the</w:t>
            </w:r>
            <w:r w:rsidR="004131BE">
              <w:rPr>
                <w:noProof/>
              </w:rPr>
              <w:t xml:space="preserve"> policy</w:t>
            </w:r>
            <w:r w:rsidR="005D5EA9">
              <w:rPr>
                <w:noProof/>
              </w:rPr>
              <w:t xml:space="preserve"> options 1 through a </w:t>
            </w:r>
            <w:r w:rsidR="00966C6A">
              <w:rPr>
                <w:noProof/>
              </w:rPr>
              <w:t xml:space="preserve">common legal form and also through </w:t>
            </w:r>
            <w:r w:rsidR="007638AF">
              <w:rPr>
                <w:noProof/>
              </w:rPr>
              <w:t xml:space="preserve">policy options 5, 6 and 7 through specific common measures, the policy options </w:t>
            </w:r>
            <w:r w:rsidR="00734CCD">
              <w:rPr>
                <w:noProof/>
              </w:rPr>
              <w:t>2</w:t>
            </w:r>
            <w:r w:rsidR="007638AF">
              <w:rPr>
                <w:noProof/>
              </w:rPr>
              <w:t xml:space="preserve"> would complement those by providing a common </w:t>
            </w:r>
            <w:r w:rsidR="00845BF1">
              <w:rPr>
                <w:noProof/>
              </w:rPr>
              <w:t>EU system for registration of 28</w:t>
            </w:r>
            <w:r w:rsidR="00845BF1" w:rsidRPr="00264933">
              <w:rPr>
                <w:noProof/>
                <w:vertAlign w:val="superscript"/>
              </w:rPr>
              <w:t>th</w:t>
            </w:r>
            <w:r w:rsidR="00845BF1">
              <w:rPr>
                <w:noProof/>
              </w:rPr>
              <w:t xml:space="preserve"> regime companies. </w:t>
            </w:r>
            <w:r w:rsidR="00734CCD">
              <w:rPr>
                <w:noProof/>
              </w:rPr>
              <w:t>Calls for a single EU interface for registration of 28</w:t>
            </w:r>
            <w:r w:rsidR="00734CCD" w:rsidRPr="00764ED1">
              <w:rPr>
                <w:noProof/>
                <w:vertAlign w:val="superscript"/>
              </w:rPr>
              <w:t>th</w:t>
            </w:r>
            <w:r w:rsidR="00734CCD">
              <w:rPr>
                <w:noProof/>
              </w:rPr>
              <w:t xml:space="preserve"> regime companies were an important part of the overall call for common EU rules, both in replies, in particular</w:t>
            </w:r>
            <w:r w:rsidR="00394DBD">
              <w:rPr>
                <w:noProof/>
              </w:rPr>
              <w:t>,</w:t>
            </w:r>
            <w:r w:rsidR="00734CCD">
              <w:rPr>
                <w:noProof/>
              </w:rPr>
              <w:t xml:space="preserve"> from companies and founders</w:t>
            </w:r>
            <w:r w:rsidR="006777C1">
              <w:rPr>
                <w:noProof/>
              </w:rPr>
              <w:t>,</w:t>
            </w:r>
            <w:r w:rsidR="00734CCD">
              <w:rPr>
                <w:noProof/>
              </w:rPr>
              <w:t xml:space="preserve"> to the consultation but also in calls from the </w:t>
            </w:r>
            <w:r w:rsidR="0450EBFD">
              <w:rPr>
                <w:noProof/>
              </w:rPr>
              <w:t>s</w:t>
            </w:r>
            <w:r w:rsidR="1FB8C74D">
              <w:rPr>
                <w:noProof/>
              </w:rPr>
              <w:t>tartup</w:t>
            </w:r>
            <w:r w:rsidR="00734CCD">
              <w:rPr>
                <w:noProof/>
              </w:rPr>
              <w:t xml:space="preserve"> community (e.g. in EU Inc proposal). </w:t>
            </w:r>
            <w:r w:rsidR="009002F7">
              <w:rPr>
                <w:noProof/>
              </w:rPr>
              <w:t>P</w:t>
            </w:r>
            <w:r w:rsidR="004E657E">
              <w:rPr>
                <w:noProof/>
              </w:rPr>
              <w:t>O</w:t>
            </w:r>
            <w:r w:rsidR="009002F7">
              <w:rPr>
                <w:noProof/>
              </w:rPr>
              <w:t xml:space="preserve">2a </w:t>
            </w:r>
            <w:r w:rsidR="00C26021">
              <w:rPr>
                <w:noProof/>
              </w:rPr>
              <w:t xml:space="preserve">would already </w:t>
            </w:r>
            <w:r w:rsidR="00845BF1">
              <w:rPr>
                <w:noProof/>
              </w:rPr>
              <w:t xml:space="preserve">be </w:t>
            </w:r>
            <w:r w:rsidR="00C26021">
              <w:rPr>
                <w:noProof/>
              </w:rPr>
              <w:t xml:space="preserve">an important step towards a common </w:t>
            </w:r>
            <w:r w:rsidR="002A2178">
              <w:rPr>
                <w:noProof/>
              </w:rPr>
              <w:t>framework, but</w:t>
            </w:r>
            <w:r w:rsidR="00EC2DCD">
              <w:rPr>
                <w:noProof/>
              </w:rPr>
              <w:t xml:space="preserve"> </w:t>
            </w:r>
            <w:r w:rsidR="004B2D49">
              <w:rPr>
                <w:noProof/>
              </w:rPr>
              <w:t>P</w:t>
            </w:r>
            <w:r w:rsidR="004E657E">
              <w:rPr>
                <w:noProof/>
              </w:rPr>
              <w:t>O</w:t>
            </w:r>
            <w:r w:rsidR="004B2D49">
              <w:rPr>
                <w:noProof/>
              </w:rPr>
              <w:t xml:space="preserve">2b </w:t>
            </w:r>
            <w:r w:rsidR="00E84419">
              <w:rPr>
                <w:noProof/>
              </w:rPr>
              <w:t xml:space="preserve">would </w:t>
            </w:r>
            <w:r w:rsidR="00845BF1">
              <w:rPr>
                <w:noProof/>
              </w:rPr>
              <w:t>be more effective</w:t>
            </w:r>
            <w:r w:rsidR="00001CC4">
              <w:rPr>
                <w:noProof/>
              </w:rPr>
              <w:t xml:space="preserve"> in meeting the objective</w:t>
            </w:r>
            <w:r w:rsidR="00E84419">
              <w:rPr>
                <w:noProof/>
              </w:rPr>
              <w:t xml:space="preserve"> </w:t>
            </w:r>
            <w:r w:rsidR="00F74C53">
              <w:rPr>
                <w:noProof/>
              </w:rPr>
              <w:t xml:space="preserve">by </w:t>
            </w:r>
            <w:r w:rsidR="00B25B4C">
              <w:rPr>
                <w:noProof/>
              </w:rPr>
              <w:t>provid</w:t>
            </w:r>
            <w:r w:rsidR="00F74C53">
              <w:rPr>
                <w:noProof/>
              </w:rPr>
              <w:t>ing</w:t>
            </w:r>
            <w:r w:rsidR="00B25B4C">
              <w:rPr>
                <w:noProof/>
              </w:rPr>
              <w:t xml:space="preserve"> </w:t>
            </w:r>
            <w:r w:rsidR="00F74C53">
              <w:rPr>
                <w:noProof/>
              </w:rPr>
              <w:t>also</w:t>
            </w:r>
            <w:r w:rsidR="00B25B4C">
              <w:rPr>
                <w:noProof/>
              </w:rPr>
              <w:t xml:space="preserve"> harmonised deadline and price ceiling for </w:t>
            </w:r>
            <w:r w:rsidR="00F61F77">
              <w:rPr>
                <w:noProof/>
              </w:rPr>
              <w:t>the registration</w:t>
            </w:r>
            <w:r w:rsidR="00D720F9">
              <w:rPr>
                <w:noProof/>
              </w:rPr>
              <w:t>.</w:t>
            </w:r>
            <w:r w:rsidR="00FF2BA4">
              <w:rPr>
                <w:noProof/>
              </w:rPr>
              <w:t xml:space="preserve"> </w:t>
            </w:r>
            <w:r w:rsidR="00E7093E">
              <w:rPr>
                <w:noProof/>
              </w:rPr>
              <w:t>Removing notarial involvement under P</w:t>
            </w:r>
            <w:r w:rsidR="004E657E">
              <w:rPr>
                <w:noProof/>
              </w:rPr>
              <w:t>O2</w:t>
            </w:r>
            <w:r w:rsidR="00E7093E">
              <w:rPr>
                <w:noProof/>
              </w:rPr>
              <w:t xml:space="preserve">c would not </w:t>
            </w:r>
            <w:r w:rsidR="0056551B">
              <w:rPr>
                <w:noProof/>
              </w:rPr>
              <w:t>change the overall effectiveness</w:t>
            </w:r>
            <w:r w:rsidR="00847630">
              <w:rPr>
                <w:noProof/>
              </w:rPr>
              <w:t>.</w:t>
            </w:r>
            <w:r w:rsidR="0056551B">
              <w:rPr>
                <w:noProof/>
              </w:rPr>
              <w:t xml:space="preserve"> </w:t>
            </w:r>
            <w:r w:rsidR="00847630">
              <w:rPr>
                <w:noProof/>
              </w:rPr>
              <w:t>The</w:t>
            </w:r>
            <w:r w:rsidR="00E7093E">
              <w:rPr>
                <w:noProof/>
              </w:rPr>
              <w:t xml:space="preserve"> responsibility for preventive control would need to be taken over by other authorities in Member States</w:t>
            </w:r>
            <w:r w:rsidR="00BF6435">
              <w:rPr>
                <w:noProof/>
              </w:rPr>
              <w:t xml:space="preserve"> and </w:t>
            </w:r>
            <w:r w:rsidR="003069B0">
              <w:rPr>
                <w:noProof/>
              </w:rPr>
              <w:t xml:space="preserve">would </w:t>
            </w:r>
            <w:r w:rsidR="00BF6435">
              <w:rPr>
                <w:noProof/>
              </w:rPr>
              <w:t xml:space="preserve">thus </w:t>
            </w:r>
            <w:r w:rsidR="00034E45">
              <w:rPr>
                <w:noProof/>
              </w:rPr>
              <w:t>impact Mem</w:t>
            </w:r>
            <w:r w:rsidR="00950EB4">
              <w:rPr>
                <w:noProof/>
              </w:rPr>
              <w:t>ber States legal systems and traditions</w:t>
            </w:r>
            <w:r w:rsidR="00372140">
              <w:rPr>
                <w:noProof/>
              </w:rPr>
              <w:t>.</w:t>
            </w:r>
            <w:r w:rsidR="00FD1CA5">
              <w:rPr>
                <w:noProof/>
              </w:rPr>
              <w:t xml:space="preserve"> </w:t>
            </w:r>
          </w:p>
        </w:tc>
      </w:tr>
      <w:tr w:rsidR="004C599B" w:rsidRPr="00B97033" w14:paraId="5A1CFC18" w14:textId="77777777" w:rsidTr="00597D21">
        <w:trPr>
          <w:trHeight w:val="582"/>
        </w:trPr>
        <w:tc>
          <w:tcPr>
            <w:tcW w:w="2528" w:type="dxa"/>
          </w:tcPr>
          <w:p w14:paraId="28FCA93B" w14:textId="13E7E774" w:rsidR="004C599B" w:rsidRPr="005C4BC3" w:rsidRDefault="004C599B">
            <w:pPr>
              <w:rPr>
                <w:noProof/>
              </w:rPr>
            </w:pPr>
            <w:r w:rsidRPr="60F133DC">
              <w:rPr>
                <w:b/>
                <w:noProof/>
              </w:rPr>
              <w:t>Specific Objective 2:</w:t>
            </w:r>
            <w:r w:rsidRPr="60F133DC">
              <w:rPr>
                <w:noProof/>
              </w:rPr>
              <w:t xml:space="preserve"> </w:t>
            </w:r>
            <w:r w:rsidR="00D22996" w:rsidRPr="60F133DC">
              <w:rPr>
                <w:noProof/>
              </w:rPr>
              <w:t xml:space="preserve">Provide </w:t>
            </w:r>
            <w:r w:rsidRPr="60F133DC">
              <w:rPr>
                <w:noProof/>
              </w:rPr>
              <w:t xml:space="preserve">simple and efficient corporate rules and procedures throughout the </w:t>
            </w:r>
            <w:r>
              <w:rPr>
                <w:noProof/>
              </w:rPr>
              <w:t xml:space="preserve">company </w:t>
            </w:r>
            <w:r w:rsidRPr="60F133DC">
              <w:rPr>
                <w:noProof/>
              </w:rPr>
              <w:t xml:space="preserve">lifecycle </w:t>
            </w:r>
          </w:p>
        </w:tc>
        <w:tc>
          <w:tcPr>
            <w:tcW w:w="860" w:type="dxa"/>
          </w:tcPr>
          <w:p w14:paraId="7FF4F5AD" w14:textId="7022D1F0" w:rsidR="004C599B" w:rsidRPr="005C4BC3" w:rsidRDefault="007D33A2">
            <w:pPr>
              <w:jc w:val="center"/>
              <w:rPr>
                <w:rFonts w:cstheme="minorHAnsi"/>
                <w:noProof/>
                <w:szCs w:val="20"/>
              </w:rPr>
            </w:pPr>
            <w:r>
              <w:rPr>
                <w:rFonts w:cstheme="minorHAnsi"/>
                <w:noProof/>
                <w:szCs w:val="20"/>
              </w:rPr>
              <w:t>3</w:t>
            </w:r>
          </w:p>
        </w:tc>
        <w:tc>
          <w:tcPr>
            <w:tcW w:w="856" w:type="dxa"/>
          </w:tcPr>
          <w:p w14:paraId="7381E55B" w14:textId="11718347" w:rsidR="004C599B" w:rsidRPr="005C4BC3" w:rsidRDefault="007D33A2">
            <w:pPr>
              <w:jc w:val="center"/>
              <w:rPr>
                <w:rFonts w:cstheme="minorHAnsi"/>
                <w:noProof/>
                <w:szCs w:val="20"/>
              </w:rPr>
            </w:pPr>
            <w:r>
              <w:rPr>
                <w:rFonts w:cstheme="minorHAnsi"/>
                <w:noProof/>
                <w:szCs w:val="20"/>
              </w:rPr>
              <w:t>4</w:t>
            </w:r>
          </w:p>
        </w:tc>
        <w:tc>
          <w:tcPr>
            <w:tcW w:w="860" w:type="dxa"/>
          </w:tcPr>
          <w:p w14:paraId="5948C978" w14:textId="332CA1EC" w:rsidR="004C599B" w:rsidRPr="005C4BC3" w:rsidRDefault="00803772">
            <w:pPr>
              <w:jc w:val="center"/>
              <w:rPr>
                <w:rFonts w:cstheme="minorHAnsi"/>
                <w:noProof/>
                <w:szCs w:val="20"/>
              </w:rPr>
            </w:pPr>
            <w:r>
              <w:rPr>
                <w:rFonts w:cstheme="minorHAnsi"/>
                <w:noProof/>
                <w:szCs w:val="20"/>
              </w:rPr>
              <w:t>4</w:t>
            </w:r>
          </w:p>
        </w:tc>
        <w:tc>
          <w:tcPr>
            <w:tcW w:w="4677" w:type="dxa"/>
          </w:tcPr>
          <w:p w14:paraId="25F6AEEF" w14:textId="7EC7CB6B" w:rsidR="00E407AF" w:rsidRPr="00ED392F" w:rsidRDefault="004043DB" w:rsidP="00837BBF">
            <w:pPr>
              <w:spacing w:after="0"/>
              <w:jc w:val="both"/>
              <w:rPr>
                <w:noProof/>
              </w:rPr>
            </w:pPr>
            <w:r w:rsidRPr="00ED392F">
              <w:rPr>
                <w:noProof/>
              </w:rPr>
              <w:t xml:space="preserve">A strong majority of </w:t>
            </w:r>
            <w:r w:rsidR="00D653C1" w:rsidRPr="00ED392F">
              <w:rPr>
                <w:noProof/>
              </w:rPr>
              <w:t xml:space="preserve">respondents to the consultation </w:t>
            </w:r>
            <w:r w:rsidRPr="00ED392F">
              <w:rPr>
                <w:noProof/>
              </w:rPr>
              <w:t xml:space="preserve">expressed </w:t>
            </w:r>
            <w:r w:rsidR="00A051F8" w:rsidRPr="00ED392F">
              <w:rPr>
                <w:noProof/>
              </w:rPr>
              <w:t xml:space="preserve">a </w:t>
            </w:r>
            <w:r w:rsidRPr="00ED392F">
              <w:rPr>
                <w:noProof/>
              </w:rPr>
              <w:t xml:space="preserve">strong </w:t>
            </w:r>
            <w:r w:rsidR="00795460" w:rsidRPr="00ED392F">
              <w:rPr>
                <w:noProof/>
              </w:rPr>
              <w:t xml:space="preserve">preference for fully digital processes without paper-based alternatives </w:t>
            </w:r>
            <w:r w:rsidR="004320DB" w:rsidRPr="00ED392F">
              <w:rPr>
                <w:noProof/>
              </w:rPr>
              <w:t>for 28</w:t>
            </w:r>
            <w:r w:rsidR="004320DB" w:rsidRPr="3012C217">
              <w:rPr>
                <w:noProof/>
                <w:vertAlign w:val="superscript"/>
              </w:rPr>
              <w:t>th</w:t>
            </w:r>
            <w:r w:rsidR="004320DB" w:rsidRPr="00ED392F">
              <w:rPr>
                <w:noProof/>
              </w:rPr>
              <w:t xml:space="preserve"> regime companies and in particular, a strong majority</w:t>
            </w:r>
            <w:r w:rsidR="004836B6" w:rsidRPr="00ED392F">
              <w:rPr>
                <w:noProof/>
              </w:rPr>
              <w:t xml:space="preserve"> thought that </w:t>
            </w:r>
            <w:r w:rsidR="00E407AF" w:rsidRPr="00ED392F">
              <w:rPr>
                <w:noProof/>
              </w:rPr>
              <w:t>a single access point/interface</w:t>
            </w:r>
            <w:r w:rsidR="004836B6" w:rsidRPr="00ED392F">
              <w:rPr>
                <w:noProof/>
              </w:rPr>
              <w:t xml:space="preserve"> and</w:t>
            </w:r>
            <w:r w:rsidR="00E407AF" w:rsidRPr="00ED392F">
              <w:rPr>
                <w:noProof/>
              </w:rPr>
              <w:t xml:space="preserve"> harmonised registration form would contribute to either a very large or large extent to a fast and efficient setting up of 28</w:t>
            </w:r>
            <w:r w:rsidR="00E407AF" w:rsidRPr="3012C217">
              <w:rPr>
                <w:noProof/>
                <w:vertAlign w:val="superscript"/>
              </w:rPr>
              <w:t>th</w:t>
            </w:r>
            <w:r w:rsidR="001A3C3E" w:rsidRPr="00ED392F">
              <w:rPr>
                <w:noProof/>
              </w:rPr>
              <w:t xml:space="preserve"> </w:t>
            </w:r>
            <w:r w:rsidR="00E407AF" w:rsidRPr="00ED392F">
              <w:rPr>
                <w:noProof/>
              </w:rPr>
              <w:t>regime companies.</w:t>
            </w:r>
            <w:r w:rsidR="00452022" w:rsidRPr="00ED392F">
              <w:rPr>
                <w:noProof/>
              </w:rPr>
              <w:t xml:space="preserve"> </w:t>
            </w:r>
            <w:r w:rsidR="008D4BFA" w:rsidRPr="00ED392F">
              <w:rPr>
                <w:noProof/>
              </w:rPr>
              <w:t>Feedback from other sources confirmed</w:t>
            </w:r>
            <w:r w:rsidR="00604F79" w:rsidRPr="00ED392F">
              <w:rPr>
                <w:noProof/>
              </w:rPr>
              <w:t xml:space="preserve"> this, e.g. </w:t>
            </w:r>
            <w:r w:rsidR="00631821" w:rsidRPr="00ED392F">
              <w:rPr>
                <w:noProof/>
              </w:rPr>
              <w:t>companies participating in the workshop thought that having a single website to register 28</w:t>
            </w:r>
            <w:r w:rsidR="00631821" w:rsidRPr="3012C217">
              <w:rPr>
                <w:noProof/>
                <w:vertAlign w:val="superscript"/>
              </w:rPr>
              <w:t>th</w:t>
            </w:r>
            <w:r w:rsidR="00631821" w:rsidRPr="00ED392F">
              <w:rPr>
                <w:noProof/>
              </w:rPr>
              <w:t xml:space="preserve"> regime companies and a single template for registration and articles of association would help to reduce </w:t>
            </w:r>
            <w:r w:rsidR="00342ED3" w:rsidRPr="00ED392F">
              <w:rPr>
                <w:noProof/>
              </w:rPr>
              <w:t>time spent and legal advice costs for companies.</w:t>
            </w:r>
          </w:p>
          <w:p w14:paraId="5865F2B5" w14:textId="554837BE" w:rsidR="004C599B" w:rsidRPr="00ED392F" w:rsidRDefault="00560E75" w:rsidP="00264933">
            <w:pPr>
              <w:spacing w:line="259" w:lineRule="auto"/>
              <w:jc w:val="both"/>
              <w:rPr>
                <w:noProof/>
                <w:sz w:val="24"/>
                <w:szCs w:val="24"/>
                <w:vertAlign w:val="superscript"/>
              </w:rPr>
            </w:pPr>
            <w:r w:rsidRPr="00ED392F">
              <w:rPr>
                <w:noProof/>
              </w:rPr>
              <w:t xml:space="preserve">PO2a will already </w:t>
            </w:r>
            <w:r w:rsidR="0056105A">
              <w:rPr>
                <w:noProof/>
              </w:rPr>
              <w:t xml:space="preserve">contribute to providing </w:t>
            </w:r>
            <w:r w:rsidR="00D20173">
              <w:rPr>
                <w:noProof/>
              </w:rPr>
              <w:t xml:space="preserve">founders with simpler and more efficient procedures </w:t>
            </w:r>
            <w:r w:rsidR="00A20D14" w:rsidRPr="00ED392F">
              <w:rPr>
                <w:noProof/>
              </w:rPr>
              <w:t xml:space="preserve">by </w:t>
            </w:r>
            <w:r w:rsidR="00816D0E" w:rsidRPr="00ED392F">
              <w:rPr>
                <w:noProof/>
              </w:rPr>
              <w:t xml:space="preserve">allowing </w:t>
            </w:r>
            <w:r w:rsidR="00D20173">
              <w:rPr>
                <w:noProof/>
              </w:rPr>
              <w:t>them</w:t>
            </w:r>
            <w:r w:rsidR="00816D0E" w:rsidRPr="00ED392F">
              <w:rPr>
                <w:noProof/>
              </w:rPr>
              <w:t xml:space="preserve"> to register 28th regime companies through one </w:t>
            </w:r>
            <w:r w:rsidR="00A20D14" w:rsidRPr="00ED392F">
              <w:rPr>
                <w:noProof/>
              </w:rPr>
              <w:t xml:space="preserve">EU single interface </w:t>
            </w:r>
            <w:r w:rsidR="00A47160" w:rsidRPr="00ED392F">
              <w:rPr>
                <w:noProof/>
              </w:rPr>
              <w:t xml:space="preserve">and by using a </w:t>
            </w:r>
            <w:r w:rsidR="00A20D14" w:rsidRPr="00ED392F">
              <w:rPr>
                <w:noProof/>
              </w:rPr>
              <w:t>harmonised template</w:t>
            </w:r>
            <w:r w:rsidR="00BB05FA" w:rsidRPr="00ED392F">
              <w:rPr>
                <w:noProof/>
              </w:rPr>
              <w:t xml:space="preserve"> regardless in which Member State they want to set up a 28</w:t>
            </w:r>
            <w:r w:rsidR="00BB05FA" w:rsidRPr="3012C217">
              <w:rPr>
                <w:noProof/>
                <w:vertAlign w:val="superscript"/>
              </w:rPr>
              <w:t>th</w:t>
            </w:r>
            <w:r w:rsidR="00BB05FA" w:rsidRPr="00ED392F">
              <w:rPr>
                <w:noProof/>
              </w:rPr>
              <w:t xml:space="preserve"> regime company. </w:t>
            </w:r>
            <w:r w:rsidR="00CF4826">
              <w:rPr>
                <w:noProof/>
              </w:rPr>
              <w:t xml:space="preserve">However, </w:t>
            </w:r>
            <w:r w:rsidR="003741B9" w:rsidRPr="00ED392F">
              <w:rPr>
                <w:noProof/>
              </w:rPr>
              <w:t xml:space="preserve">PO2b </w:t>
            </w:r>
            <w:r w:rsidR="008D282A" w:rsidRPr="00ED392F">
              <w:rPr>
                <w:noProof/>
              </w:rPr>
              <w:t xml:space="preserve">will be more effective as </w:t>
            </w:r>
            <w:r w:rsidR="005B0C21">
              <w:rPr>
                <w:noProof/>
              </w:rPr>
              <w:t>an</w:t>
            </w:r>
            <w:r w:rsidR="00CF4826">
              <w:rPr>
                <w:noProof/>
              </w:rPr>
              <w:t xml:space="preserve"> EU single interface with a standard template and harmonised deadline for registration of 28</w:t>
            </w:r>
            <w:r w:rsidR="00CF4826" w:rsidRPr="00D8178F">
              <w:rPr>
                <w:noProof/>
                <w:vertAlign w:val="superscript"/>
              </w:rPr>
              <w:t>th</w:t>
            </w:r>
            <w:r w:rsidR="00CF4826">
              <w:rPr>
                <w:noProof/>
              </w:rPr>
              <w:t xml:space="preserve"> regime company in the whole EU would reduce legal uncertainty and lead to faster planning and lower risk for potential founders. In addition, a cost ceiling for registration would mean a predictable and non-deterrent entry cost for founders</w:t>
            </w:r>
            <w:r w:rsidR="005B0C21">
              <w:rPr>
                <w:noProof/>
              </w:rPr>
              <w:t xml:space="preserve">. While </w:t>
            </w:r>
            <w:r w:rsidR="00877A16" w:rsidRPr="00ED392F">
              <w:rPr>
                <w:noProof/>
              </w:rPr>
              <w:t>PO</w:t>
            </w:r>
            <w:r w:rsidR="001F5771" w:rsidRPr="00ED392F">
              <w:rPr>
                <w:noProof/>
              </w:rPr>
              <w:t xml:space="preserve">2c </w:t>
            </w:r>
            <w:r w:rsidR="00D76A94" w:rsidRPr="00ED392F">
              <w:rPr>
                <w:noProof/>
              </w:rPr>
              <w:t xml:space="preserve">would respond to </w:t>
            </w:r>
            <w:r w:rsidR="009C60BD" w:rsidRPr="00ED392F">
              <w:rPr>
                <w:noProof/>
              </w:rPr>
              <w:t>feedback in the consultation</w:t>
            </w:r>
            <w:r w:rsidR="000A5F21">
              <w:rPr>
                <w:noProof/>
              </w:rPr>
              <w:t>s</w:t>
            </w:r>
            <w:r w:rsidR="009C60BD" w:rsidRPr="00ED392F">
              <w:rPr>
                <w:noProof/>
              </w:rPr>
              <w:t xml:space="preserve"> </w:t>
            </w:r>
            <w:r w:rsidR="003F1C6D">
              <w:rPr>
                <w:noProof/>
              </w:rPr>
              <w:t>about</w:t>
            </w:r>
            <w:r w:rsidR="009C60BD" w:rsidRPr="00ED392F" w:rsidDel="00953837">
              <w:rPr>
                <w:noProof/>
              </w:rPr>
              <w:t xml:space="preserve"> </w:t>
            </w:r>
            <w:r w:rsidR="00D76A94" w:rsidRPr="00ED392F">
              <w:rPr>
                <w:noProof/>
              </w:rPr>
              <w:t xml:space="preserve">the role of </w:t>
            </w:r>
            <w:r w:rsidR="00D77D4D" w:rsidRPr="00ED392F">
              <w:rPr>
                <w:noProof/>
              </w:rPr>
              <w:t xml:space="preserve">notaries </w:t>
            </w:r>
            <w:r w:rsidR="003F1C6D">
              <w:rPr>
                <w:noProof/>
              </w:rPr>
              <w:t>being</w:t>
            </w:r>
            <w:r w:rsidR="00D76A94" w:rsidRPr="00ED392F">
              <w:rPr>
                <w:noProof/>
              </w:rPr>
              <w:t xml:space="preserve"> one of the main factors slowing down the setting up process</w:t>
            </w:r>
            <w:r w:rsidR="008F6A0D">
              <w:rPr>
                <w:noProof/>
              </w:rPr>
              <w:t xml:space="preserve">, </w:t>
            </w:r>
            <w:r w:rsidR="003C6477">
              <w:rPr>
                <w:noProof/>
              </w:rPr>
              <w:t>it would not be more effective in meeting the ob</w:t>
            </w:r>
            <w:r w:rsidR="00CE295A">
              <w:rPr>
                <w:noProof/>
              </w:rPr>
              <w:t>je</w:t>
            </w:r>
            <w:r w:rsidR="003C6477">
              <w:rPr>
                <w:noProof/>
              </w:rPr>
              <w:t>ctive</w:t>
            </w:r>
            <w:r w:rsidR="005F5823">
              <w:rPr>
                <w:noProof/>
              </w:rPr>
              <w:t xml:space="preserve"> given that</w:t>
            </w:r>
            <w:r w:rsidR="003F1C6D">
              <w:rPr>
                <w:noProof/>
              </w:rPr>
              <w:t xml:space="preserve"> </w:t>
            </w:r>
            <w:r w:rsidR="00AE6260">
              <w:rPr>
                <w:noProof/>
              </w:rPr>
              <w:t xml:space="preserve">the preventive control </w:t>
            </w:r>
            <w:r w:rsidR="004511CC" w:rsidRPr="00ED392F">
              <w:rPr>
                <w:noProof/>
              </w:rPr>
              <w:t>would need to be provided by other authorities</w:t>
            </w:r>
            <w:r w:rsidR="00D77D4D" w:rsidRPr="00ED392F">
              <w:rPr>
                <w:noProof/>
              </w:rPr>
              <w:t xml:space="preserve"> instead</w:t>
            </w:r>
            <w:r w:rsidR="00AE6260">
              <w:rPr>
                <w:noProof/>
              </w:rPr>
              <w:t xml:space="preserve"> of notaries</w:t>
            </w:r>
            <w:r w:rsidR="00482672" w:rsidRPr="00ED392F">
              <w:rPr>
                <w:noProof/>
              </w:rPr>
              <w:t>.</w:t>
            </w:r>
            <w:r w:rsidR="00AE6260" w:rsidRPr="3012C217">
              <w:rPr>
                <w:rFonts w:eastAsia="Times New Roman" w:cs="Times New Roman"/>
                <w:noProof/>
                <w:lang w:val="en-IE"/>
              </w:rPr>
              <w:t xml:space="preserve"> All the options integrate the preventive control in</w:t>
            </w:r>
            <w:r w:rsidR="008C7D50" w:rsidRPr="3012C217">
              <w:rPr>
                <w:rFonts w:eastAsia="Times New Roman" w:cs="Times New Roman"/>
                <w:noProof/>
                <w:lang w:val="en-IE"/>
              </w:rPr>
              <w:t>to the</w:t>
            </w:r>
            <w:r w:rsidR="00AE6260" w:rsidRPr="3012C217">
              <w:rPr>
                <w:rFonts w:eastAsia="Times New Roman" w:cs="Times New Roman"/>
                <w:noProof/>
                <w:lang w:val="en-IE"/>
              </w:rPr>
              <w:t xml:space="preserve"> streamlined registration process </w:t>
            </w:r>
            <w:r w:rsidR="00893F78" w:rsidRPr="3012C217">
              <w:rPr>
                <w:rFonts w:eastAsia="Times New Roman" w:cs="Times New Roman"/>
                <w:noProof/>
                <w:lang w:val="en-IE"/>
              </w:rPr>
              <w:t xml:space="preserve">as </w:t>
            </w:r>
            <w:r w:rsidR="00675411" w:rsidRPr="3012C217">
              <w:rPr>
                <w:rFonts w:eastAsia="Times New Roman" w:cs="Times New Roman"/>
                <w:noProof/>
                <w:lang w:val="en-IE"/>
              </w:rPr>
              <w:t>preventive</w:t>
            </w:r>
            <w:r w:rsidR="008C7D50" w:rsidRPr="3012C217">
              <w:rPr>
                <w:rFonts w:eastAsia="Times New Roman" w:cs="Times New Roman"/>
                <w:noProof/>
                <w:lang w:val="en-IE"/>
              </w:rPr>
              <w:t xml:space="preserve"> control</w:t>
            </w:r>
            <w:r w:rsidR="00AE6260" w:rsidRPr="3012C217">
              <w:rPr>
                <w:rFonts w:eastAsia="Times New Roman" w:cs="Times New Roman"/>
                <w:noProof/>
                <w:lang w:val="en-IE"/>
              </w:rPr>
              <w:t xml:space="preserve"> is </w:t>
            </w:r>
            <w:r w:rsidR="008C7D50" w:rsidRPr="2695A8E5">
              <w:rPr>
                <w:noProof/>
              </w:rPr>
              <w:t xml:space="preserve">essential to prevent the creation of abusive or fraudulent companies (letter-box companies linked to tax </w:t>
            </w:r>
            <w:r w:rsidR="008C7D50">
              <w:rPr>
                <w:noProof/>
              </w:rPr>
              <w:t>evasion</w:t>
            </w:r>
            <w:r w:rsidR="008C7D50" w:rsidRPr="2695A8E5">
              <w:rPr>
                <w:noProof/>
              </w:rPr>
              <w:t xml:space="preserve"> and/or money laundering) and also to reduc</w:t>
            </w:r>
            <w:r w:rsidR="0090115A">
              <w:rPr>
                <w:noProof/>
              </w:rPr>
              <w:t>e</w:t>
            </w:r>
            <w:r w:rsidR="008C7D50" w:rsidRPr="2695A8E5">
              <w:rPr>
                <w:noProof/>
              </w:rPr>
              <w:t xml:space="preserve"> administrative formalities. </w:t>
            </w:r>
          </w:p>
        </w:tc>
      </w:tr>
    </w:tbl>
    <w:p w14:paraId="0C9F2A0B" w14:textId="77777777" w:rsidR="004C599B" w:rsidRDefault="004C599B" w:rsidP="004C599B">
      <w:pPr>
        <w:pStyle w:val="Caption"/>
        <w:spacing w:after="0"/>
        <w:rPr>
          <w:noProof/>
          <w:sz w:val="24"/>
          <w:szCs w:val="24"/>
        </w:rPr>
      </w:pPr>
    </w:p>
    <w:p w14:paraId="1D0236DF" w14:textId="0FF4D29C" w:rsidR="004C599B" w:rsidRPr="00D80F11" w:rsidRDefault="004C599B" w:rsidP="00A02B14">
      <w:pPr>
        <w:pStyle w:val="Caption"/>
        <w:spacing w:after="0"/>
        <w:jc w:val="both"/>
        <w:rPr>
          <w:b/>
          <w:noProof/>
          <w:sz w:val="24"/>
          <w:szCs w:val="24"/>
        </w:rPr>
      </w:pPr>
      <w:r w:rsidRPr="00D80F11">
        <w:rPr>
          <w:noProof/>
          <w:sz w:val="24"/>
          <w:szCs w:val="24"/>
        </w:rPr>
        <w:t xml:space="preserve">Table </w:t>
      </w:r>
      <w:r w:rsidRPr="00D80F11">
        <w:rPr>
          <w:b/>
          <w:noProof/>
          <w:sz w:val="24"/>
          <w:szCs w:val="24"/>
        </w:rPr>
        <w:fldChar w:fldCharType="begin"/>
      </w:r>
      <w:r w:rsidRPr="00D80F11">
        <w:rPr>
          <w:noProof/>
          <w:sz w:val="24"/>
          <w:szCs w:val="24"/>
        </w:rPr>
        <w:instrText xml:space="preserve"> SEQ Table \* ARABIC </w:instrText>
      </w:r>
      <w:r w:rsidRPr="00D80F11">
        <w:rPr>
          <w:b/>
          <w:noProof/>
          <w:sz w:val="24"/>
          <w:szCs w:val="24"/>
        </w:rPr>
        <w:fldChar w:fldCharType="separate"/>
      </w:r>
      <w:r w:rsidR="00B312D6">
        <w:rPr>
          <w:noProof/>
          <w:sz w:val="24"/>
          <w:szCs w:val="24"/>
        </w:rPr>
        <w:t>3</w:t>
      </w:r>
      <w:r w:rsidRPr="00D80F11">
        <w:rPr>
          <w:b/>
          <w:noProof/>
          <w:sz w:val="24"/>
          <w:szCs w:val="24"/>
        </w:rPr>
        <w:fldChar w:fldCharType="end"/>
      </w:r>
      <w:r w:rsidRPr="00D80F11">
        <w:rPr>
          <w:noProof/>
          <w:sz w:val="24"/>
          <w:szCs w:val="24"/>
        </w:rPr>
        <w:t xml:space="preserve">: Effectiveness of policy options </w:t>
      </w:r>
      <w:r>
        <w:rPr>
          <w:noProof/>
          <w:sz w:val="24"/>
          <w:szCs w:val="24"/>
        </w:rPr>
        <w:t>3</w:t>
      </w:r>
      <w:r w:rsidRPr="00D80F11">
        <w:rPr>
          <w:noProof/>
          <w:sz w:val="24"/>
          <w:szCs w:val="24"/>
        </w:rPr>
        <w:t xml:space="preserve"> </w:t>
      </w:r>
      <w:r w:rsidRPr="004C599B">
        <w:rPr>
          <w:noProof/>
          <w:sz w:val="24"/>
          <w:szCs w:val="24"/>
        </w:rPr>
        <w:t>to ensure once-only submission of information in the context of registration</w:t>
      </w:r>
      <w:r w:rsidR="00EB4D43">
        <w:rPr>
          <w:noProof/>
          <w:sz w:val="24"/>
          <w:szCs w:val="24"/>
        </w:rPr>
        <w:t xml:space="preserve"> </w:t>
      </w:r>
    </w:p>
    <w:p w14:paraId="41B6B97F" w14:textId="65620B11" w:rsidR="00924B2D" w:rsidRDefault="00924B2D" w:rsidP="00C4288E">
      <w:pPr>
        <w:pStyle w:val="ListParagraph"/>
        <w:numPr>
          <w:ilvl w:val="0"/>
          <w:numId w:val="15"/>
        </w:numPr>
        <w:tabs>
          <w:tab w:val="left" w:pos="170"/>
        </w:tabs>
        <w:jc w:val="both"/>
        <w:rPr>
          <w:noProof/>
        </w:rPr>
      </w:pPr>
      <w:r>
        <w:rPr>
          <w:noProof/>
        </w:rPr>
        <w:t xml:space="preserve">Policy option 3a - </w:t>
      </w:r>
      <w:r w:rsidR="000E5599">
        <w:rPr>
          <w:noProof/>
        </w:rPr>
        <w:t>I</w:t>
      </w:r>
      <w:r w:rsidRPr="00C9711C">
        <w:rPr>
          <w:noProof/>
        </w:rPr>
        <w:t xml:space="preserve">n the context of the registration, </w:t>
      </w:r>
      <w:r w:rsidR="000E5599">
        <w:rPr>
          <w:noProof/>
        </w:rPr>
        <w:t xml:space="preserve">ensure that </w:t>
      </w:r>
      <w:r w:rsidRPr="00C9711C">
        <w:rPr>
          <w:noProof/>
        </w:rPr>
        <w:t xml:space="preserve">the information about the company </w:t>
      </w:r>
      <w:r w:rsidR="001960F7">
        <w:rPr>
          <w:noProof/>
        </w:rPr>
        <w:t xml:space="preserve">is </w:t>
      </w:r>
      <w:r w:rsidRPr="00C9711C">
        <w:rPr>
          <w:noProof/>
        </w:rPr>
        <w:t>transferred from the business register to the authority</w:t>
      </w:r>
      <w:r w:rsidR="00412006" w:rsidRPr="78F07949">
        <w:rPr>
          <w:b/>
          <w:noProof/>
        </w:rPr>
        <w:t xml:space="preserve"> </w:t>
      </w:r>
      <w:r w:rsidR="00412006">
        <w:rPr>
          <w:noProof/>
        </w:rPr>
        <w:t>in charge of issuing the TIN</w:t>
      </w:r>
      <w:r w:rsidR="001E2243" w:rsidRPr="001E2243">
        <w:rPr>
          <w:noProof/>
        </w:rPr>
        <w:t xml:space="preserve"> </w:t>
      </w:r>
      <w:r w:rsidR="001E2243">
        <w:rPr>
          <w:noProof/>
        </w:rPr>
        <w:t>and the VAT identification number</w:t>
      </w:r>
      <w:r w:rsidRPr="00C9711C">
        <w:rPr>
          <w:noProof/>
        </w:rPr>
        <w:t>, to social security authority and to the beneficial ownership register</w:t>
      </w:r>
      <w:r w:rsidR="009C18D5">
        <w:rPr>
          <w:noProof/>
        </w:rPr>
        <w:t>,</w:t>
      </w:r>
      <w:r w:rsidRPr="00C9711C">
        <w:rPr>
          <w:noProof/>
        </w:rPr>
        <w:t xml:space="preserve"> </w:t>
      </w:r>
      <w:r w:rsidR="001C67E7">
        <w:rPr>
          <w:noProof/>
        </w:rPr>
        <w:t xml:space="preserve">with </w:t>
      </w:r>
      <w:r w:rsidR="00067004">
        <w:rPr>
          <w:noProof/>
        </w:rPr>
        <w:t xml:space="preserve">any beneficial ownership information </w:t>
      </w:r>
      <w:r w:rsidR="008A690B">
        <w:rPr>
          <w:noProof/>
        </w:rPr>
        <w:t>as part of</w:t>
      </w:r>
      <w:r w:rsidR="001C67E7" w:rsidRPr="004C599B">
        <w:rPr>
          <w:noProof/>
        </w:rPr>
        <w:t xml:space="preserve"> the </w:t>
      </w:r>
      <w:r w:rsidR="008A690B">
        <w:rPr>
          <w:noProof/>
        </w:rPr>
        <w:t>template</w:t>
      </w:r>
      <w:r w:rsidR="009C18D5">
        <w:rPr>
          <w:noProof/>
        </w:rPr>
        <w:t>,</w:t>
      </w:r>
      <w:r w:rsidR="001C67E7" w:rsidRPr="004C599B">
        <w:rPr>
          <w:noProof/>
        </w:rPr>
        <w:t xml:space="preserve"> </w:t>
      </w:r>
      <w:r w:rsidRPr="00C9711C">
        <w:rPr>
          <w:noProof/>
        </w:rPr>
        <w:t>without the 28</w:t>
      </w:r>
      <w:r w:rsidRPr="78F07949">
        <w:rPr>
          <w:noProof/>
          <w:vertAlign w:val="superscript"/>
        </w:rPr>
        <w:t>th</w:t>
      </w:r>
      <w:r w:rsidRPr="00C9711C">
        <w:rPr>
          <w:noProof/>
        </w:rPr>
        <w:t xml:space="preserve"> regime company needing to submit it again </w:t>
      </w:r>
      <w:r w:rsidR="001960F7">
        <w:rPr>
          <w:noProof/>
        </w:rPr>
        <w:t>(“once-only principle”)</w:t>
      </w:r>
      <w:r w:rsidRPr="00C9711C">
        <w:rPr>
          <w:noProof/>
        </w:rPr>
        <w:t>.</w:t>
      </w:r>
    </w:p>
    <w:p w14:paraId="07F161F0" w14:textId="5315F394" w:rsidR="004C599B" w:rsidRDefault="004C599B" w:rsidP="00C4288E">
      <w:pPr>
        <w:pStyle w:val="ListParagraph"/>
        <w:numPr>
          <w:ilvl w:val="0"/>
          <w:numId w:val="15"/>
        </w:numPr>
        <w:tabs>
          <w:tab w:val="left" w:pos="170"/>
        </w:tabs>
        <w:jc w:val="both"/>
        <w:rPr>
          <w:noProof/>
        </w:rPr>
      </w:pPr>
      <w:r>
        <w:rPr>
          <w:noProof/>
        </w:rPr>
        <w:t xml:space="preserve">Policy option 3b - </w:t>
      </w:r>
      <w:r w:rsidRPr="00926445">
        <w:rPr>
          <w:noProof/>
        </w:rPr>
        <w:t xml:space="preserve">Option </w:t>
      </w:r>
      <w:r>
        <w:rPr>
          <w:noProof/>
        </w:rPr>
        <w:t>3</w:t>
      </w:r>
      <w:r w:rsidRPr="00926445">
        <w:rPr>
          <w:noProof/>
        </w:rPr>
        <w:t xml:space="preserve">a + </w:t>
      </w:r>
      <w:r w:rsidRPr="004C599B">
        <w:rPr>
          <w:noProof/>
        </w:rPr>
        <w:t>the 28</w:t>
      </w:r>
      <w:r w:rsidRPr="35D9E431">
        <w:rPr>
          <w:noProof/>
          <w:vertAlign w:val="superscript"/>
        </w:rPr>
        <w:t>th</w:t>
      </w:r>
      <w:r w:rsidRPr="004C599B">
        <w:rPr>
          <w:noProof/>
        </w:rPr>
        <w:t xml:space="preserve"> regime company would obtain the TIN from the </w:t>
      </w:r>
      <w:r w:rsidR="00FA6289">
        <w:rPr>
          <w:noProof/>
        </w:rPr>
        <w:t xml:space="preserve">relevant </w:t>
      </w:r>
      <w:r w:rsidRPr="004C599B">
        <w:rPr>
          <w:noProof/>
        </w:rPr>
        <w:t xml:space="preserve">authority as part of </w:t>
      </w:r>
      <w:r w:rsidR="00924B2D" w:rsidRPr="00620417">
        <w:rPr>
          <w:noProof/>
        </w:rPr>
        <w:t>the registration process</w:t>
      </w:r>
      <w:r w:rsidR="00120650">
        <w:rPr>
          <w:noProof/>
        </w:rPr>
        <w:t>, with</w:t>
      </w:r>
      <w:r w:rsidRPr="004C599B">
        <w:rPr>
          <w:noProof/>
        </w:rPr>
        <w:t xml:space="preserve"> </w:t>
      </w:r>
      <w:r w:rsidR="00120650">
        <w:rPr>
          <w:noProof/>
        </w:rPr>
        <w:t>a</w:t>
      </w:r>
      <w:r w:rsidRPr="004C599B">
        <w:rPr>
          <w:noProof/>
        </w:rPr>
        <w:t xml:space="preserve">ny additional information needed </w:t>
      </w:r>
      <w:r w:rsidR="00120650">
        <w:rPr>
          <w:noProof/>
        </w:rPr>
        <w:t>to</w:t>
      </w:r>
      <w:r w:rsidRPr="004C599B">
        <w:rPr>
          <w:noProof/>
        </w:rPr>
        <w:t xml:space="preserve"> obtain the TIN </w:t>
      </w:r>
      <w:r w:rsidR="00120650">
        <w:rPr>
          <w:noProof/>
        </w:rPr>
        <w:t>as</w:t>
      </w:r>
      <w:r w:rsidRPr="004C599B">
        <w:rPr>
          <w:noProof/>
        </w:rPr>
        <w:t xml:space="preserve"> part of the template.</w:t>
      </w:r>
    </w:p>
    <w:p w14:paraId="03D38636" w14:textId="15BC2FA2" w:rsidR="004C599B" w:rsidRDefault="004C599B" w:rsidP="00C4288E">
      <w:pPr>
        <w:pStyle w:val="ListParagraph"/>
        <w:numPr>
          <w:ilvl w:val="0"/>
          <w:numId w:val="15"/>
        </w:numPr>
        <w:tabs>
          <w:tab w:val="left" w:pos="170"/>
        </w:tabs>
        <w:spacing w:before="0"/>
        <w:ind w:left="714" w:hanging="357"/>
        <w:jc w:val="both"/>
        <w:rPr>
          <w:noProof/>
        </w:rPr>
      </w:pPr>
      <w:r>
        <w:rPr>
          <w:noProof/>
        </w:rPr>
        <w:t>Policy option 3c - O</w:t>
      </w:r>
      <w:r w:rsidRPr="004C599B">
        <w:rPr>
          <w:noProof/>
        </w:rPr>
        <w:t xml:space="preserve">ption </w:t>
      </w:r>
      <w:r>
        <w:rPr>
          <w:noProof/>
        </w:rPr>
        <w:t>3</w:t>
      </w:r>
      <w:r w:rsidRPr="004C599B">
        <w:rPr>
          <w:noProof/>
        </w:rPr>
        <w:t xml:space="preserve">b </w:t>
      </w:r>
      <w:r>
        <w:rPr>
          <w:noProof/>
        </w:rPr>
        <w:t>+</w:t>
      </w:r>
      <w:r w:rsidRPr="004C599B">
        <w:rPr>
          <w:noProof/>
        </w:rPr>
        <w:t xml:space="preserve"> the 28</w:t>
      </w:r>
      <w:r w:rsidRPr="35D9E431">
        <w:rPr>
          <w:noProof/>
          <w:vertAlign w:val="superscript"/>
        </w:rPr>
        <w:t>th</w:t>
      </w:r>
      <w:r w:rsidRPr="004C599B">
        <w:rPr>
          <w:noProof/>
        </w:rPr>
        <w:t xml:space="preserve"> regime company would obtain the VAT identification number from the </w:t>
      </w:r>
      <w:r w:rsidR="00FA6289">
        <w:rPr>
          <w:noProof/>
        </w:rPr>
        <w:t xml:space="preserve">relevant </w:t>
      </w:r>
      <w:r w:rsidRPr="004C599B">
        <w:rPr>
          <w:noProof/>
        </w:rPr>
        <w:t xml:space="preserve">authority as part of </w:t>
      </w:r>
      <w:r w:rsidR="00924B2D" w:rsidRPr="00924B2D">
        <w:rPr>
          <w:noProof/>
        </w:rPr>
        <w:t xml:space="preserve">the registration process </w:t>
      </w:r>
      <w:r w:rsidR="008229D9">
        <w:rPr>
          <w:noProof/>
        </w:rPr>
        <w:t>(</w:t>
      </w:r>
      <w:r w:rsidR="00924B2D" w:rsidRPr="00924B2D">
        <w:rPr>
          <w:noProof/>
        </w:rPr>
        <w:t xml:space="preserve">unless </w:t>
      </w:r>
      <w:r w:rsidR="00C57D16">
        <w:rPr>
          <w:noProof/>
        </w:rPr>
        <w:t xml:space="preserve">such </w:t>
      </w:r>
      <w:r w:rsidR="007E3AE7">
        <w:rPr>
          <w:noProof/>
        </w:rPr>
        <w:t xml:space="preserve">authorities need </w:t>
      </w:r>
      <w:r w:rsidR="007957F8">
        <w:rPr>
          <w:noProof/>
        </w:rPr>
        <w:t xml:space="preserve">to check </w:t>
      </w:r>
      <w:r w:rsidR="00924B2D" w:rsidRPr="00924B2D">
        <w:rPr>
          <w:noProof/>
        </w:rPr>
        <w:t>more</w:t>
      </w:r>
      <w:r w:rsidRPr="004C599B">
        <w:rPr>
          <w:noProof/>
        </w:rPr>
        <w:t xml:space="preserve"> </w:t>
      </w:r>
      <w:r w:rsidR="00425B8F">
        <w:rPr>
          <w:noProof/>
        </w:rPr>
        <w:t xml:space="preserve">case specific </w:t>
      </w:r>
      <w:r w:rsidRPr="004C599B">
        <w:rPr>
          <w:noProof/>
        </w:rPr>
        <w:t>information</w:t>
      </w:r>
      <w:r w:rsidR="00774DA7">
        <w:rPr>
          <w:noProof/>
        </w:rPr>
        <w:t xml:space="preserve"> than what </w:t>
      </w:r>
      <w:r w:rsidR="006603B3">
        <w:rPr>
          <w:noProof/>
        </w:rPr>
        <w:t>is</w:t>
      </w:r>
      <w:r w:rsidR="00774DA7">
        <w:rPr>
          <w:noProof/>
        </w:rPr>
        <w:t xml:space="preserve"> included in the template</w:t>
      </w:r>
      <w:r w:rsidR="008229D9">
        <w:rPr>
          <w:noProof/>
        </w:rPr>
        <w:t>)</w:t>
      </w:r>
      <w:r w:rsidRPr="004C599B">
        <w:rPr>
          <w:noProof/>
        </w:rPr>
        <w:t>.</w:t>
      </w:r>
    </w:p>
    <w:p w14:paraId="63B26C1D" w14:textId="7674D364" w:rsidR="00276BB0" w:rsidRDefault="008F36E0" w:rsidP="007C2970">
      <w:pPr>
        <w:keepNext/>
        <w:tabs>
          <w:tab w:val="left" w:pos="170"/>
        </w:tabs>
        <w:jc w:val="both"/>
        <w:rPr>
          <w:noProof/>
          <w:szCs w:val="20"/>
          <w:lang w:val="en-IE"/>
        </w:rPr>
      </w:pPr>
      <w:r w:rsidRPr="000F7669">
        <w:rPr>
          <w:noProof/>
          <w:szCs w:val="20"/>
          <w:lang w:val="en-IE"/>
        </w:rPr>
        <w:t xml:space="preserve">These policy options would address the following drivers: </w:t>
      </w:r>
    </w:p>
    <w:p w14:paraId="0A437AA5" w14:textId="1AF8C7DE" w:rsidR="00276BB0" w:rsidRPr="00276BB0" w:rsidRDefault="007030E2" w:rsidP="00C4288E">
      <w:pPr>
        <w:pStyle w:val="ListParagraph"/>
        <w:numPr>
          <w:ilvl w:val="0"/>
          <w:numId w:val="21"/>
        </w:numPr>
        <w:tabs>
          <w:tab w:val="left" w:pos="170"/>
        </w:tabs>
        <w:jc w:val="both"/>
        <w:rPr>
          <w:noProof/>
          <w:lang w:val="en-IE"/>
        </w:rPr>
      </w:pPr>
      <w:r w:rsidRPr="00A623E7">
        <w:rPr>
          <w:noProof/>
        </w:rPr>
        <w:t>Different</w:t>
      </w:r>
      <w:r w:rsidR="008F36E0" w:rsidRPr="00A623E7">
        <w:rPr>
          <w:noProof/>
        </w:rPr>
        <w:t xml:space="preserve"> national company legal forms and </w:t>
      </w:r>
      <w:r w:rsidRPr="00A623E7">
        <w:rPr>
          <w:noProof/>
        </w:rPr>
        <w:t>lack</w:t>
      </w:r>
      <w:r w:rsidR="008F36E0" w:rsidRPr="00A623E7">
        <w:rPr>
          <w:noProof/>
        </w:rPr>
        <w:t xml:space="preserve"> of </w:t>
      </w:r>
      <w:r w:rsidRPr="00A623E7">
        <w:rPr>
          <w:noProof/>
        </w:rPr>
        <w:t>an</w:t>
      </w:r>
      <w:r w:rsidR="008F36E0" w:rsidRPr="00A623E7">
        <w:rPr>
          <w:noProof/>
        </w:rPr>
        <w:t xml:space="preserve"> EU brand for s</w:t>
      </w:r>
      <w:r w:rsidR="60D1B326" w:rsidRPr="00A623E7">
        <w:rPr>
          <w:noProof/>
        </w:rPr>
        <w:t>tartup</w:t>
      </w:r>
      <w:r w:rsidR="008F36E0" w:rsidRPr="00A623E7">
        <w:rPr>
          <w:noProof/>
        </w:rPr>
        <w:t>s</w:t>
      </w:r>
      <w:r w:rsidR="00945E8F" w:rsidRPr="60F133DC">
        <w:rPr>
          <w:noProof/>
          <w:lang w:val="en-IE"/>
        </w:rPr>
        <w:t>;</w:t>
      </w:r>
      <w:r w:rsidR="008F36E0" w:rsidRPr="60F133DC">
        <w:rPr>
          <w:noProof/>
          <w:lang w:val="en-IE"/>
        </w:rPr>
        <w:t xml:space="preserve"> and </w:t>
      </w:r>
    </w:p>
    <w:p w14:paraId="22418A92" w14:textId="15F25BA4" w:rsidR="008F36E0" w:rsidRPr="00276BB0" w:rsidRDefault="00945E8F" w:rsidP="00C4288E">
      <w:pPr>
        <w:pStyle w:val="ListParagraph"/>
        <w:numPr>
          <w:ilvl w:val="0"/>
          <w:numId w:val="21"/>
        </w:numPr>
        <w:tabs>
          <w:tab w:val="left" w:pos="170"/>
        </w:tabs>
        <w:jc w:val="both"/>
        <w:rPr>
          <w:noProof/>
          <w:szCs w:val="20"/>
          <w:lang w:val="en-IE"/>
        </w:rPr>
      </w:pPr>
      <w:r>
        <w:rPr>
          <w:noProof/>
        </w:rPr>
        <w:t>l</w:t>
      </w:r>
      <w:r w:rsidR="00A11796" w:rsidRPr="00A623E7">
        <w:rPr>
          <w:noProof/>
        </w:rPr>
        <w:t xml:space="preserve">ack of </w:t>
      </w:r>
      <w:r w:rsidR="00BA2607" w:rsidRPr="00A623E7">
        <w:rPr>
          <w:noProof/>
        </w:rPr>
        <w:t xml:space="preserve">implementation of </w:t>
      </w:r>
      <w:r w:rsidR="00A11796" w:rsidRPr="00A623E7">
        <w:rPr>
          <w:noProof/>
        </w:rPr>
        <w:t xml:space="preserve">the “once-only principle” </w:t>
      </w:r>
      <w:r w:rsidR="00BA2607" w:rsidRPr="00A623E7">
        <w:rPr>
          <w:noProof/>
        </w:rPr>
        <w:t>for company</w:t>
      </w:r>
      <w:r w:rsidR="00A11796" w:rsidRPr="00A623E7">
        <w:rPr>
          <w:noProof/>
        </w:rPr>
        <w:t xml:space="preserve"> set</w:t>
      </w:r>
      <w:r w:rsidR="00BA2607" w:rsidRPr="00A623E7">
        <w:rPr>
          <w:noProof/>
        </w:rPr>
        <w:t>-</w:t>
      </w:r>
      <w:r w:rsidR="00A11796" w:rsidRPr="00A623E7">
        <w:rPr>
          <w:noProof/>
        </w:rPr>
        <w:t>up</w:t>
      </w:r>
      <w:r w:rsidR="008F36E0" w:rsidRPr="00276BB0">
        <w:rPr>
          <w:noProof/>
          <w:szCs w:val="20"/>
          <w:lang w:val="en-IE"/>
        </w:rPr>
        <w:t xml:space="preserve">. </w:t>
      </w:r>
    </w:p>
    <w:tbl>
      <w:tblPr>
        <w:tblStyle w:val="TableGrid"/>
        <w:tblW w:w="9781" w:type="dxa"/>
        <w:tblInd w:w="-147" w:type="dxa"/>
        <w:tblLayout w:type="fixed"/>
        <w:tblLook w:val="04A0" w:firstRow="1" w:lastRow="0" w:firstColumn="1" w:lastColumn="0" w:noHBand="0" w:noVBand="1"/>
      </w:tblPr>
      <w:tblGrid>
        <w:gridCol w:w="2528"/>
        <w:gridCol w:w="860"/>
        <w:gridCol w:w="856"/>
        <w:gridCol w:w="860"/>
        <w:gridCol w:w="4677"/>
      </w:tblGrid>
      <w:tr w:rsidR="00B12AD9" w14:paraId="44C63BBC" w14:textId="77777777" w:rsidTr="00597D21">
        <w:trPr>
          <w:trHeight w:val="299"/>
        </w:trPr>
        <w:tc>
          <w:tcPr>
            <w:tcW w:w="2528" w:type="dxa"/>
            <w:shd w:val="clear" w:color="auto" w:fill="B8CCE4" w:themeFill="accent1" w:themeFillTint="66"/>
          </w:tcPr>
          <w:p w14:paraId="64D07CB0" w14:textId="77777777" w:rsidR="004C599B" w:rsidRPr="005C4BC3" w:rsidRDefault="004C599B">
            <w:pPr>
              <w:rPr>
                <w:noProof/>
              </w:rPr>
            </w:pPr>
          </w:p>
        </w:tc>
        <w:tc>
          <w:tcPr>
            <w:tcW w:w="860" w:type="dxa"/>
            <w:shd w:val="clear" w:color="auto" w:fill="B8CCE4" w:themeFill="accent1" w:themeFillTint="66"/>
          </w:tcPr>
          <w:p w14:paraId="2D4C592F" w14:textId="605169F4" w:rsidR="004C599B" w:rsidRPr="005C4BC3" w:rsidRDefault="004C599B">
            <w:pPr>
              <w:jc w:val="center"/>
              <w:rPr>
                <w:noProof/>
              </w:rPr>
            </w:pPr>
            <w:r w:rsidRPr="005C4BC3">
              <w:rPr>
                <w:noProof/>
              </w:rPr>
              <w:t>PO</w:t>
            </w:r>
            <w:r>
              <w:rPr>
                <w:noProof/>
              </w:rPr>
              <w:t>3</w:t>
            </w:r>
            <w:r w:rsidRPr="005C4BC3">
              <w:rPr>
                <w:noProof/>
              </w:rPr>
              <w:t>a</w:t>
            </w:r>
          </w:p>
        </w:tc>
        <w:tc>
          <w:tcPr>
            <w:tcW w:w="856" w:type="dxa"/>
            <w:shd w:val="clear" w:color="auto" w:fill="B8CCE4" w:themeFill="accent1" w:themeFillTint="66"/>
          </w:tcPr>
          <w:p w14:paraId="65063378" w14:textId="65A097F0" w:rsidR="004C599B" w:rsidRPr="005C4BC3" w:rsidRDefault="004C599B">
            <w:pPr>
              <w:jc w:val="center"/>
              <w:rPr>
                <w:noProof/>
              </w:rPr>
            </w:pPr>
            <w:r w:rsidRPr="005C4BC3">
              <w:rPr>
                <w:noProof/>
              </w:rPr>
              <w:t>PO</w:t>
            </w:r>
            <w:r>
              <w:rPr>
                <w:noProof/>
              </w:rPr>
              <w:t>3</w:t>
            </w:r>
            <w:r w:rsidRPr="005C4BC3">
              <w:rPr>
                <w:noProof/>
              </w:rPr>
              <w:t>b</w:t>
            </w:r>
          </w:p>
        </w:tc>
        <w:tc>
          <w:tcPr>
            <w:tcW w:w="860" w:type="dxa"/>
            <w:shd w:val="clear" w:color="auto" w:fill="B8CCE4" w:themeFill="accent1" w:themeFillTint="66"/>
          </w:tcPr>
          <w:p w14:paraId="39F162CD" w14:textId="3F9D8BFD" w:rsidR="004C599B" w:rsidRPr="005C4BC3" w:rsidRDefault="004C599B">
            <w:pPr>
              <w:jc w:val="center"/>
              <w:rPr>
                <w:noProof/>
              </w:rPr>
            </w:pPr>
            <w:r w:rsidRPr="005C4BC3">
              <w:rPr>
                <w:noProof/>
              </w:rPr>
              <w:t>PO</w:t>
            </w:r>
            <w:r>
              <w:rPr>
                <w:noProof/>
              </w:rPr>
              <w:t>3</w:t>
            </w:r>
            <w:r w:rsidRPr="005C4BC3">
              <w:rPr>
                <w:noProof/>
              </w:rPr>
              <w:t>c</w:t>
            </w:r>
          </w:p>
        </w:tc>
        <w:tc>
          <w:tcPr>
            <w:tcW w:w="4677" w:type="dxa"/>
            <w:shd w:val="clear" w:color="auto" w:fill="B8CCE4" w:themeFill="accent1" w:themeFillTint="66"/>
          </w:tcPr>
          <w:p w14:paraId="7C683500" w14:textId="77777777" w:rsidR="004C599B" w:rsidRPr="005C4BC3" w:rsidRDefault="004C599B">
            <w:pPr>
              <w:rPr>
                <w:noProof/>
              </w:rPr>
            </w:pPr>
            <w:r w:rsidRPr="005C4BC3">
              <w:rPr>
                <w:noProof/>
              </w:rPr>
              <w:t>Motivation</w:t>
            </w:r>
          </w:p>
        </w:tc>
      </w:tr>
      <w:tr w:rsidR="004C599B" w:rsidRPr="00423F8E" w14:paraId="2E55CAC1" w14:textId="77777777" w:rsidTr="00597D21">
        <w:trPr>
          <w:trHeight w:val="539"/>
        </w:trPr>
        <w:tc>
          <w:tcPr>
            <w:tcW w:w="2528" w:type="dxa"/>
          </w:tcPr>
          <w:p w14:paraId="03EE6328" w14:textId="5ED3EEA0" w:rsidR="004C599B" w:rsidRPr="005C4BC3" w:rsidRDefault="004C599B">
            <w:pPr>
              <w:rPr>
                <w:noProof/>
              </w:rPr>
            </w:pPr>
            <w:r w:rsidRPr="60F133DC">
              <w:rPr>
                <w:b/>
                <w:noProof/>
              </w:rPr>
              <w:t xml:space="preserve">Specific </w:t>
            </w:r>
            <w:r w:rsidR="1A927355" w:rsidRPr="18FF052C">
              <w:rPr>
                <w:b/>
                <w:bCs/>
                <w:noProof/>
              </w:rPr>
              <w:t>O</w:t>
            </w:r>
            <w:r w:rsidRPr="18FF052C">
              <w:rPr>
                <w:b/>
                <w:bCs/>
                <w:noProof/>
              </w:rPr>
              <w:t>bjective</w:t>
            </w:r>
            <w:r w:rsidRPr="60F133DC">
              <w:rPr>
                <w:b/>
                <w:noProof/>
              </w:rPr>
              <w:t xml:space="preserve"> 1:</w:t>
            </w:r>
            <w:r w:rsidRPr="60F133DC">
              <w:rPr>
                <w:noProof/>
              </w:rPr>
              <w:t xml:space="preserve">  </w:t>
            </w:r>
            <w:r w:rsidR="00D22996" w:rsidRPr="60F133DC">
              <w:rPr>
                <w:noProof/>
              </w:rPr>
              <w:t xml:space="preserve">Provide </w:t>
            </w:r>
            <w:r w:rsidRPr="60F133DC">
              <w:rPr>
                <w:noProof/>
              </w:rPr>
              <w:t xml:space="preserve">a common corporate legal framework for </w:t>
            </w:r>
            <w:r>
              <w:rPr>
                <w:noProof/>
              </w:rPr>
              <w:t xml:space="preserve">companies, in particular </w:t>
            </w:r>
            <w:r w:rsidRPr="60F133DC">
              <w:rPr>
                <w:noProof/>
              </w:rPr>
              <w:t>s</w:t>
            </w:r>
            <w:r w:rsidR="60D1B326" w:rsidRPr="60F133DC">
              <w:rPr>
                <w:noProof/>
              </w:rPr>
              <w:t>tartup</w:t>
            </w:r>
            <w:r w:rsidRPr="60F133DC">
              <w:rPr>
                <w:noProof/>
              </w:rPr>
              <w:t xml:space="preserve">s and </w:t>
            </w:r>
            <w:r w:rsidRPr="7DEE8D98">
              <w:rPr>
                <w:noProof/>
              </w:rPr>
              <w:t>s</w:t>
            </w:r>
            <w:r w:rsidR="20FBA1B1" w:rsidRPr="7DEE8D98">
              <w:rPr>
                <w:noProof/>
              </w:rPr>
              <w:t>caleup</w:t>
            </w:r>
            <w:r w:rsidRPr="7DEE8D98">
              <w:rPr>
                <w:noProof/>
              </w:rPr>
              <w:t>s</w:t>
            </w:r>
            <w:r w:rsidRPr="60F133DC">
              <w:rPr>
                <w:noProof/>
              </w:rPr>
              <w:t xml:space="preserve"> in the EU</w:t>
            </w:r>
          </w:p>
        </w:tc>
        <w:tc>
          <w:tcPr>
            <w:tcW w:w="860" w:type="dxa"/>
          </w:tcPr>
          <w:p w14:paraId="6B5EB06C" w14:textId="479FAA11" w:rsidR="004C599B" w:rsidRPr="005C4BC3" w:rsidRDefault="00295076">
            <w:pPr>
              <w:jc w:val="center"/>
              <w:rPr>
                <w:rFonts w:cstheme="minorHAnsi"/>
                <w:noProof/>
                <w:szCs w:val="20"/>
              </w:rPr>
            </w:pPr>
            <w:r>
              <w:rPr>
                <w:rFonts w:cstheme="minorHAnsi"/>
                <w:noProof/>
                <w:szCs w:val="20"/>
              </w:rPr>
              <w:t>1</w:t>
            </w:r>
          </w:p>
        </w:tc>
        <w:tc>
          <w:tcPr>
            <w:tcW w:w="856" w:type="dxa"/>
          </w:tcPr>
          <w:p w14:paraId="2AA31699" w14:textId="7888F838" w:rsidR="004C599B" w:rsidRPr="005C4BC3" w:rsidRDefault="00295076">
            <w:pPr>
              <w:jc w:val="center"/>
              <w:rPr>
                <w:rFonts w:cstheme="minorHAnsi"/>
                <w:noProof/>
                <w:szCs w:val="20"/>
              </w:rPr>
            </w:pPr>
            <w:r>
              <w:rPr>
                <w:rFonts w:cstheme="minorHAnsi"/>
                <w:noProof/>
                <w:szCs w:val="20"/>
              </w:rPr>
              <w:t>2</w:t>
            </w:r>
          </w:p>
        </w:tc>
        <w:tc>
          <w:tcPr>
            <w:tcW w:w="860" w:type="dxa"/>
          </w:tcPr>
          <w:p w14:paraId="4DA6ACB2" w14:textId="0D73EB73" w:rsidR="004C599B" w:rsidRPr="005C4BC3" w:rsidRDefault="0060142A">
            <w:pPr>
              <w:jc w:val="center"/>
              <w:rPr>
                <w:rFonts w:cstheme="minorHAnsi"/>
                <w:noProof/>
                <w:szCs w:val="20"/>
              </w:rPr>
            </w:pPr>
            <w:r>
              <w:rPr>
                <w:rFonts w:cstheme="minorHAnsi"/>
                <w:noProof/>
                <w:szCs w:val="20"/>
              </w:rPr>
              <w:t>3</w:t>
            </w:r>
          </w:p>
        </w:tc>
        <w:tc>
          <w:tcPr>
            <w:tcW w:w="4677" w:type="dxa"/>
          </w:tcPr>
          <w:p w14:paraId="0E3BFC96" w14:textId="7F3FBA95" w:rsidR="004C599B" w:rsidRPr="003F5FB6" w:rsidRDefault="00D22996" w:rsidP="001A5C9D">
            <w:pPr>
              <w:spacing w:after="0"/>
              <w:jc w:val="both"/>
              <w:rPr>
                <w:noProof/>
              </w:rPr>
            </w:pPr>
            <w:r>
              <w:rPr>
                <w:noProof/>
              </w:rPr>
              <w:t xml:space="preserve">At the heart of the </w:t>
            </w:r>
            <w:r w:rsidR="005B2259">
              <w:rPr>
                <w:noProof/>
              </w:rPr>
              <w:t xml:space="preserve">common rules </w:t>
            </w:r>
            <w:r>
              <w:rPr>
                <w:noProof/>
              </w:rPr>
              <w:t xml:space="preserve">is the common legal </w:t>
            </w:r>
            <w:r w:rsidR="00465B91">
              <w:rPr>
                <w:noProof/>
              </w:rPr>
              <w:t xml:space="preserve">form </w:t>
            </w:r>
            <w:r w:rsidR="00896A00">
              <w:rPr>
                <w:noProof/>
              </w:rPr>
              <w:t>with recognisable brand under policy options 1. However,</w:t>
            </w:r>
            <w:r w:rsidR="005B2259">
              <w:rPr>
                <w:noProof/>
              </w:rPr>
              <w:t xml:space="preserve"> other measures are needed to achieve the objective of having common corporate legal framework</w:t>
            </w:r>
            <w:r w:rsidR="00A657CA">
              <w:rPr>
                <w:noProof/>
              </w:rPr>
              <w:t xml:space="preserve"> including procedural rules</w:t>
            </w:r>
            <w:r w:rsidR="005B2259">
              <w:rPr>
                <w:noProof/>
              </w:rPr>
              <w:t xml:space="preserve">. </w:t>
            </w:r>
            <w:r w:rsidR="00243732">
              <w:rPr>
                <w:noProof/>
              </w:rPr>
              <w:t xml:space="preserve">In </w:t>
            </w:r>
            <w:r w:rsidR="007D5FDE">
              <w:rPr>
                <w:noProof/>
              </w:rPr>
              <w:t xml:space="preserve">all </w:t>
            </w:r>
            <w:r w:rsidR="00243732">
              <w:rPr>
                <w:noProof/>
              </w:rPr>
              <w:t xml:space="preserve">the </w:t>
            </w:r>
            <w:r w:rsidR="00FE6E6A">
              <w:rPr>
                <w:noProof/>
              </w:rPr>
              <w:t xml:space="preserve">consultation activities, </w:t>
            </w:r>
            <w:r w:rsidR="00CB5C79">
              <w:rPr>
                <w:noProof/>
              </w:rPr>
              <w:t xml:space="preserve">respondents </w:t>
            </w:r>
            <w:r w:rsidR="007D5FDE">
              <w:rPr>
                <w:noProof/>
              </w:rPr>
              <w:t xml:space="preserve">highlighted the problem of lack of </w:t>
            </w:r>
            <w:r w:rsidR="005709FF">
              <w:rPr>
                <w:noProof/>
              </w:rPr>
              <w:t xml:space="preserve">application of </w:t>
            </w:r>
            <w:r w:rsidR="007D5FDE">
              <w:rPr>
                <w:noProof/>
              </w:rPr>
              <w:t>once-only principle</w:t>
            </w:r>
            <w:r w:rsidR="005B2259">
              <w:rPr>
                <w:noProof/>
              </w:rPr>
              <w:t xml:space="preserve"> in the context of registration</w:t>
            </w:r>
            <w:r w:rsidR="008244F7">
              <w:rPr>
                <w:noProof/>
              </w:rPr>
              <w:t>.</w:t>
            </w:r>
            <w:r w:rsidR="00510601">
              <w:rPr>
                <w:noProof/>
              </w:rPr>
              <w:t xml:space="preserve"> </w:t>
            </w:r>
            <w:r w:rsidR="008244F7">
              <w:rPr>
                <w:noProof/>
              </w:rPr>
              <w:t xml:space="preserve">The </w:t>
            </w:r>
            <w:r w:rsidR="003F47F3">
              <w:rPr>
                <w:noProof/>
              </w:rPr>
              <w:t xml:space="preserve">common rules for the application of once-only principle </w:t>
            </w:r>
            <w:r w:rsidR="00081F3B">
              <w:rPr>
                <w:noProof/>
              </w:rPr>
              <w:t>under the pol</w:t>
            </w:r>
            <w:r w:rsidR="000F0170">
              <w:rPr>
                <w:noProof/>
              </w:rPr>
              <w:t>i</w:t>
            </w:r>
            <w:r w:rsidR="00081F3B">
              <w:rPr>
                <w:noProof/>
              </w:rPr>
              <w:t>c</w:t>
            </w:r>
            <w:r w:rsidR="000F0170">
              <w:rPr>
                <w:noProof/>
              </w:rPr>
              <w:t>y</w:t>
            </w:r>
            <w:r w:rsidR="00081F3B">
              <w:rPr>
                <w:noProof/>
              </w:rPr>
              <w:t xml:space="preserve"> options </w:t>
            </w:r>
            <w:r w:rsidR="000F0170">
              <w:rPr>
                <w:noProof/>
              </w:rPr>
              <w:t xml:space="preserve">3 </w:t>
            </w:r>
            <w:r w:rsidR="0067560D">
              <w:rPr>
                <w:noProof/>
              </w:rPr>
              <w:t xml:space="preserve">will thus </w:t>
            </w:r>
            <w:r w:rsidR="00391798">
              <w:rPr>
                <w:noProof/>
              </w:rPr>
              <w:t>contribute to meet th</w:t>
            </w:r>
            <w:r w:rsidR="000F0170">
              <w:rPr>
                <w:noProof/>
              </w:rPr>
              <w:t>e</w:t>
            </w:r>
            <w:r w:rsidR="00391798">
              <w:rPr>
                <w:noProof/>
              </w:rPr>
              <w:t xml:space="preserve"> objective</w:t>
            </w:r>
            <w:r w:rsidR="002424A1">
              <w:rPr>
                <w:noProof/>
              </w:rPr>
              <w:t xml:space="preserve"> 1, w</w:t>
            </w:r>
            <w:r w:rsidR="00C01263">
              <w:rPr>
                <w:noProof/>
              </w:rPr>
              <w:t xml:space="preserve">ith </w:t>
            </w:r>
            <w:r w:rsidR="00252F4A">
              <w:rPr>
                <w:noProof/>
              </w:rPr>
              <w:t>polic</w:t>
            </w:r>
            <w:r w:rsidR="006C21DD">
              <w:rPr>
                <w:noProof/>
              </w:rPr>
              <w:t>y option 3c provid</w:t>
            </w:r>
            <w:r w:rsidR="00C01263">
              <w:rPr>
                <w:noProof/>
              </w:rPr>
              <w:t>ing</w:t>
            </w:r>
            <w:r w:rsidR="006C21DD">
              <w:rPr>
                <w:noProof/>
              </w:rPr>
              <w:t xml:space="preserve"> the</w:t>
            </w:r>
            <w:r w:rsidR="00617966">
              <w:rPr>
                <w:noProof/>
              </w:rPr>
              <w:t xml:space="preserve"> largest </w:t>
            </w:r>
            <w:r w:rsidR="001172EE">
              <w:rPr>
                <w:noProof/>
              </w:rPr>
              <w:t xml:space="preserve">range of common procedures. </w:t>
            </w:r>
          </w:p>
        </w:tc>
      </w:tr>
      <w:tr w:rsidR="00D95870" w:rsidRPr="00B97033" w14:paraId="494BDF87" w14:textId="77777777" w:rsidTr="00597D21">
        <w:trPr>
          <w:trHeight w:val="582"/>
        </w:trPr>
        <w:tc>
          <w:tcPr>
            <w:tcW w:w="2528" w:type="dxa"/>
          </w:tcPr>
          <w:p w14:paraId="2C5013CC" w14:textId="24C3E5F9" w:rsidR="00D95870" w:rsidRPr="005C4BC3" w:rsidRDefault="00D95870" w:rsidP="00D95870">
            <w:pPr>
              <w:rPr>
                <w:noProof/>
              </w:rPr>
            </w:pPr>
            <w:r w:rsidRPr="60F133DC">
              <w:rPr>
                <w:b/>
                <w:noProof/>
              </w:rPr>
              <w:t>Specific Objective 2:</w:t>
            </w:r>
            <w:r w:rsidRPr="60F133DC">
              <w:rPr>
                <w:noProof/>
              </w:rPr>
              <w:t xml:space="preserve"> Provide simple and efficient corporate rules and procedures throughout the </w:t>
            </w:r>
            <w:r>
              <w:rPr>
                <w:noProof/>
              </w:rPr>
              <w:t xml:space="preserve">company </w:t>
            </w:r>
            <w:r w:rsidRPr="60F133DC">
              <w:rPr>
                <w:noProof/>
              </w:rPr>
              <w:t xml:space="preserve">lifecycle </w:t>
            </w:r>
          </w:p>
        </w:tc>
        <w:tc>
          <w:tcPr>
            <w:tcW w:w="860" w:type="dxa"/>
          </w:tcPr>
          <w:p w14:paraId="1714501B" w14:textId="1013E24F" w:rsidR="00D95870" w:rsidRPr="005C4BC3" w:rsidRDefault="00AB700C" w:rsidP="00D95870">
            <w:pPr>
              <w:jc w:val="center"/>
              <w:rPr>
                <w:rFonts w:cstheme="minorHAnsi"/>
                <w:noProof/>
                <w:szCs w:val="20"/>
              </w:rPr>
            </w:pPr>
            <w:r>
              <w:rPr>
                <w:rFonts w:cstheme="minorHAnsi"/>
                <w:noProof/>
                <w:szCs w:val="20"/>
              </w:rPr>
              <w:t>2</w:t>
            </w:r>
          </w:p>
        </w:tc>
        <w:tc>
          <w:tcPr>
            <w:tcW w:w="856" w:type="dxa"/>
          </w:tcPr>
          <w:p w14:paraId="0151CADE" w14:textId="309EA0A6" w:rsidR="00D95870" w:rsidRPr="005C4BC3" w:rsidRDefault="00AB700C" w:rsidP="00D95870">
            <w:pPr>
              <w:jc w:val="center"/>
              <w:rPr>
                <w:rFonts w:cstheme="minorHAnsi"/>
                <w:noProof/>
                <w:szCs w:val="20"/>
              </w:rPr>
            </w:pPr>
            <w:r>
              <w:rPr>
                <w:rFonts w:cstheme="minorHAnsi"/>
                <w:noProof/>
                <w:szCs w:val="20"/>
              </w:rPr>
              <w:t>3</w:t>
            </w:r>
          </w:p>
        </w:tc>
        <w:tc>
          <w:tcPr>
            <w:tcW w:w="860" w:type="dxa"/>
          </w:tcPr>
          <w:p w14:paraId="39E05CD3" w14:textId="52B7E503" w:rsidR="00D95870" w:rsidRPr="005C4BC3" w:rsidRDefault="00D95870" w:rsidP="00D95870">
            <w:pPr>
              <w:jc w:val="center"/>
              <w:rPr>
                <w:rFonts w:cstheme="minorHAnsi"/>
                <w:noProof/>
                <w:szCs w:val="20"/>
              </w:rPr>
            </w:pPr>
            <w:r>
              <w:rPr>
                <w:rFonts w:cstheme="minorHAnsi"/>
                <w:noProof/>
                <w:szCs w:val="20"/>
              </w:rPr>
              <w:t>4</w:t>
            </w:r>
          </w:p>
        </w:tc>
        <w:tc>
          <w:tcPr>
            <w:tcW w:w="4677" w:type="dxa"/>
          </w:tcPr>
          <w:p w14:paraId="6F55CAA4" w14:textId="46C519C2" w:rsidR="00D95870" w:rsidRPr="005C4BC3" w:rsidRDefault="00D95870" w:rsidP="00D95870">
            <w:pPr>
              <w:jc w:val="both"/>
              <w:rPr>
                <w:rFonts w:cstheme="minorHAnsi"/>
                <w:noProof/>
                <w:szCs w:val="20"/>
              </w:rPr>
            </w:pPr>
            <w:r>
              <w:rPr>
                <w:noProof/>
              </w:rPr>
              <w:t>In particular, the public consultation showed that it was a problem in the context of setting up a company that companies needed to submit the same information to different authorities. The policy options 3, by ensuring that founders setting up 28</w:t>
            </w:r>
            <w:r w:rsidRPr="0073779A">
              <w:rPr>
                <w:noProof/>
                <w:vertAlign w:val="superscript"/>
              </w:rPr>
              <w:t>th</w:t>
            </w:r>
            <w:r>
              <w:rPr>
                <w:noProof/>
              </w:rPr>
              <w:t xml:space="preserve"> regime company would not need to separately </w:t>
            </w:r>
            <w:r w:rsidR="00165154">
              <w:rPr>
                <w:noProof/>
              </w:rPr>
              <w:t xml:space="preserve">submit information to </w:t>
            </w:r>
            <w:r>
              <w:rPr>
                <w:noProof/>
              </w:rPr>
              <w:t xml:space="preserve">tax and social security authorities </w:t>
            </w:r>
            <w:r w:rsidR="00165154">
              <w:rPr>
                <w:noProof/>
              </w:rPr>
              <w:t xml:space="preserve">and beneficial ownership registers </w:t>
            </w:r>
            <w:r>
              <w:rPr>
                <w:noProof/>
              </w:rPr>
              <w:t xml:space="preserve">in the context of registration will contribute to providing </w:t>
            </w:r>
            <w:r w:rsidR="0079744C">
              <w:rPr>
                <w:noProof/>
              </w:rPr>
              <w:t>simpler and more efficient procedures</w:t>
            </w:r>
            <w:r>
              <w:rPr>
                <w:noProof/>
              </w:rPr>
              <w:t xml:space="preserve">. While policy option 3a will already provide  the once-only principle </w:t>
            </w:r>
            <w:r w:rsidR="00820C9C">
              <w:rPr>
                <w:noProof/>
              </w:rPr>
              <w:t xml:space="preserve">transmission of information between the registers and </w:t>
            </w:r>
            <w:r w:rsidR="0053416E">
              <w:rPr>
                <w:noProof/>
              </w:rPr>
              <w:t>the authority in charge of issuing the TIN and the VAT identification number</w:t>
            </w:r>
            <w:r>
              <w:rPr>
                <w:noProof/>
              </w:rPr>
              <w:t>, social security authorities and beneficial ownership registers, the options 3b and 3c will ensure that the 28</w:t>
            </w:r>
            <w:r w:rsidRPr="002D3EA5">
              <w:rPr>
                <w:noProof/>
                <w:vertAlign w:val="superscript"/>
              </w:rPr>
              <w:t>th</w:t>
            </w:r>
            <w:r>
              <w:rPr>
                <w:noProof/>
              </w:rPr>
              <w:t xml:space="preserve"> regime company will also obtain the tax identification number and VAT identification number </w:t>
            </w:r>
            <w:r w:rsidR="003B47B9" w:rsidRPr="00EF319C">
              <w:rPr>
                <w:noProof/>
              </w:rPr>
              <w:t>(</w:t>
            </w:r>
            <w:r w:rsidR="003B47B9">
              <w:rPr>
                <w:noProof/>
              </w:rPr>
              <w:t xml:space="preserve">in the latter case, </w:t>
            </w:r>
            <w:r w:rsidR="003B47B9" w:rsidRPr="00EF319C">
              <w:rPr>
                <w:noProof/>
              </w:rPr>
              <w:t xml:space="preserve">unless tax authorities need </w:t>
            </w:r>
            <w:r w:rsidR="004D51D0">
              <w:rPr>
                <w:noProof/>
              </w:rPr>
              <w:t xml:space="preserve">to check </w:t>
            </w:r>
            <w:r w:rsidR="003B47B9" w:rsidRPr="00EF319C">
              <w:rPr>
                <w:noProof/>
              </w:rPr>
              <w:t>more case specific information)</w:t>
            </w:r>
            <w:r>
              <w:rPr>
                <w:noProof/>
              </w:rPr>
              <w:t xml:space="preserve"> and are thus more effective in meeting the objective 2.   </w:t>
            </w:r>
          </w:p>
        </w:tc>
      </w:tr>
    </w:tbl>
    <w:p w14:paraId="283F9FB3" w14:textId="77777777" w:rsidR="004C599B" w:rsidRDefault="004C599B" w:rsidP="004C599B">
      <w:pPr>
        <w:spacing w:after="240"/>
        <w:jc w:val="both"/>
        <w:rPr>
          <w:rFonts w:eastAsia="Calibri" w:cs="Times New Roman"/>
          <w:noProof/>
          <w:szCs w:val="20"/>
        </w:rPr>
      </w:pPr>
    </w:p>
    <w:p w14:paraId="262E17E3" w14:textId="726BF62C" w:rsidR="001F71C2" w:rsidRDefault="001F71C2" w:rsidP="00A02B14">
      <w:pPr>
        <w:pStyle w:val="Caption"/>
        <w:spacing w:after="0"/>
        <w:jc w:val="both"/>
        <w:rPr>
          <w:noProof/>
          <w:sz w:val="24"/>
          <w:szCs w:val="24"/>
        </w:rPr>
      </w:pPr>
      <w:r w:rsidRPr="00D80F11">
        <w:rPr>
          <w:noProof/>
          <w:sz w:val="24"/>
          <w:szCs w:val="24"/>
        </w:rPr>
        <w:t xml:space="preserve">Table </w:t>
      </w:r>
      <w:r w:rsidRPr="00D80F11">
        <w:rPr>
          <w:b/>
          <w:i w:val="0"/>
          <w:noProof/>
          <w:sz w:val="24"/>
          <w:szCs w:val="24"/>
        </w:rPr>
        <w:fldChar w:fldCharType="begin"/>
      </w:r>
      <w:r w:rsidRPr="00D80F11">
        <w:rPr>
          <w:noProof/>
          <w:sz w:val="24"/>
          <w:szCs w:val="24"/>
        </w:rPr>
        <w:instrText xml:space="preserve"> SEQ Table \* ARABIC </w:instrText>
      </w:r>
      <w:r w:rsidRPr="00D80F11">
        <w:rPr>
          <w:b/>
          <w:i w:val="0"/>
          <w:noProof/>
          <w:sz w:val="24"/>
          <w:szCs w:val="24"/>
        </w:rPr>
        <w:fldChar w:fldCharType="separate"/>
      </w:r>
      <w:r w:rsidR="00B312D6">
        <w:rPr>
          <w:noProof/>
          <w:sz w:val="24"/>
          <w:szCs w:val="24"/>
        </w:rPr>
        <w:t>4</w:t>
      </w:r>
      <w:r w:rsidRPr="00D80F11">
        <w:rPr>
          <w:b/>
          <w:i w:val="0"/>
          <w:noProof/>
          <w:sz w:val="24"/>
          <w:szCs w:val="24"/>
        </w:rPr>
        <w:fldChar w:fldCharType="end"/>
      </w:r>
      <w:r w:rsidRPr="00D80F11">
        <w:rPr>
          <w:noProof/>
          <w:sz w:val="24"/>
          <w:szCs w:val="24"/>
        </w:rPr>
        <w:t xml:space="preserve">: Effectiveness of policy options </w:t>
      </w:r>
      <w:r>
        <w:rPr>
          <w:noProof/>
          <w:sz w:val="24"/>
          <w:szCs w:val="24"/>
        </w:rPr>
        <w:t>4</w:t>
      </w:r>
      <w:r w:rsidRPr="00D80F11">
        <w:rPr>
          <w:noProof/>
          <w:sz w:val="24"/>
          <w:szCs w:val="24"/>
        </w:rPr>
        <w:t xml:space="preserve"> </w:t>
      </w:r>
      <w:r w:rsidR="003706B4" w:rsidRPr="003706B4">
        <w:rPr>
          <w:noProof/>
          <w:sz w:val="24"/>
          <w:szCs w:val="24"/>
        </w:rPr>
        <w:t>to facilitate closure (liquidation) of the company</w:t>
      </w:r>
      <w:r w:rsidR="00EB4D43">
        <w:rPr>
          <w:noProof/>
          <w:sz w:val="24"/>
          <w:szCs w:val="24"/>
        </w:rPr>
        <w:t xml:space="preserve"> </w:t>
      </w:r>
    </w:p>
    <w:p w14:paraId="51572E97" w14:textId="45DF5545" w:rsidR="001F71C2" w:rsidRDefault="001F71C2" w:rsidP="00C4288E">
      <w:pPr>
        <w:pStyle w:val="ListParagraph"/>
        <w:numPr>
          <w:ilvl w:val="0"/>
          <w:numId w:val="15"/>
        </w:numPr>
        <w:tabs>
          <w:tab w:val="left" w:pos="170"/>
        </w:tabs>
        <w:jc w:val="both"/>
        <w:rPr>
          <w:noProof/>
        </w:rPr>
      </w:pPr>
      <w:r>
        <w:rPr>
          <w:noProof/>
        </w:rPr>
        <w:t xml:space="preserve">Policy option 4a </w:t>
      </w:r>
      <w:r w:rsidR="001644E4">
        <w:rPr>
          <w:noProof/>
        </w:rPr>
        <w:t>–</w:t>
      </w:r>
      <w:r>
        <w:rPr>
          <w:noProof/>
        </w:rPr>
        <w:t xml:space="preserve"> </w:t>
      </w:r>
      <w:r w:rsidR="001644E4">
        <w:rPr>
          <w:noProof/>
        </w:rPr>
        <w:t xml:space="preserve">Ensure that </w:t>
      </w:r>
      <w:r w:rsidR="003706B4">
        <w:rPr>
          <w:noProof/>
        </w:rPr>
        <w:t xml:space="preserve">all relevant filings by the liquidator </w:t>
      </w:r>
      <w:r w:rsidR="000609C5">
        <w:rPr>
          <w:noProof/>
        </w:rPr>
        <w:t xml:space="preserve">for closure outside of insolvency </w:t>
      </w:r>
      <w:r w:rsidR="001644E4">
        <w:rPr>
          <w:noProof/>
        </w:rPr>
        <w:t>are</w:t>
      </w:r>
      <w:r w:rsidR="003706B4">
        <w:rPr>
          <w:noProof/>
        </w:rPr>
        <w:t xml:space="preserve"> transferred from business register to other authorities</w:t>
      </w:r>
      <w:r w:rsidR="001644E4">
        <w:rPr>
          <w:noProof/>
        </w:rPr>
        <w:t xml:space="preserve"> (“once-only principle”) and o</w:t>
      </w:r>
      <w:r w:rsidR="003706B4">
        <w:rPr>
          <w:noProof/>
        </w:rPr>
        <w:t>nline filing of claims from creditors</w:t>
      </w:r>
      <w:r w:rsidRPr="004C599B">
        <w:rPr>
          <w:noProof/>
        </w:rPr>
        <w:t>.</w:t>
      </w:r>
    </w:p>
    <w:p w14:paraId="18A32981" w14:textId="5285CC4F" w:rsidR="001F71C2" w:rsidRDefault="001F71C2" w:rsidP="00C4288E">
      <w:pPr>
        <w:pStyle w:val="ListParagraph"/>
        <w:numPr>
          <w:ilvl w:val="0"/>
          <w:numId w:val="15"/>
        </w:numPr>
        <w:tabs>
          <w:tab w:val="left" w:pos="170"/>
        </w:tabs>
        <w:jc w:val="both"/>
        <w:rPr>
          <w:noProof/>
        </w:rPr>
      </w:pPr>
      <w:r>
        <w:rPr>
          <w:noProof/>
        </w:rPr>
        <w:t xml:space="preserve">Policy option 4b - </w:t>
      </w:r>
      <w:r w:rsidRPr="00926445">
        <w:rPr>
          <w:noProof/>
        </w:rPr>
        <w:t xml:space="preserve">Option </w:t>
      </w:r>
      <w:r>
        <w:rPr>
          <w:noProof/>
        </w:rPr>
        <w:t>4</w:t>
      </w:r>
      <w:r w:rsidRPr="00926445">
        <w:rPr>
          <w:noProof/>
        </w:rPr>
        <w:t xml:space="preserve">a + </w:t>
      </w:r>
      <w:r w:rsidR="008D6368">
        <w:rPr>
          <w:noProof/>
        </w:rPr>
        <w:t>s</w:t>
      </w:r>
      <w:r w:rsidR="003706B4" w:rsidRPr="003706B4">
        <w:rPr>
          <w:noProof/>
        </w:rPr>
        <w:t>implified liquidation procedure (outside of insolvency) for no assets/no debts to be concluded within a specific deadline</w:t>
      </w:r>
      <w:r w:rsidRPr="004C599B">
        <w:rPr>
          <w:noProof/>
        </w:rPr>
        <w:t>.</w:t>
      </w:r>
    </w:p>
    <w:p w14:paraId="467BFAC0" w14:textId="15342E43" w:rsidR="001F71C2" w:rsidRDefault="001F71C2" w:rsidP="00C4288E">
      <w:pPr>
        <w:pStyle w:val="ListParagraph"/>
        <w:numPr>
          <w:ilvl w:val="0"/>
          <w:numId w:val="15"/>
        </w:numPr>
        <w:tabs>
          <w:tab w:val="left" w:pos="170"/>
        </w:tabs>
        <w:spacing w:before="0" w:after="0"/>
        <w:jc w:val="both"/>
        <w:rPr>
          <w:noProof/>
        </w:rPr>
      </w:pPr>
      <w:r>
        <w:rPr>
          <w:noProof/>
        </w:rPr>
        <w:t>Policy option 4c - O</w:t>
      </w:r>
      <w:r w:rsidRPr="004C599B">
        <w:rPr>
          <w:noProof/>
        </w:rPr>
        <w:t xml:space="preserve">ption </w:t>
      </w:r>
      <w:r>
        <w:rPr>
          <w:noProof/>
        </w:rPr>
        <w:t>4</w:t>
      </w:r>
      <w:r w:rsidRPr="004C599B">
        <w:rPr>
          <w:noProof/>
        </w:rPr>
        <w:t xml:space="preserve">b </w:t>
      </w:r>
      <w:r>
        <w:rPr>
          <w:noProof/>
        </w:rPr>
        <w:t>+</w:t>
      </w:r>
      <w:r w:rsidRPr="004C599B">
        <w:rPr>
          <w:noProof/>
        </w:rPr>
        <w:t xml:space="preserve"> </w:t>
      </w:r>
      <w:r w:rsidR="005B6260" w:rsidRPr="00B40B86">
        <w:rPr>
          <w:noProof/>
        </w:rPr>
        <w:t>simplifi</w:t>
      </w:r>
      <w:r w:rsidR="00B50555">
        <w:rPr>
          <w:noProof/>
        </w:rPr>
        <w:t>cation of</w:t>
      </w:r>
      <w:r w:rsidR="005B6260" w:rsidRPr="00B40B86">
        <w:rPr>
          <w:noProof/>
        </w:rPr>
        <w:t xml:space="preserve"> insolvency procedure</w:t>
      </w:r>
      <w:r w:rsidR="00B50555">
        <w:rPr>
          <w:noProof/>
        </w:rPr>
        <w:t>s</w:t>
      </w:r>
      <w:r w:rsidR="00130AD8">
        <w:rPr>
          <w:noProof/>
        </w:rPr>
        <w:t xml:space="preserve"> thanks to their full digitalisation </w:t>
      </w:r>
    </w:p>
    <w:p w14:paraId="29553552" w14:textId="77777777" w:rsidR="00A11796" w:rsidRDefault="00A11796" w:rsidP="00A11796">
      <w:pPr>
        <w:tabs>
          <w:tab w:val="left" w:pos="170"/>
        </w:tabs>
        <w:spacing w:before="0" w:after="0"/>
        <w:jc w:val="both"/>
        <w:rPr>
          <w:noProof/>
        </w:rPr>
      </w:pPr>
    </w:p>
    <w:p w14:paraId="6F138CC5" w14:textId="161F0469" w:rsidR="005B0193" w:rsidRDefault="00A11796" w:rsidP="0019158B">
      <w:pPr>
        <w:tabs>
          <w:tab w:val="left" w:pos="170"/>
        </w:tabs>
        <w:jc w:val="both"/>
        <w:rPr>
          <w:noProof/>
          <w:szCs w:val="20"/>
          <w:lang w:val="en-IE"/>
        </w:rPr>
      </w:pPr>
      <w:r w:rsidRPr="0019158B">
        <w:rPr>
          <w:noProof/>
          <w:szCs w:val="20"/>
          <w:lang w:val="en-IE"/>
        </w:rPr>
        <w:t>These policy options would address the following driver</w:t>
      </w:r>
      <w:r w:rsidR="004D2337">
        <w:rPr>
          <w:noProof/>
          <w:szCs w:val="20"/>
          <w:lang w:val="en-IE"/>
        </w:rPr>
        <w:t>s</w:t>
      </w:r>
      <w:r w:rsidRPr="0019158B">
        <w:rPr>
          <w:noProof/>
          <w:szCs w:val="20"/>
          <w:lang w:val="en-IE"/>
        </w:rPr>
        <w:t xml:space="preserve">: </w:t>
      </w:r>
    </w:p>
    <w:p w14:paraId="5367828B" w14:textId="77777777" w:rsidR="00B11F23" w:rsidRDefault="00B11F23" w:rsidP="00C4288E">
      <w:pPr>
        <w:pStyle w:val="ListParagraph"/>
        <w:numPr>
          <w:ilvl w:val="0"/>
          <w:numId w:val="19"/>
        </w:numPr>
        <w:tabs>
          <w:tab w:val="left" w:pos="170"/>
        </w:tabs>
        <w:jc w:val="both"/>
        <w:rPr>
          <w:noProof/>
          <w:lang w:val="en-IE"/>
        </w:rPr>
      </w:pPr>
      <w:r w:rsidRPr="00A623E7">
        <w:rPr>
          <w:noProof/>
        </w:rPr>
        <w:t>Different</w:t>
      </w:r>
      <w:r w:rsidR="00A11796" w:rsidRPr="00A623E7">
        <w:rPr>
          <w:noProof/>
        </w:rPr>
        <w:t xml:space="preserve"> national company legal forms and </w:t>
      </w:r>
      <w:r w:rsidRPr="00A623E7">
        <w:rPr>
          <w:noProof/>
        </w:rPr>
        <w:t>lack</w:t>
      </w:r>
      <w:r w:rsidR="00A11796" w:rsidRPr="00A623E7">
        <w:rPr>
          <w:noProof/>
        </w:rPr>
        <w:t xml:space="preserve"> of </w:t>
      </w:r>
      <w:r w:rsidRPr="00A623E7">
        <w:rPr>
          <w:noProof/>
        </w:rPr>
        <w:t>an</w:t>
      </w:r>
      <w:r w:rsidR="00A11796" w:rsidRPr="00A623E7">
        <w:rPr>
          <w:noProof/>
        </w:rPr>
        <w:t xml:space="preserve"> EU brand for s</w:t>
      </w:r>
      <w:r w:rsidR="07B6348A" w:rsidRPr="00A623E7">
        <w:rPr>
          <w:noProof/>
        </w:rPr>
        <w:t>tartup</w:t>
      </w:r>
      <w:r w:rsidR="00A11796" w:rsidRPr="00A623E7">
        <w:rPr>
          <w:noProof/>
        </w:rPr>
        <w:t>s</w:t>
      </w:r>
      <w:r>
        <w:rPr>
          <w:noProof/>
        </w:rPr>
        <w:t>,</w:t>
      </w:r>
      <w:r w:rsidR="00A11796" w:rsidRPr="60F133DC">
        <w:rPr>
          <w:noProof/>
          <w:lang w:val="en-IE"/>
        </w:rPr>
        <w:t xml:space="preserve"> and</w:t>
      </w:r>
    </w:p>
    <w:p w14:paraId="0E70F062" w14:textId="54756D72" w:rsidR="00A4219F" w:rsidRPr="00545BAB" w:rsidRDefault="00296C9C" w:rsidP="00545BAB">
      <w:pPr>
        <w:pStyle w:val="ListParagraph"/>
        <w:numPr>
          <w:ilvl w:val="0"/>
          <w:numId w:val="19"/>
        </w:numPr>
        <w:rPr>
          <w:noProof/>
        </w:rPr>
      </w:pPr>
      <w:r>
        <w:rPr>
          <w:noProof/>
        </w:rPr>
        <w:t>c</w:t>
      </w:r>
      <w:r w:rsidR="00A4219F" w:rsidRPr="00A623E7">
        <w:rPr>
          <w:noProof/>
        </w:rPr>
        <w:t xml:space="preserve">omplex and paper-based procedures for </w:t>
      </w:r>
      <w:r w:rsidR="00545BAB" w:rsidRPr="00A623E7">
        <w:rPr>
          <w:noProof/>
        </w:rPr>
        <w:t>closure</w:t>
      </w:r>
      <w:r w:rsidR="00A4219F" w:rsidRPr="60F133DC">
        <w:rPr>
          <w:noProof/>
          <w:lang w:val="en-IE"/>
        </w:rPr>
        <w:t xml:space="preserve"> </w:t>
      </w:r>
    </w:p>
    <w:p w14:paraId="488DDEED" w14:textId="0E1492E5" w:rsidR="00A11796" w:rsidRPr="00BB470A" w:rsidRDefault="00A11796" w:rsidP="00BB470A">
      <w:pPr>
        <w:tabs>
          <w:tab w:val="left" w:pos="170"/>
        </w:tabs>
        <w:spacing w:before="0" w:after="0"/>
        <w:jc w:val="both"/>
        <w:rPr>
          <w:noProof/>
          <w:lang w:val="en-IE"/>
        </w:rPr>
      </w:pPr>
    </w:p>
    <w:p w14:paraId="6B61650B" w14:textId="77777777" w:rsidR="003706B4" w:rsidRDefault="003706B4" w:rsidP="003706B4">
      <w:pPr>
        <w:pStyle w:val="ListParagraph"/>
        <w:tabs>
          <w:tab w:val="left" w:pos="170"/>
        </w:tabs>
        <w:spacing w:before="0" w:after="0"/>
        <w:jc w:val="both"/>
        <w:rPr>
          <w:noProof/>
        </w:rPr>
      </w:pPr>
    </w:p>
    <w:tbl>
      <w:tblPr>
        <w:tblStyle w:val="TableGrid"/>
        <w:tblW w:w="9781" w:type="dxa"/>
        <w:tblInd w:w="-147" w:type="dxa"/>
        <w:tblLayout w:type="fixed"/>
        <w:tblLook w:val="04A0" w:firstRow="1" w:lastRow="0" w:firstColumn="1" w:lastColumn="0" w:noHBand="0" w:noVBand="1"/>
      </w:tblPr>
      <w:tblGrid>
        <w:gridCol w:w="2528"/>
        <w:gridCol w:w="860"/>
        <w:gridCol w:w="856"/>
        <w:gridCol w:w="860"/>
        <w:gridCol w:w="4677"/>
      </w:tblGrid>
      <w:tr w:rsidR="00B12AD9" w14:paraId="70794163" w14:textId="77777777" w:rsidTr="00597D21">
        <w:trPr>
          <w:trHeight w:val="299"/>
        </w:trPr>
        <w:tc>
          <w:tcPr>
            <w:tcW w:w="2528" w:type="dxa"/>
            <w:shd w:val="clear" w:color="auto" w:fill="B8CCE4" w:themeFill="accent1" w:themeFillTint="66"/>
          </w:tcPr>
          <w:p w14:paraId="1D4F7D21" w14:textId="77777777" w:rsidR="001F71C2" w:rsidRPr="005C4BC3" w:rsidRDefault="001F71C2">
            <w:pPr>
              <w:rPr>
                <w:noProof/>
              </w:rPr>
            </w:pPr>
          </w:p>
        </w:tc>
        <w:tc>
          <w:tcPr>
            <w:tcW w:w="860" w:type="dxa"/>
            <w:shd w:val="clear" w:color="auto" w:fill="B8CCE4" w:themeFill="accent1" w:themeFillTint="66"/>
          </w:tcPr>
          <w:p w14:paraId="0D802B9D" w14:textId="2CA3821B" w:rsidR="001F71C2" w:rsidRPr="005C4BC3" w:rsidRDefault="001F71C2">
            <w:pPr>
              <w:jc w:val="center"/>
              <w:rPr>
                <w:noProof/>
              </w:rPr>
            </w:pPr>
            <w:r w:rsidRPr="005C4BC3">
              <w:rPr>
                <w:noProof/>
              </w:rPr>
              <w:t>PO</w:t>
            </w:r>
            <w:r>
              <w:rPr>
                <w:noProof/>
              </w:rPr>
              <w:t>4</w:t>
            </w:r>
            <w:r w:rsidRPr="005C4BC3">
              <w:rPr>
                <w:noProof/>
              </w:rPr>
              <w:t>a</w:t>
            </w:r>
          </w:p>
        </w:tc>
        <w:tc>
          <w:tcPr>
            <w:tcW w:w="856" w:type="dxa"/>
            <w:shd w:val="clear" w:color="auto" w:fill="B8CCE4" w:themeFill="accent1" w:themeFillTint="66"/>
          </w:tcPr>
          <w:p w14:paraId="0915EA99" w14:textId="327142B0" w:rsidR="001F71C2" w:rsidRPr="005C4BC3" w:rsidRDefault="001F71C2">
            <w:pPr>
              <w:jc w:val="center"/>
              <w:rPr>
                <w:noProof/>
              </w:rPr>
            </w:pPr>
            <w:r w:rsidRPr="005C4BC3">
              <w:rPr>
                <w:noProof/>
              </w:rPr>
              <w:t>PO</w:t>
            </w:r>
            <w:r>
              <w:rPr>
                <w:noProof/>
              </w:rPr>
              <w:t>4</w:t>
            </w:r>
            <w:r w:rsidRPr="005C4BC3">
              <w:rPr>
                <w:noProof/>
              </w:rPr>
              <w:t>b</w:t>
            </w:r>
          </w:p>
        </w:tc>
        <w:tc>
          <w:tcPr>
            <w:tcW w:w="860" w:type="dxa"/>
            <w:shd w:val="clear" w:color="auto" w:fill="B8CCE4" w:themeFill="accent1" w:themeFillTint="66"/>
          </w:tcPr>
          <w:p w14:paraId="28D5AAC7" w14:textId="3DEF5459" w:rsidR="001F71C2" w:rsidRPr="005C4BC3" w:rsidRDefault="001F71C2">
            <w:pPr>
              <w:jc w:val="center"/>
              <w:rPr>
                <w:noProof/>
              </w:rPr>
            </w:pPr>
            <w:r w:rsidRPr="005C4BC3">
              <w:rPr>
                <w:noProof/>
              </w:rPr>
              <w:t>PO</w:t>
            </w:r>
            <w:r>
              <w:rPr>
                <w:noProof/>
              </w:rPr>
              <w:t>4</w:t>
            </w:r>
            <w:r w:rsidRPr="005C4BC3">
              <w:rPr>
                <w:noProof/>
              </w:rPr>
              <w:t>c</w:t>
            </w:r>
          </w:p>
        </w:tc>
        <w:tc>
          <w:tcPr>
            <w:tcW w:w="4677" w:type="dxa"/>
            <w:shd w:val="clear" w:color="auto" w:fill="B8CCE4" w:themeFill="accent1" w:themeFillTint="66"/>
          </w:tcPr>
          <w:p w14:paraId="28055ACD" w14:textId="77777777" w:rsidR="001F71C2" w:rsidRPr="005C4BC3" w:rsidRDefault="001F71C2">
            <w:pPr>
              <w:rPr>
                <w:noProof/>
              </w:rPr>
            </w:pPr>
            <w:r w:rsidRPr="005C4BC3">
              <w:rPr>
                <w:noProof/>
              </w:rPr>
              <w:t>Motivation</w:t>
            </w:r>
          </w:p>
        </w:tc>
      </w:tr>
      <w:tr w:rsidR="001F71C2" w:rsidRPr="00423F8E" w14:paraId="367F959B" w14:textId="77777777" w:rsidTr="00597D21">
        <w:trPr>
          <w:trHeight w:val="539"/>
        </w:trPr>
        <w:tc>
          <w:tcPr>
            <w:tcW w:w="2528" w:type="dxa"/>
          </w:tcPr>
          <w:p w14:paraId="76CE67C6" w14:textId="12AD559D" w:rsidR="001F71C2" w:rsidRPr="005C4BC3" w:rsidRDefault="001F71C2">
            <w:pPr>
              <w:rPr>
                <w:noProof/>
              </w:rPr>
            </w:pPr>
            <w:r w:rsidRPr="60F133DC">
              <w:rPr>
                <w:b/>
                <w:noProof/>
              </w:rPr>
              <w:t>Specific objective 1:</w:t>
            </w:r>
            <w:r w:rsidRPr="60F133DC">
              <w:rPr>
                <w:noProof/>
              </w:rPr>
              <w:t xml:space="preserve">  </w:t>
            </w:r>
            <w:r w:rsidR="002A5F59" w:rsidRPr="60F133DC">
              <w:rPr>
                <w:noProof/>
              </w:rPr>
              <w:t>Provide</w:t>
            </w:r>
            <w:r w:rsidRPr="60F133DC">
              <w:rPr>
                <w:noProof/>
              </w:rPr>
              <w:t xml:space="preserve"> a common corporate legal framework for </w:t>
            </w:r>
            <w:r>
              <w:rPr>
                <w:noProof/>
              </w:rPr>
              <w:t xml:space="preserve">companies, in particular </w:t>
            </w:r>
            <w:r w:rsidRPr="60F133DC">
              <w:rPr>
                <w:noProof/>
              </w:rPr>
              <w:t>s</w:t>
            </w:r>
            <w:r w:rsidR="598BE31D" w:rsidRPr="60F133DC">
              <w:rPr>
                <w:noProof/>
              </w:rPr>
              <w:t>tartup</w:t>
            </w:r>
            <w:r w:rsidRPr="60F133DC">
              <w:rPr>
                <w:noProof/>
              </w:rPr>
              <w:t xml:space="preserve">s and </w:t>
            </w:r>
            <w:r w:rsidRPr="7DEE8D98">
              <w:rPr>
                <w:noProof/>
              </w:rPr>
              <w:t>s</w:t>
            </w:r>
            <w:r w:rsidR="014F41A8" w:rsidRPr="7DEE8D98">
              <w:rPr>
                <w:noProof/>
              </w:rPr>
              <w:t>caleup</w:t>
            </w:r>
            <w:r w:rsidRPr="7DEE8D98">
              <w:rPr>
                <w:noProof/>
              </w:rPr>
              <w:t>s</w:t>
            </w:r>
            <w:r w:rsidRPr="60F133DC">
              <w:rPr>
                <w:noProof/>
              </w:rPr>
              <w:t xml:space="preserve"> in the EU</w:t>
            </w:r>
          </w:p>
        </w:tc>
        <w:tc>
          <w:tcPr>
            <w:tcW w:w="860" w:type="dxa"/>
          </w:tcPr>
          <w:p w14:paraId="67701E06" w14:textId="67B46E4B" w:rsidR="001F71C2" w:rsidRPr="005C4BC3" w:rsidRDefault="00B5793D">
            <w:pPr>
              <w:jc w:val="center"/>
              <w:rPr>
                <w:rFonts w:cstheme="minorHAnsi"/>
                <w:noProof/>
                <w:szCs w:val="20"/>
              </w:rPr>
            </w:pPr>
            <w:r>
              <w:rPr>
                <w:rFonts w:cstheme="minorHAnsi"/>
                <w:noProof/>
                <w:szCs w:val="20"/>
              </w:rPr>
              <w:t>1</w:t>
            </w:r>
          </w:p>
        </w:tc>
        <w:tc>
          <w:tcPr>
            <w:tcW w:w="856" w:type="dxa"/>
          </w:tcPr>
          <w:p w14:paraId="533CB933" w14:textId="034E943C" w:rsidR="001F71C2" w:rsidRPr="005C4BC3" w:rsidRDefault="00B5793D">
            <w:pPr>
              <w:jc w:val="center"/>
              <w:rPr>
                <w:rFonts w:cstheme="minorHAnsi"/>
                <w:noProof/>
                <w:szCs w:val="20"/>
              </w:rPr>
            </w:pPr>
            <w:r>
              <w:rPr>
                <w:rFonts w:cstheme="minorHAnsi"/>
                <w:noProof/>
                <w:szCs w:val="20"/>
              </w:rPr>
              <w:t>2</w:t>
            </w:r>
          </w:p>
        </w:tc>
        <w:tc>
          <w:tcPr>
            <w:tcW w:w="860" w:type="dxa"/>
          </w:tcPr>
          <w:p w14:paraId="5B99BE61" w14:textId="528146AC" w:rsidR="001F71C2" w:rsidRPr="005C4BC3" w:rsidRDefault="00B5793D">
            <w:pPr>
              <w:jc w:val="center"/>
              <w:rPr>
                <w:rFonts w:cstheme="minorHAnsi"/>
                <w:noProof/>
                <w:szCs w:val="20"/>
              </w:rPr>
            </w:pPr>
            <w:r>
              <w:rPr>
                <w:rFonts w:cstheme="minorHAnsi"/>
                <w:noProof/>
                <w:szCs w:val="20"/>
              </w:rPr>
              <w:t>3</w:t>
            </w:r>
          </w:p>
        </w:tc>
        <w:tc>
          <w:tcPr>
            <w:tcW w:w="4677" w:type="dxa"/>
          </w:tcPr>
          <w:p w14:paraId="08262162" w14:textId="5E33DF32" w:rsidR="009D0CB0" w:rsidRDefault="00992397" w:rsidP="00C87EAD">
            <w:pPr>
              <w:spacing w:after="0"/>
              <w:jc w:val="both"/>
              <w:rPr>
                <w:noProof/>
              </w:rPr>
            </w:pPr>
            <w:r w:rsidRPr="00992397">
              <w:rPr>
                <w:noProof/>
              </w:rPr>
              <w:t xml:space="preserve">67% of the respondents </w:t>
            </w:r>
            <w:r>
              <w:rPr>
                <w:noProof/>
              </w:rPr>
              <w:t xml:space="preserve">to the consultation </w:t>
            </w:r>
            <w:r w:rsidRPr="00992397">
              <w:rPr>
                <w:noProof/>
              </w:rPr>
              <w:t xml:space="preserve">assessed the absence of a simplified/ harmonised procedure for winding-up </w:t>
            </w:r>
            <w:r>
              <w:rPr>
                <w:noProof/>
              </w:rPr>
              <w:t xml:space="preserve">of </w:t>
            </w:r>
            <w:r w:rsidRPr="00992397">
              <w:rPr>
                <w:noProof/>
              </w:rPr>
              <w:t>a company as a barrier to a large or very large extent</w:t>
            </w:r>
            <w:r w:rsidR="001851A2">
              <w:rPr>
                <w:noProof/>
              </w:rPr>
              <w:t xml:space="preserve"> and therefore, addressing this issue in the 28</w:t>
            </w:r>
            <w:r w:rsidR="001851A2" w:rsidRPr="001851A2">
              <w:rPr>
                <w:noProof/>
                <w:vertAlign w:val="superscript"/>
              </w:rPr>
              <w:t>th</w:t>
            </w:r>
            <w:r w:rsidR="001851A2">
              <w:rPr>
                <w:noProof/>
              </w:rPr>
              <w:t xml:space="preserve"> regime corporate proposal is an important part towards </w:t>
            </w:r>
            <w:r w:rsidR="00042C36">
              <w:rPr>
                <w:noProof/>
              </w:rPr>
              <w:t>providing a common framework for the 28</w:t>
            </w:r>
            <w:r w:rsidR="00042C36" w:rsidRPr="00042C36">
              <w:rPr>
                <w:noProof/>
                <w:vertAlign w:val="superscript"/>
              </w:rPr>
              <w:t>th</w:t>
            </w:r>
            <w:r w:rsidR="00042C36">
              <w:rPr>
                <w:noProof/>
              </w:rPr>
              <w:t xml:space="preserve"> regime companies</w:t>
            </w:r>
            <w:r w:rsidRPr="00992397">
              <w:rPr>
                <w:noProof/>
              </w:rPr>
              <w:t>.</w:t>
            </w:r>
          </w:p>
          <w:p w14:paraId="66CEEEDD" w14:textId="7233C3CD" w:rsidR="001018ED" w:rsidRPr="001018ED" w:rsidRDefault="00042C36" w:rsidP="00C87EAD">
            <w:pPr>
              <w:spacing w:after="0"/>
              <w:jc w:val="both"/>
              <w:rPr>
                <w:noProof/>
              </w:rPr>
            </w:pPr>
            <w:r>
              <w:rPr>
                <w:noProof/>
              </w:rPr>
              <w:t>Policy</w:t>
            </w:r>
            <w:r w:rsidRPr="001018ED">
              <w:rPr>
                <w:noProof/>
              </w:rPr>
              <w:t xml:space="preserve"> Option 4a</w:t>
            </w:r>
            <w:r w:rsidR="00AF325E">
              <w:rPr>
                <w:noProof/>
              </w:rPr>
              <w:t xml:space="preserve"> would provide a first step</w:t>
            </w:r>
            <w:r w:rsidR="0035616E">
              <w:rPr>
                <w:noProof/>
              </w:rPr>
              <w:t xml:space="preserve"> by providing for online filing</w:t>
            </w:r>
            <w:r w:rsidR="00E65955">
              <w:rPr>
                <w:noProof/>
              </w:rPr>
              <w:t xml:space="preserve"> in the context of closure outside of insolvency</w:t>
            </w:r>
            <w:r w:rsidR="0035616E">
              <w:rPr>
                <w:noProof/>
              </w:rPr>
              <w:t xml:space="preserve">, where such filing is required at national level, and once-only transmission of information, while policy option 4b would be even </w:t>
            </w:r>
            <w:r w:rsidR="0002504F">
              <w:rPr>
                <w:noProof/>
              </w:rPr>
              <w:t>more effective</w:t>
            </w:r>
            <w:r w:rsidR="0035616E">
              <w:rPr>
                <w:noProof/>
              </w:rPr>
              <w:t xml:space="preserve"> by </w:t>
            </w:r>
            <w:r w:rsidR="0093462C">
              <w:rPr>
                <w:noProof/>
              </w:rPr>
              <w:t xml:space="preserve">harmonising rules for a simplified liquidation outside of </w:t>
            </w:r>
            <w:r w:rsidR="00A05A62" w:rsidRPr="00C87EAD">
              <w:rPr>
                <w:noProof/>
              </w:rPr>
              <w:t>insolvency</w:t>
            </w:r>
            <w:r w:rsidR="0093462C">
              <w:rPr>
                <w:noProof/>
              </w:rPr>
              <w:t>, where companies do not have any assets or debts.</w:t>
            </w:r>
            <w:r w:rsidR="001018ED" w:rsidRPr="001018ED">
              <w:rPr>
                <w:noProof/>
              </w:rPr>
              <w:t xml:space="preserve"> </w:t>
            </w:r>
          </w:p>
          <w:p w14:paraId="34297BCF" w14:textId="11899796" w:rsidR="001F71C2" w:rsidRPr="003F5FB6" w:rsidRDefault="00A05A62" w:rsidP="00C87EAD">
            <w:pPr>
              <w:spacing w:after="0"/>
              <w:jc w:val="both"/>
              <w:rPr>
                <w:noProof/>
              </w:rPr>
            </w:pPr>
            <w:r w:rsidRPr="00C87EAD">
              <w:rPr>
                <w:noProof/>
              </w:rPr>
              <w:t xml:space="preserve">Policy Option 4c </w:t>
            </w:r>
            <w:r w:rsidR="00DA2E69">
              <w:rPr>
                <w:noProof/>
              </w:rPr>
              <w:t>would be</w:t>
            </w:r>
            <w:r w:rsidRPr="00C87EAD">
              <w:rPr>
                <w:noProof/>
              </w:rPr>
              <w:t xml:space="preserve"> the most effective </w:t>
            </w:r>
            <w:r w:rsidR="00C87EAD">
              <w:rPr>
                <w:noProof/>
              </w:rPr>
              <w:t xml:space="preserve">measure </w:t>
            </w:r>
            <w:r w:rsidR="00900A78">
              <w:rPr>
                <w:noProof/>
              </w:rPr>
              <w:t xml:space="preserve">in terms of establishing a common framework </w:t>
            </w:r>
            <w:r w:rsidR="00DA2E69">
              <w:rPr>
                <w:noProof/>
              </w:rPr>
              <w:t xml:space="preserve">as </w:t>
            </w:r>
            <w:r w:rsidRPr="00C87EAD">
              <w:rPr>
                <w:noProof/>
              </w:rPr>
              <w:t xml:space="preserve">it </w:t>
            </w:r>
            <w:r w:rsidR="00DA2E69">
              <w:rPr>
                <w:noProof/>
              </w:rPr>
              <w:t xml:space="preserve">would </w:t>
            </w:r>
            <w:r w:rsidR="00DD659A">
              <w:rPr>
                <w:noProof/>
              </w:rPr>
              <w:t>also address closure of 28</w:t>
            </w:r>
            <w:r w:rsidR="00DD659A" w:rsidRPr="00DD659A">
              <w:rPr>
                <w:noProof/>
                <w:vertAlign w:val="superscript"/>
              </w:rPr>
              <w:t>th</w:t>
            </w:r>
            <w:r w:rsidR="00DD659A">
              <w:rPr>
                <w:noProof/>
              </w:rPr>
              <w:t xml:space="preserve"> regime companies in case of </w:t>
            </w:r>
            <w:r w:rsidR="00E33129">
              <w:rPr>
                <w:noProof/>
              </w:rPr>
              <w:t>in</w:t>
            </w:r>
            <w:r w:rsidRPr="00C87EAD">
              <w:rPr>
                <w:noProof/>
              </w:rPr>
              <w:t xml:space="preserve">solvency </w:t>
            </w:r>
            <w:r w:rsidR="006E2E76">
              <w:rPr>
                <w:noProof/>
              </w:rPr>
              <w:t xml:space="preserve">and </w:t>
            </w:r>
            <w:r w:rsidRPr="00C87EAD">
              <w:rPr>
                <w:noProof/>
              </w:rPr>
              <w:t>simpl</w:t>
            </w:r>
            <w:r w:rsidR="006E2E76">
              <w:rPr>
                <w:noProof/>
              </w:rPr>
              <w:t>ify</w:t>
            </w:r>
            <w:r w:rsidRPr="00C87EAD">
              <w:rPr>
                <w:noProof/>
              </w:rPr>
              <w:t xml:space="preserve"> </w:t>
            </w:r>
            <w:r w:rsidR="009040A0">
              <w:rPr>
                <w:noProof/>
              </w:rPr>
              <w:t xml:space="preserve">the procedure through </w:t>
            </w:r>
            <w:r w:rsidRPr="00C87EAD">
              <w:rPr>
                <w:noProof/>
              </w:rPr>
              <w:t xml:space="preserve">digital </w:t>
            </w:r>
            <w:r w:rsidR="005F2936">
              <w:rPr>
                <w:noProof/>
              </w:rPr>
              <w:t>solutions</w:t>
            </w:r>
            <w:r w:rsidRPr="00C87EAD">
              <w:rPr>
                <w:noProof/>
              </w:rPr>
              <w:t xml:space="preserve">. This </w:t>
            </w:r>
            <w:r w:rsidR="00B10433">
              <w:rPr>
                <w:noProof/>
              </w:rPr>
              <w:t xml:space="preserve">would have the most impact out of the three policy options on </w:t>
            </w:r>
            <w:r w:rsidR="00E4521E">
              <w:rPr>
                <w:noProof/>
              </w:rPr>
              <w:t xml:space="preserve">removing </w:t>
            </w:r>
            <w:r w:rsidRPr="00C87EAD">
              <w:rPr>
                <w:noProof/>
              </w:rPr>
              <w:t xml:space="preserve">fragmented national </w:t>
            </w:r>
            <w:r w:rsidR="006C7EC9">
              <w:rPr>
                <w:noProof/>
              </w:rPr>
              <w:t xml:space="preserve">company law and </w:t>
            </w:r>
            <w:r w:rsidRPr="00C87EAD">
              <w:rPr>
                <w:noProof/>
              </w:rPr>
              <w:t xml:space="preserve">insolvency rules </w:t>
            </w:r>
            <w:r w:rsidR="008B7398">
              <w:rPr>
                <w:noProof/>
              </w:rPr>
              <w:t xml:space="preserve">and the related legal uncertainty for </w:t>
            </w:r>
            <w:r w:rsidRPr="00C87EAD">
              <w:rPr>
                <w:noProof/>
              </w:rPr>
              <w:t>cross-border investors.</w:t>
            </w:r>
          </w:p>
        </w:tc>
      </w:tr>
      <w:tr w:rsidR="001F71C2" w:rsidRPr="00B97033" w14:paraId="625840B6" w14:textId="77777777" w:rsidTr="00597D21">
        <w:trPr>
          <w:trHeight w:val="582"/>
        </w:trPr>
        <w:tc>
          <w:tcPr>
            <w:tcW w:w="2528" w:type="dxa"/>
          </w:tcPr>
          <w:p w14:paraId="579B3A3E" w14:textId="4CEFE2C2" w:rsidR="001F71C2" w:rsidRPr="005C4BC3" w:rsidRDefault="001F71C2">
            <w:pPr>
              <w:rPr>
                <w:noProof/>
              </w:rPr>
            </w:pPr>
            <w:r w:rsidRPr="60F133DC">
              <w:rPr>
                <w:b/>
                <w:noProof/>
              </w:rPr>
              <w:t>Specific Objective 2:</w:t>
            </w:r>
            <w:r w:rsidRPr="60F133DC">
              <w:rPr>
                <w:noProof/>
              </w:rPr>
              <w:t xml:space="preserve"> </w:t>
            </w:r>
            <w:r w:rsidR="00E36410" w:rsidRPr="60F133DC">
              <w:rPr>
                <w:noProof/>
              </w:rPr>
              <w:t>Provide</w:t>
            </w:r>
            <w:r w:rsidRPr="60F133DC">
              <w:rPr>
                <w:noProof/>
              </w:rPr>
              <w:t xml:space="preserve"> simple and efficient corporate rules and procedures throughout the </w:t>
            </w:r>
            <w:r>
              <w:rPr>
                <w:noProof/>
              </w:rPr>
              <w:t xml:space="preserve">company </w:t>
            </w:r>
            <w:r w:rsidRPr="60F133DC">
              <w:rPr>
                <w:noProof/>
              </w:rPr>
              <w:t xml:space="preserve">lifecycle </w:t>
            </w:r>
          </w:p>
        </w:tc>
        <w:tc>
          <w:tcPr>
            <w:tcW w:w="860" w:type="dxa"/>
          </w:tcPr>
          <w:p w14:paraId="79163BAE" w14:textId="384307C6" w:rsidR="001F71C2" w:rsidRPr="005C4BC3" w:rsidRDefault="00781556">
            <w:pPr>
              <w:jc w:val="center"/>
              <w:rPr>
                <w:rFonts w:cstheme="minorHAnsi"/>
                <w:noProof/>
                <w:szCs w:val="20"/>
              </w:rPr>
            </w:pPr>
            <w:r>
              <w:rPr>
                <w:rFonts w:cstheme="minorHAnsi"/>
                <w:noProof/>
                <w:szCs w:val="20"/>
              </w:rPr>
              <w:t>2</w:t>
            </w:r>
          </w:p>
        </w:tc>
        <w:tc>
          <w:tcPr>
            <w:tcW w:w="856" w:type="dxa"/>
          </w:tcPr>
          <w:p w14:paraId="64FC7646" w14:textId="1619FC76" w:rsidR="001F71C2" w:rsidRPr="005C4BC3" w:rsidRDefault="001927A7">
            <w:pPr>
              <w:jc w:val="center"/>
              <w:rPr>
                <w:rFonts w:cstheme="minorHAnsi"/>
                <w:noProof/>
                <w:szCs w:val="20"/>
              </w:rPr>
            </w:pPr>
            <w:r>
              <w:rPr>
                <w:rFonts w:cstheme="minorHAnsi"/>
                <w:noProof/>
                <w:szCs w:val="20"/>
              </w:rPr>
              <w:t>3</w:t>
            </w:r>
          </w:p>
        </w:tc>
        <w:tc>
          <w:tcPr>
            <w:tcW w:w="860" w:type="dxa"/>
          </w:tcPr>
          <w:p w14:paraId="44524335" w14:textId="27C46936" w:rsidR="001F71C2" w:rsidRPr="005C4BC3" w:rsidRDefault="001927A7">
            <w:pPr>
              <w:jc w:val="center"/>
              <w:rPr>
                <w:rFonts w:cstheme="minorHAnsi"/>
                <w:noProof/>
                <w:szCs w:val="20"/>
              </w:rPr>
            </w:pPr>
            <w:r>
              <w:rPr>
                <w:rFonts w:cstheme="minorHAnsi"/>
                <w:noProof/>
                <w:szCs w:val="20"/>
              </w:rPr>
              <w:t>4</w:t>
            </w:r>
          </w:p>
        </w:tc>
        <w:tc>
          <w:tcPr>
            <w:tcW w:w="4677" w:type="dxa"/>
          </w:tcPr>
          <w:p w14:paraId="5685F772" w14:textId="2D526B1F" w:rsidR="00AD13A9" w:rsidRDefault="00197AF8" w:rsidP="00AD13A9">
            <w:pPr>
              <w:spacing w:after="0"/>
              <w:jc w:val="both"/>
              <w:rPr>
                <w:noProof/>
              </w:rPr>
            </w:pPr>
            <w:r>
              <w:rPr>
                <w:noProof/>
              </w:rPr>
              <w:t xml:space="preserve">The consultation activities showed </w:t>
            </w:r>
            <w:r w:rsidR="00FF4F7C">
              <w:rPr>
                <w:noProof/>
              </w:rPr>
              <w:t xml:space="preserve">not being able </w:t>
            </w:r>
            <w:r w:rsidR="00AD13A9" w:rsidRPr="00AD13A9">
              <w:rPr>
                <w:noProof/>
              </w:rPr>
              <w:t>to carry out all the steps for the closure of a company as regards the business register fully online</w:t>
            </w:r>
            <w:r w:rsidR="006A25C3">
              <w:rPr>
                <w:noProof/>
              </w:rPr>
              <w:t xml:space="preserve"> and</w:t>
            </w:r>
            <w:r w:rsidR="00AD13A9" w:rsidRPr="00AD13A9">
              <w:rPr>
                <w:noProof/>
              </w:rPr>
              <w:t xml:space="preserve"> </w:t>
            </w:r>
            <w:r w:rsidR="00FF4F7C">
              <w:rPr>
                <w:noProof/>
              </w:rPr>
              <w:t xml:space="preserve">the </w:t>
            </w:r>
            <w:r w:rsidR="00AD13A9" w:rsidRPr="00AD13A9">
              <w:rPr>
                <w:noProof/>
              </w:rPr>
              <w:t>necess</w:t>
            </w:r>
            <w:r w:rsidR="00FF4F7C">
              <w:rPr>
                <w:noProof/>
              </w:rPr>
              <w:t>ity</w:t>
            </w:r>
            <w:r w:rsidR="00AD13A9" w:rsidRPr="00AD13A9">
              <w:rPr>
                <w:noProof/>
              </w:rPr>
              <w:t xml:space="preserve"> to notify several authorities separately as barrier</w:t>
            </w:r>
            <w:r w:rsidR="00A05A59">
              <w:rPr>
                <w:noProof/>
              </w:rPr>
              <w:t>s to efficient closure of companies in the EU</w:t>
            </w:r>
            <w:r>
              <w:rPr>
                <w:noProof/>
              </w:rPr>
              <w:t xml:space="preserve">, e.g. 63% respondents to the consultation saw those as barriers </w:t>
            </w:r>
            <w:r w:rsidR="00AD13A9" w:rsidRPr="00AD13A9">
              <w:rPr>
                <w:noProof/>
              </w:rPr>
              <w:t>to a large or very large extent</w:t>
            </w:r>
            <w:r>
              <w:rPr>
                <w:noProof/>
              </w:rPr>
              <w:t xml:space="preserve">, and companies participating in the workshop expected </w:t>
            </w:r>
            <w:r w:rsidR="00933850">
              <w:rPr>
                <w:noProof/>
              </w:rPr>
              <w:t xml:space="preserve">a reduction in costs </w:t>
            </w:r>
            <w:r w:rsidR="009F7977">
              <w:rPr>
                <w:noProof/>
              </w:rPr>
              <w:t>in terms of time spent and costs of professional advice</w:t>
            </w:r>
            <w:r w:rsidR="00AD13A9" w:rsidRPr="00AD13A9">
              <w:rPr>
                <w:noProof/>
              </w:rPr>
              <w:t>.</w:t>
            </w:r>
          </w:p>
          <w:p w14:paraId="22E911B0" w14:textId="17CD2114" w:rsidR="001F71C2" w:rsidRPr="005C4BC3" w:rsidRDefault="00924B3E" w:rsidP="00C87EAD">
            <w:pPr>
              <w:jc w:val="both"/>
              <w:rPr>
                <w:rFonts w:cstheme="minorHAnsi"/>
                <w:noProof/>
                <w:szCs w:val="20"/>
              </w:rPr>
            </w:pPr>
            <w:r>
              <w:rPr>
                <w:rFonts w:cstheme="minorHAnsi"/>
                <w:noProof/>
                <w:szCs w:val="20"/>
              </w:rPr>
              <w:t>While p</w:t>
            </w:r>
            <w:r w:rsidR="00A15AC3">
              <w:rPr>
                <w:rFonts w:cstheme="minorHAnsi"/>
                <w:noProof/>
                <w:szCs w:val="20"/>
              </w:rPr>
              <w:t xml:space="preserve">olicy </w:t>
            </w:r>
            <w:r w:rsidR="00A15AC3" w:rsidRPr="00A85255">
              <w:rPr>
                <w:rFonts w:cstheme="minorHAnsi"/>
                <w:noProof/>
                <w:szCs w:val="20"/>
              </w:rPr>
              <w:t>Option 4</w:t>
            </w:r>
            <w:r w:rsidR="00A15AC3">
              <w:rPr>
                <w:rFonts w:cstheme="minorHAnsi"/>
                <w:noProof/>
                <w:szCs w:val="20"/>
              </w:rPr>
              <w:t>a</w:t>
            </w:r>
            <w:r w:rsidR="00A15AC3" w:rsidRPr="00A85255">
              <w:rPr>
                <w:rFonts w:cstheme="minorHAnsi"/>
                <w:noProof/>
                <w:szCs w:val="20"/>
              </w:rPr>
              <w:t xml:space="preserve"> would </w:t>
            </w:r>
            <w:r w:rsidR="0018357A">
              <w:rPr>
                <w:rFonts w:cstheme="minorHAnsi"/>
                <w:noProof/>
                <w:szCs w:val="20"/>
              </w:rPr>
              <w:t xml:space="preserve">render the procedure </w:t>
            </w:r>
            <w:r w:rsidR="00686C2D">
              <w:rPr>
                <w:rFonts w:cstheme="minorHAnsi"/>
                <w:noProof/>
                <w:szCs w:val="20"/>
              </w:rPr>
              <w:t xml:space="preserve">more efficient </w:t>
            </w:r>
            <w:r w:rsidR="0018357A">
              <w:rPr>
                <w:rFonts w:cstheme="minorHAnsi"/>
                <w:noProof/>
                <w:szCs w:val="20"/>
              </w:rPr>
              <w:t>through</w:t>
            </w:r>
            <w:r w:rsidR="00686C2D">
              <w:rPr>
                <w:rFonts w:cstheme="minorHAnsi"/>
                <w:noProof/>
                <w:szCs w:val="20"/>
              </w:rPr>
              <w:t xml:space="preserve"> </w:t>
            </w:r>
            <w:r w:rsidR="00CF1B5B">
              <w:rPr>
                <w:rFonts w:cstheme="minorHAnsi"/>
                <w:noProof/>
                <w:szCs w:val="20"/>
              </w:rPr>
              <w:t xml:space="preserve">fully online filing to the liquidator and once-only </w:t>
            </w:r>
            <w:r w:rsidR="007E344D">
              <w:rPr>
                <w:rFonts w:cstheme="minorHAnsi"/>
                <w:noProof/>
                <w:szCs w:val="20"/>
              </w:rPr>
              <w:t xml:space="preserve">transmission of information between authorities but would be </w:t>
            </w:r>
            <w:r w:rsidR="00C22984">
              <w:rPr>
                <w:rFonts w:cstheme="minorHAnsi"/>
                <w:noProof/>
                <w:szCs w:val="20"/>
              </w:rPr>
              <w:t>limited to those procedural aspects</w:t>
            </w:r>
            <w:r>
              <w:rPr>
                <w:rFonts w:cstheme="minorHAnsi"/>
                <w:noProof/>
                <w:szCs w:val="20"/>
              </w:rPr>
              <w:t>, p</w:t>
            </w:r>
            <w:r w:rsidR="00A15AC3">
              <w:rPr>
                <w:rFonts w:cstheme="minorHAnsi"/>
                <w:noProof/>
                <w:szCs w:val="20"/>
              </w:rPr>
              <w:t xml:space="preserve">olicy option 4b </w:t>
            </w:r>
            <w:r w:rsidR="000D4E03">
              <w:rPr>
                <w:rFonts w:cstheme="minorHAnsi"/>
                <w:noProof/>
                <w:szCs w:val="20"/>
              </w:rPr>
              <w:t xml:space="preserve">would be more effective by </w:t>
            </w:r>
            <w:r w:rsidR="00D311FC">
              <w:rPr>
                <w:rFonts w:cstheme="minorHAnsi"/>
                <w:noProof/>
                <w:szCs w:val="20"/>
              </w:rPr>
              <w:t xml:space="preserve">providing a simple, </w:t>
            </w:r>
            <w:r w:rsidR="00AC3625">
              <w:rPr>
                <w:rFonts w:cstheme="minorHAnsi"/>
                <w:noProof/>
                <w:szCs w:val="20"/>
              </w:rPr>
              <w:t>harmonis</w:t>
            </w:r>
            <w:r w:rsidR="00D311FC">
              <w:rPr>
                <w:rFonts w:cstheme="minorHAnsi"/>
                <w:noProof/>
                <w:szCs w:val="20"/>
              </w:rPr>
              <w:t>ed</w:t>
            </w:r>
            <w:r w:rsidR="00AC3625">
              <w:rPr>
                <w:rFonts w:cstheme="minorHAnsi"/>
                <w:noProof/>
                <w:szCs w:val="20"/>
              </w:rPr>
              <w:t xml:space="preserve"> a </w:t>
            </w:r>
            <w:r w:rsidR="00AC3060">
              <w:rPr>
                <w:rFonts w:cstheme="minorHAnsi"/>
                <w:noProof/>
                <w:szCs w:val="20"/>
              </w:rPr>
              <w:t xml:space="preserve">procedure </w:t>
            </w:r>
            <w:r w:rsidR="00C3064A">
              <w:rPr>
                <w:rFonts w:cstheme="minorHAnsi"/>
                <w:noProof/>
                <w:szCs w:val="20"/>
              </w:rPr>
              <w:t xml:space="preserve">for closure of </w:t>
            </w:r>
            <w:r w:rsidR="00D92711">
              <w:rPr>
                <w:rFonts w:cstheme="minorHAnsi"/>
                <w:noProof/>
                <w:szCs w:val="20"/>
              </w:rPr>
              <w:t xml:space="preserve">solvent </w:t>
            </w:r>
            <w:r w:rsidR="00A15AC3">
              <w:rPr>
                <w:rFonts w:cstheme="minorHAnsi"/>
                <w:noProof/>
                <w:szCs w:val="20"/>
              </w:rPr>
              <w:t>companies</w:t>
            </w:r>
            <w:r w:rsidR="00D92711">
              <w:rPr>
                <w:rFonts w:cstheme="minorHAnsi"/>
                <w:noProof/>
                <w:szCs w:val="20"/>
              </w:rPr>
              <w:t>, when those have</w:t>
            </w:r>
            <w:r w:rsidR="00A15AC3">
              <w:rPr>
                <w:rFonts w:cstheme="minorHAnsi"/>
                <w:noProof/>
                <w:szCs w:val="20"/>
              </w:rPr>
              <w:t xml:space="preserve"> </w:t>
            </w:r>
            <w:r w:rsidR="00A15AC3" w:rsidRPr="00EA0B05">
              <w:rPr>
                <w:rFonts w:cstheme="minorHAnsi"/>
                <w:noProof/>
                <w:szCs w:val="20"/>
              </w:rPr>
              <w:t>no-asset</w:t>
            </w:r>
            <w:r w:rsidR="00D92711">
              <w:rPr>
                <w:rFonts w:cstheme="minorHAnsi"/>
                <w:noProof/>
                <w:szCs w:val="20"/>
              </w:rPr>
              <w:t xml:space="preserve">s and </w:t>
            </w:r>
            <w:r w:rsidR="00A15AC3" w:rsidRPr="00EA0B05">
              <w:rPr>
                <w:rFonts w:cstheme="minorHAnsi"/>
                <w:noProof/>
                <w:szCs w:val="20"/>
              </w:rPr>
              <w:t>no-debt</w:t>
            </w:r>
            <w:r w:rsidR="00D92711">
              <w:rPr>
                <w:rFonts w:cstheme="minorHAnsi"/>
                <w:noProof/>
                <w:szCs w:val="20"/>
              </w:rPr>
              <w:t>s</w:t>
            </w:r>
            <w:r w:rsidR="00087DE3">
              <w:rPr>
                <w:rFonts w:cstheme="minorHAnsi"/>
                <w:noProof/>
                <w:szCs w:val="20"/>
              </w:rPr>
              <w:t xml:space="preserve">, and </w:t>
            </w:r>
            <w:r w:rsidR="003F40C0">
              <w:rPr>
                <w:rFonts w:cstheme="minorHAnsi"/>
                <w:noProof/>
                <w:szCs w:val="20"/>
              </w:rPr>
              <w:t xml:space="preserve">therefore, </w:t>
            </w:r>
            <w:r w:rsidR="00087DE3">
              <w:rPr>
                <w:rFonts w:cstheme="minorHAnsi"/>
                <w:noProof/>
                <w:szCs w:val="20"/>
              </w:rPr>
              <w:t>providing more legal certainty</w:t>
            </w:r>
            <w:r w:rsidR="008757E7">
              <w:rPr>
                <w:rFonts w:cstheme="minorHAnsi"/>
                <w:noProof/>
                <w:szCs w:val="20"/>
              </w:rPr>
              <w:t xml:space="preserve"> and allowing to close companies </w:t>
            </w:r>
            <w:r w:rsidR="00A0420A">
              <w:rPr>
                <w:rFonts w:cstheme="minorHAnsi"/>
                <w:noProof/>
                <w:szCs w:val="20"/>
              </w:rPr>
              <w:t xml:space="preserve">more </w:t>
            </w:r>
            <w:r w:rsidR="008757E7">
              <w:rPr>
                <w:rFonts w:cstheme="minorHAnsi"/>
                <w:noProof/>
                <w:szCs w:val="20"/>
              </w:rPr>
              <w:t>quickly</w:t>
            </w:r>
            <w:r w:rsidR="00901EC7">
              <w:rPr>
                <w:rFonts w:cstheme="minorHAnsi"/>
                <w:noProof/>
                <w:szCs w:val="20"/>
              </w:rPr>
              <w:t>. P</w:t>
            </w:r>
            <w:r w:rsidR="00C87EAD" w:rsidRPr="00C87EAD">
              <w:rPr>
                <w:rFonts w:cstheme="minorHAnsi"/>
                <w:noProof/>
                <w:szCs w:val="20"/>
              </w:rPr>
              <w:t xml:space="preserve">olicy Option 4c </w:t>
            </w:r>
            <w:r w:rsidR="00C3064A">
              <w:rPr>
                <w:rFonts w:cstheme="minorHAnsi"/>
                <w:noProof/>
                <w:szCs w:val="20"/>
              </w:rPr>
              <w:t xml:space="preserve">would be </w:t>
            </w:r>
            <w:r w:rsidR="00C87EAD" w:rsidRPr="00C87EAD">
              <w:rPr>
                <w:rFonts w:cstheme="minorHAnsi"/>
                <w:noProof/>
                <w:szCs w:val="20"/>
              </w:rPr>
              <w:t>most effective</w:t>
            </w:r>
            <w:r w:rsidR="00606055">
              <w:rPr>
                <w:rFonts w:cstheme="minorHAnsi"/>
                <w:noProof/>
                <w:szCs w:val="20"/>
              </w:rPr>
              <w:t xml:space="preserve"> in terms</w:t>
            </w:r>
            <w:r w:rsidR="00C87EAD" w:rsidRPr="00C87EAD">
              <w:rPr>
                <w:rFonts w:cstheme="minorHAnsi"/>
                <w:noProof/>
                <w:szCs w:val="20"/>
              </w:rPr>
              <w:t xml:space="preserve"> </w:t>
            </w:r>
            <w:r w:rsidR="00606055">
              <w:rPr>
                <w:rFonts w:cstheme="minorHAnsi"/>
                <w:noProof/>
                <w:szCs w:val="20"/>
              </w:rPr>
              <w:t>of</w:t>
            </w:r>
            <w:r w:rsidR="00C87EAD" w:rsidRPr="00C87EAD">
              <w:rPr>
                <w:rFonts w:cstheme="minorHAnsi"/>
                <w:noProof/>
                <w:szCs w:val="20"/>
              </w:rPr>
              <w:t xml:space="preserve"> simplicity and efficiency as</w:t>
            </w:r>
            <w:r w:rsidR="00B11E27">
              <w:rPr>
                <w:rFonts w:cstheme="minorHAnsi"/>
                <w:noProof/>
                <w:szCs w:val="20"/>
              </w:rPr>
              <w:t xml:space="preserve">, </w:t>
            </w:r>
            <w:r w:rsidR="00CE483F">
              <w:rPr>
                <w:rFonts w:cstheme="minorHAnsi"/>
                <w:noProof/>
                <w:szCs w:val="20"/>
              </w:rPr>
              <w:t>in addition</w:t>
            </w:r>
            <w:r w:rsidR="00B11E27">
              <w:rPr>
                <w:rFonts w:cstheme="minorHAnsi"/>
                <w:noProof/>
                <w:szCs w:val="20"/>
              </w:rPr>
              <w:t>,</w:t>
            </w:r>
            <w:r w:rsidR="00CE483F">
              <w:rPr>
                <w:rFonts w:cstheme="minorHAnsi"/>
                <w:noProof/>
                <w:szCs w:val="20"/>
              </w:rPr>
              <w:t xml:space="preserve"> </w:t>
            </w:r>
            <w:r w:rsidR="00B11E27">
              <w:rPr>
                <w:rFonts w:cstheme="minorHAnsi"/>
                <w:noProof/>
                <w:szCs w:val="20"/>
              </w:rPr>
              <w:t xml:space="preserve">it would </w:t>
            </w:r>
            <w:r w:rsidR="002E1DBE">
              <w:rPr>
                <w:rFonts w:cstheme="minorHAnsi"/>
                <w:noProof/>
                <w:szCs w:val="20"/>
              </w:rPr>
              <w:t xml:space="preserve">also </w:t>
            </w:r>
            <w:r w:rsidR="003C206F">
              <w:rPr>
                <w:rFonts w:cstheme="minorHAnsi"/>
                <w:noProof/>
                <w:szCs w:val="20"/>
              </w:rPr>
              <w:t xml:space="preserve">ensure full digitalisation of </w:t>
            </w:r>
            <w:r w:rsidR="003C206F" w:rsidRPr="00807AD0">
              <w:rPr>
                <w:rFonts w:cstheme="minorHAnsi"/>
                <w:noProof/>
                <w:szCs w:val="20"/>
              </w:rPr>
              <w:t>insolvency liquidation procedures</w:t>
            </w:r>
            <w:r w:rsidR="00D56519">
              <w:rPr>
                <w:rFonts w:cstheme="minorHAnsi"/>
                <w:noProof/>
                <w:szCs w:val="20"/>
              </w:rPr>
              <w:t>, making it more efficient</w:t>
            </w:r>
            <w:r w:rsidR="00606055" w:rsidDel="00D56519">
              <w:rPr>
                <w:rFonts w:cstheme="minorHAnsi"/>
                <w:noProof/>
                <w:szCs w:val="20"/>
              </w:rPr>
              <w:t xml:space="preserve"> </w:t>
            </w:r>
            <w:r w:rsidR="00D56519">
              <w:rPr>
                <w:rFonts w:cstheme="minorHAnsi"/>
                <w:noProof/>
                <w:szCs w:val="20"/>
              </w:rPr>
              <w:t>for companies</w:t>
            </w:r>
            <w:r w:rsidR="00417442">
              <w:rPr>
                <w:rFonts w:cstheme="minorHAnsi"/>
                <w:noProof/>
                <w:szCs w:val="20"/>
              </w:rPr>
              <w:t>, and</w:t>
            </w:r>
            <w:r w:rsidR="00966779">
              <w:rPr>
                <w:rFonts w:cstheme="minorHAnsi"/>
                <w:noProof/>
                <w:szCs w:val="20"/>
              </w:rPr>
              <w:t xml:space="preserve"> would allow</w:t>
            </w:r>
            <w:r w:rsidR="00417442">
              <w:rPr>
                <w:rFonts w:cstheme="minorHAnsi"/>
                <w:noProof/>
                <w:szCs w:val="20"/>
              </w:rPr>
              <w:t>ing</w:t>
            </w:r>
            <w:r w:rsidR="00966779">
              <w:rPr>
                <w:rFonts w:cstheme="minorHAnsi"/>
                <w:noProof/>
                <w:szCs w:val="20"/>
              </w:rPr>
              <w:t xml:space="preserve"> an earlier re-allocation of resources from the insolvent enterprise to a more productive use outside the insolvent enterprise</w:t>
            </w:r>
            <w:r w:rsidR="00966779" w:rsidRPr="007B415C">
              <w:rPr>
                <w:rFonts w:cstheme="minorHAnsi"/>
                <w:noProof/>
                <w:szCs w:val="20"/>
              </w:rPr>
              <w:t xml:space="preserve">. </w:t>
            </w:r>
            <w:r w:rsidR="00966779" w:rsidRPr="00C87EAD">
              <w:rPr>
                <w:rFonts w:cstheme="minorHAnsi"/>
                <w:noProof/>
                <w:szCs w:val="20"/>
              </w:rPr>
              <w:t xml:space="preserve"> </w:t>
            </w:r>
          </w:p>
        </w:tc>
      </w:tr>
    </w:tbl>
    <w:p w14:paraId="08EDB751" w14:textId="77777777" w:rsidR="001F71C2" w:rsidRDefault="001F71C2" w:rsidP="001F71C2">
      <w:pPr>
        <w:spacing w:after="240"/>
        <w:jc w:val="both"/>
        <w:rPr>
          <w:rFonts w:eastAsia="Calibri" w:cs="Times New Roman"/>
          <w:noProof/>
          <w:szCs w:val="20"/>
        </w:rPr>
      </w:pPr>
    </w:p>
    <w:p w14:paraId="662DEAC6" w14:textId="51DF832D" w:rsidR="003706B4" w:rsidRPr="00D80F11" w:rsidRDefault="003706B4" w:rsidP="003706B4">
      <w:pPr>
        <w:pStyle w:val="Caption"/>
        <w:spacing w:after="0"/>
        <w:rPr>
          <w:b/>
          <w:noProof/>
          <w:sz w:val="24"/>
          <w:szCs w:val="24"/>
        </w:rPr>
      </w:pPr>
      <w:r w:rsidRPr="00D80F11">
        <w:rPr>
          <w:noProof/>
          <w:sz w:val="24"/>
          <w:szCs w:val="24"/>
        </w:rPr>
        <w:t xml:space="preserve">Table </w:t>
      </w:r>
      <w:r w:rsidRPr="00D80F11">
        <w:rPr>
          <w:b/>
          <w:noProof/>
          <w:sz w:val="24"/>
          <w:szCs w:val="24"/>
        </w:rPr>
        <w:fldChar w:fldCharType="begin"/>
      </w:r>
      <w:r w:rsidRPr="00D80F11">
        <w:rPr>
          <w:noProof/>
          <w:sz w:val="24"/>
          <w:szCs w:val="24"/>
        </w:rPr>
        <w:instrText xml:space="preserve"> SEQ Table \* ARABIC </w:instrText>
      </w:r>
      <w:r w:rsidRPr="00D80F11">
        <w:rPr>
          <w:b/>
          <w:noProof/>
          <w:sz w:val="24"/>
          <w:szCs w:val="24"/>
        </w:rPr>
        <w:fldChar w:fldCharType="separate"/>
      </w:r>
      <w:r w:rsidR="00B312D6">
        <w:rPr>
          <w:noProof/>
          <w:sz w:val="24"/>
          <w:szCs w:val="24"/>
        </w:rPr>
        <w:t>5</w:t>
      </w:r>
      <w:r w:rsidRPr="00D80F11">
        <w:rPr>
          <w:b/>
          <w:noProof/>
          <w:sz w:val="24"/>
          <w:szCs w:val="24"/>
        </w:rPr>
        <w:fldChar w:fldCharType="end"/>
      </w:r>
      <w:r w:rsidRPr="00D80F11">
        <w:rPr>
          <w:noProof/>
          <w:sz w:val="24"/>
          <w:szCs w:val="24"/>
        </w:rPr>
        <w:t xml:space="preserve">: Effectiveness of policy options </w:t>
      </w:r>
      <w:r w:rsidRPr="003706B4">
        <w:rPr>
          <w:noProof/>
          <w:sz w:val="24"/>
          <w:szCs w:val="24"/>
        </w:rPr>
        <w:t>5 for attracting talent</w:t>
      </w:r>
      <w:r w:rsidR="00EB4D43">
        <w:rPr>
          <w:noProof/>
          <w:sz w:val="24"/>
          <w:szCs w:val="24"/>
        </w:rPr>
        <w:t xml:space="preserve"> </w:t>
      </w:r>
    </w:p>
    <w:p w14:paraId="0A949AF4" w14:textId="35E422CC" w:rsidR="003706B4" w:rsidRDefault="003706B4" w:rsidP="00C4288E">
      <w:pPr>
        <w:pStyle w:val="ListParagraph"/>
        <w:numPr>
          <w:ilvl w:val="0"/>
          <w:numId w:val="15"/>
        </w:numPr>
        <w:tabs>
          <w:tab w:val="left" w:pos="170"/>
        </w:tabs>
        <w:jc w:val="both"/>
        <w:rPr>
          <w:noProof/>
        </w:rPr>
      </w:pPr>
      <w:r>
        <w:rPr>
          <w:noProof/>
        </w:rPr>
        <w:t xml:space="preserve">Policy option 5a - </w:t>
      </w:r>
      <w:r w:rsidRPr="003706B4">
        <w:rPr>
          <w:noProof/>
        </w:rPr>
        <w:t>Possibility for 28</w:t>
      </w:r>
      <w:r w:rsidR="007A0586">
        <w:rPr>
          <w:noProof/>
        </w:rPr>
        <w:t xml:space="preserve">th </w:t>
      </w:r>
      <w:r w:rsidRPr="003706B4">
        <w:rPr>
          <w:noProof/>
        </w:rPr>
        <w:t xml:space="preserve">regime companies to set up employee </w:t>
      </w:r>
      <w:r w:rsidR="00186A0A">
        <w:rPr>
          <w:noProof/>
        </w:rPr>
        <w:t xml:space="preserve">stock </w:t>
      </w:r>
      <w:r w:rsidRPr="003706B4">
        <w:rPr>
          <w:noProof/>
        </w:rPr>
        <w:t>ownership plans (ESOPs) and issue classes of shares with distinct voting rights</w:t>
      </w:r>
      <w:r w:rsidRPr="004C599B">
        <w:rPr>
          <w:noProof/>
        </w:rPr>
        <w:t>.</w:t>
      </w:r>
    </w:p>
    <w:p w14:paraId="02094123" w14:textId="1EDE11E5" w:rsidR="003706B4" w:rsidRDefault="003706B4" w:rsidP="00C4288E">
      <w:pPr>
        <w:pStyle w:val="ListParagraph"/>
        <w:numPr>
          <w:ilvl w:val="0"/>
          <w:numId w:val="15"/>
        </w:numPr>
        <w:tabs>
          <w:tab w:val="left" w:pos="170"/>
        </w:tabs>
        <w:jc w:val="both"/>
        <w:rPr>
          <w:noProof/>
        </w:rPr>
      </w:pPr>
      <w:r>
        <w:rPr>
          <w:noProof/>
        </w:rPr>
        <w:t xml:space="preserve">Policy option 5b - </w:t>
      </w:r>
      <w:r w:rsidRPr="00926445">
        <w:rPr>
          <w:noProof/>
        </w:rPr>
        <w:t xml:space="preserve">Option </w:t>
      </w:r>
      <w:r>
        <w:rPr>
          <w:noProof/>
        </w:rPr>
        <w:t>5</w:t>
      </w:r>
      <w:r w:rsidRPr="00926445">
        <w:rPr>
          <w:noProof/>
        </w:rPr>
        <w:t xml:space="preserve">a + </w:t>
      </w:r>
      <w:r w:rsidRPr="003706B4">
        <w:rPr>
          <w:noProof/>
        </w:rPr>
        <w:t>introduc</w:t>
      </w:r>
      <w:r w:rsidR="009950D2">
        <w:rPr>
          <w:noProof/>
        </w:rPr>
        <w:t>e</w:t>
      </w:r>
      <w:r w:rsidRPr="003706B4">
        <w:rPr>
          <w:noProof/>
        </w:rPr>
        <w:t xml:space="preserve"> an optional common employee stock ownership scheme for 28</w:t>
      </w:r>
      <w:r w:rsidR="007A0586">
        <w:rPr>
          <w:noProof/>
        </w:rPr>
        <w:t xml:space="preserve">th </w:t>
      </w:r>
      <w:r w:rsidRPr="003706B4">
        <w:rPr>
          <w:noProof/>
        </w:rPr>
        <w:t>regime companies</w:t>
      </w:r>
      <w:r w:rsidR="00B84ABF">
        <w:rPr>
          <w:noProof/>
        </w:rPr>
        <w:t>, based on employee stock options and with common criteria</w:t>
      </w:r>
      <w:r w:rsidR="008E3A15">
        <w:rPr>
          <w:noProof/>
        </w:rPr>
        <w:t xml:space="preserve"> </w:t>
      </w:r>
      <w:r w:rsidR="008E3A15" w:rsidRPr="003706B4">
        <w:rPr>
          <w:noProof/>
        </w:rPr>
        <w:t>(EU-ESO)</w:t>
      </w:r>
      <w:r w:rsidRPr="004C599B">
        <w:rPr>
          <w:noProof/>
        </w:rPr>
        <w:t>.</w:t>
      </w:r>
    </w:p>
    <w:p w14:paraId="38147B8F" w14:textId="02A5541C" w:rsidR="003706B4" w:rsidRDefault="003706B4" w:rsidP="00F66F2A">
      <w:pPr>
        <w:pStyle w:val="ListParagraph"/>
        <w:numPr>
          <w:ilvl w:val="0"/>
          <w:numId w:val="15"/>
        </w:numPr>
        <w:tabs>
          <w:tab w:val="left" w:pos="170"/>
        </w:tabs>
        <w:jc w:val="both"/>
        <w:rPr>
          <w:noProof/>
        </w:rPr>
      </w:pPr>
      <w:r>
        <w:rPr>
          <w:noProof/>
        </w:rPr>
        <w:t>Policy option 5c - O</w:t>
      </w:r>
      <w:r w:rsidRPr="004C599B">
        <w:rPr>
          <w:noProof/>
        </w:rPr>
        <w:t xml:space="preserve">ption </w:t>
      </w:r>
      <w:r>
        <w:rPr>
          <w:noProof/>
        </w:rPr>
        <w:t>5</w:t>
      </w:r>
      <w:r w:rsidRPr="004C599B">
        <w:rPr>
          <w:noProof/>
        </w:rPr>
        <w:t xml:space="preserve">b </w:t>
      </w:r>
      <w:r>
        <w:rPr>
          <w:noProof/>
        </w:rPr>
        <w:t>+</w:t>
      </w:r>
      <w:r w:rsidRPr="004C599B">
        <w:rPr>
          <w:noProof/>
        </w:rPr>
        <w:t xml:space="preserve"> </w:t>
      </w:r>
      <w:r w:rsidRPr="003706B4">
        <w:rPr>
          <w:noProof/>
        </w:rPr>
        <w:t>provid</w:t>
      </w:r>
      <w:r w:rsidR="009950D2">
        <w:rPr>
          <w:noProof/>
        </w:rPr>
        <w:t>e</w:t>
      </w:r>
      <w:r w:rsidRPr="003706B4">
        <w:rPr>
          <w:noProof/>
        </w:rPr>
        <w:t xml:space="preserve"> harmonised timing for the taxation of </w:t>
      </w:r>
      <w:r w:rsidR="00F66F2A" w:rsidRPr="00F66F2A">
        <w:rPr>
          <w:noProof/>
        </w:rPr>
        <w:t>employee stock options granted in the context of the EU-ESO</w:t>
      </w:r>
      <w:r w:rsidRPr="004C599B">
        <w:rPr>
          <w:noProof/>
        </w:rPr>
        <w:t>.</w:t>
      </w:r>
      <w:r w:rsidR="00B84ABF">
        <w:rPr>
          <w:noProof/>
        </w:rPr>
        <w:t xml:space="preserve"> </w:t>
      </w:r>
    </w:p>
    <w:p w14:paraId="206FAE6F" w14:textId="77777777" w:rsidR="00A4219F" w:rsidRDefault="00A4219F" w:rsidP="00A4219F">
      <w:pPr>
        <w:pStyle w:val="ListParagraph"/>
        <w:tabs>
          <w:tab w:val="left" w:pos="170"/>
        </w:tabs>
        <w:spacing w:before="0" w:after="0"/>
        <w:jc w:val="both"/>
        <w:rPr>
          <w:noProof/>
        </w:rPr>
      </w:pPr>
    </w:p>
    <w:p w14:paraId="45FA8357" w14:textId="77777777" w:rsidR="001F5511" w:rsidRDefault="00A4219F" w:rsidP="00687BD0">
      <w:pPr>
        <w:tabs>
          <w:tab w:val="left" w:pos="170"/>
        </w:tabs>
        <w:spacing w:before="0"/>
        <w:jc w:val="both"/>
        <w:rPr>
          <w:noProof/>
          <w:szCs w:val="20"/>
          <w:lang w:val="en-IE"/>
        </w:rPr>
      </w:pPr>
      <w:r w:rsidRPr="00592746">
        <w:rPr>
          <w:noProof/>
          <w:szCs w:val="20"/>
          <w:lang w:val="en-IE"/>
        </w:rPr>
        <w:t xml:space="preserve">These policy options would address the following drivers: </w:t>
      </w:r>
    </w:p>
    <w:p w14:paraId="61A402AF" w14:textId="73FFE508" w:rsidR="00066510" w:rsidRPr="00066510" w:rsidRDefault="00A34E4A" w:rsidP="00330BC1">
      <w:pPr>
        <w:pStyle w:val="ListParagraph"/>
        <w:numPr>
          <w:ilvl w:val="0"/>
          <w:numId w:val="19"/>
        </w:numPr>
        <w:tabs>
          <w:tab w:val="left" w:pos="170"/>
        </w:tabs>
        <w:spacing w:before="0" w:after="0"/>
        <w:ind w:left="714" w:hanging="357"/>
        <w:jc w:val="both"/>
        <w:rPr>
          <w:noProof/>
          <w:lang w:val="en-IE"/>
        </w:rPr>
      </w:pPr>
      <w:r>
        <w:rPr>
          <w:noProof/>
          <w:lang w:val="en-IE"/>
        </w:rPr>
        <w:t>D</w:t>
      </w:r>
      <w:r w:rsidRPr="00A623E7">
        <w:rPr>
          <w:noProof/>
        </w:rPr>
        <w:t>ifferent</w:t>
      </w:r>
      <w:r w:rsidR="00A4219F" w:rsidRPr="00A623E7">
        <w:rPr>
          <w:noProof/>
        </w:rPr>
        <w:t xml:space="preserve"> national company legal forms and </w:t>
      </w:r>
      <w:r w:rsidRPr="00A623E7">
        <w:rPr>
          <w:noProof/>
        </w:rPr>
        <w:t>lack</w:t>
      </w:r>
      <w:r w:rsidR="00A4219F" w:rsidRPr="00A623E7">
        <w:rPr>
          <w:noProof/>
        </w:rPr>
        <w:t xml:space="preserve"> of </w:t>
      </w:r>
      <w:r w:rsidRPr="00A623E7">
        <w:rPr>
          <w:noProof/>
        </w:rPr>
        <w:t>an</w:t>
      </w:r>
      <w:r w:rsidR="00A4219F" w:rsidRPr="00A623E7">
        <w:rPr>
          <w:noProof/>
        </w:rPr>
        <w:t xml:space="preserve"> EU brand for s</w:t>
      </w:r>
      <w:r w:rsidR="67EEB725" w:rsidRPr="00A623E7">
        <w:rPr>
          <w:noProof/>
        </w:rPr>
        <w:t>tartup</w:t>
      </w:r>
      <w:r w:rsidR="00A4219F" w:rsidRPr="00A623E7">
        <w:rPr>
          <w:noProof/>
        </w:rPr>
        <w:t>s</w:t>
      </w:r>
      <w:r>
        <w:rPr>
          <w:noProof/>
        </w:rPr>
        <w:t>,</w:t>
      </w:r>
      <w:r w:rsidR="00A4219F" w:rsidRPr="60F133DC">
        <w:rPr>
          <w:noProof/>
          <w:lang w:val="en-IE"/>
        </w:rPr>
        <w:t xml:space="preserve"> and </w:t>
      </w:r>
    </w:p>
    <w:p w14:paraId="5574E1CA" w14:textId="44CCF7FA" w:rsidR="00FF03EC" w:rsidRPr="00592746" w:rsidRDefault="00592746" w:rsidP="001F5511">
      <w:pPr>
        <w:pStyle w:val="ListParagraph"/>
        <w:numPr>
          <w:ilvl w:val="0"/>
          <w:numId w:val="19"/>
        </w:numPr>
        <w:tabs>
          <w:tab w:val="left" w:pos="170"/>
        </w:tabs>
        <w:spacing w:before="0" w:after="0"/>
        <w:jc w:val="both"/>
        <w:rPr>
          <w:noProof/>
          <w:szCs w:val="20"/>
          <w:lang w:val="en-IE"/>
        </w:rPr>
      </w:pPr>
      <w:r w:rsidRPr="00592746">
        <w:rPr>
          <w:noProof/>
          <w:szCs w:val="20"/>
          <w:lang w:val="en-IE"/>
        </w:rPr>
        <w:t>l</w:t>
      </w:r>
      <w:r w:rsidR="00FF03EC" w:rsidRPr="00592746">
        <w:rPr>
          <w:noProof/>
          <w:szCs w:val="20"/>
          <w:lang w:val="en-IE"/>
        </w:rPr>
        <w:t xml:space="preserve">ack of common rules for </w:t>
      </w:r>
      <w:r w:rsidR="00373CE9" w:rsidRPr="00A623E7">
        <w:rPr>
          <w:noProof/>
        </w:rPr>
        <w:t>Employee Stock Ownership Plans</w:t>
      </w:r>
      <w:r w:rsidR="001F5511">
        <w:rPr>
          <w:noProof/>
          <w:szCs w:val="20"/>
          <w:lang w:val="en-IE"/>
        </w:rPr>
        <w:t>.</w:t>
      </w:r>
    </w:p>
    <w:p w14:paraId="04D4FE5D" w14:textId="77777777" w:rsidR="003706B4" w:rsidRDefault="003706B4" w:rsidP="003706B4">
      <w:pPr>
        <w:pStyle w:val="ListParagraph"/>
        <w:tabs>
          <w:tab w:val="left" w:pos="170"/>
        </w:tabs>
        <w:spacing w:before="0" w:after="0"/>
        <w:jc w:val="both"/>
        <w:rPr>
          <w:noProof/>
        </w:rPr>
      </w:pPr>
    </w:p>
    <w:tbl>
      <w:tblPr>
        <w:tblStyle w:val="TableGrid"/>
        <w:tblW w:w="9781" w:type="dxa"/>
        <w:tblInd w:w="-147" w:type="dxa"/>
        <w:tblLayout w:type="fixed"/>
        <w:tblLook w:val="04A0" w:firstRow="1" w:lastRow="0" w:firstColumn="1" w:lastColumn="0" w:noHBand="0" w:noVBand="1"/>
      </w:tblPr>
      <w:tblGrid>
        <w:gridCol w:w="2528"/>
        <w:gridCol w:w="860"/>
        <w:gridCol w:w="856"/>
        <w:gridCol w:w="860"/>
        <w:gridCol w:w="4677"/>
      </w:tblGrid>
      <w:tr w:rsidR="00B12AD9" w14:paraId="2F7A07F2" w14:textId="77777777" w:rsidTr="00597D21">
        <w:trPr>
          <w:trHeight w:val="299"/>
        </w:trPr>
        <w:tc>
          <w:tcPr>
            <w:tcW w:w="2528" w:type="dxa"/>
            <w:shd w:val="clear" w:color="auto" w:fill="B8CCE4" w:themeFill="accent1" w:themeFillTint="66"/>
          </w:tcPr>
          <w:p w14:paraId="7A2EDEFE" w14:textId="77777777" w:rsidR="003706B4" w:rsidRPr="005C4BC3" w:rsidRDefault="003706B4">
            <w:pPr>
              <w:rPr>
                <w:noProof/>
              </w:rPr>
            </w:pPr>
          </w:p>
        </w:tc>
        <w:tc>
          <w:tcPr>
            <w:tcW w:w="860" w:type="dxa"/>
            <w:shd w:val="clear" w:color="auto" w:fill="B8CCE4" w:themeFill="accent1" w:themeFillTint="66"/>
          </w:tcPr>
          <w:p w14:paraId="732DB2BA" w14:textId="380A06DA" w:rsidR="003706B4" w:rsidRPr="005C4BC3" w:rsidRDefault="003706B4">
            <w:pPr>
              <w:jc w:val="center"/>
              <w:rPr>
                <w:noProof/>
              </w:rPr>
            </w:pPr>
            <w:r w:rsidRPr="005C4BC3">
              <w:rPr>
                <w:noProof/>
              </w:rPr>
              <w:t>PO</w:t>
            </w:r>
            <w:r>
              <w:rPr>
                <w:noProof/>
              </w:rPr>
              <w:t>5</w:t>
            </w:r>
            <w:r w:rsidRPr="005C4BC3">
              <w:rPr>
                <w:noProof/>
              </w:rPr>
              <w:t>a</w:t>
            </w:r>
          </w:p>
        </w:tc>
        <w:tc>
          <w:tcPr>
            <w:tcW w:w="856" w:type="dxa"/>
            <w:shd w:val="clear" w:color="auto" w:fill="B8CCE4" w:themeFill="accent1" w:themeFillTint="66"/>
          </w:tcPr>
          <w:p w14:paraId="3B2E7E89" w14:textId="19EA913E" w:rsidR="003706B4" w:rsidRPr="005C4BC3" w:rsidRDefault="003706B4">
            <w:pPr>
              <w:jc w:val="center"/>
              <w:rPr>
                <w:noProof/>
              </w:rPr>
            </w:pPr>
            <w:r w:rsidRPr="005C4BC3">
              <w:rPr>
                <w:noProof/>
              </w:rPr>
              <w:t>PO</w:t>
            </w:r>
            <w:r>
              <w:rPr>
                <w:noProof/>
              </w:rPr>
              <w:t>5</w:t>
            </w:r>
            <w:r w:rsidRPr="005C4BC3">
              <w:rPr>
                <w:noProof/>
              </w:rPr>
              <w:t>b</w:t>
            </w:r>
          </w:p>
        </w:tc>
        <w:tc>
          <w:tcPr>
            <w:tcW w:w="860" w:type="dxa"/>
            <w:shd w:val="clear" w:color="auto" w:fill="B8CCE4" w:themeFill="accent1" w:themeFillTint="66"/>
          </w:tcPr>
          <w:p w14:paraId="01B91614" w14:textId="6ADFF1B4" w:rsidR="003706B4" w:rsidRPr="005C4BC3" w:rsidRDefault="003706B4">
            <w:pPr>
              <w:jc w:val="center"/>
              <w:rPr>
                <w:noProof/>
              </w:rPr>
            </w:pPr>
            <w:r w:rsidRPr="005C4BC3">
              <w:rPr>
                <w:noProof/>
              </w:rPr>
              <w:t>PO</w:t>
            </w:r>
            <w:r>
              <w:rPr>
                <w:noProof/>
              </w:rPr>
              <w:t>5</w:t>
            </w:r>
            <w:r w:rsidRPr="005C4BC3">
              <w:rPr>
                <w:noProof/>
              </w:rPr>
              <w:t>c</w:t>
            </w:r>
          </w:p>
        </w:tc>
        <w:tc>
          <w:tcPr>
            <w:tcW w:w="4677" w:type="dxa"/>
            <w:shd w:val="clear" w:color="auto" w:fill="B8CCE4" w:themeFill="accent1" w:themeFillTint="66"/>
          </w:tcPr>
          <w:p w14:paraId="3490BB9B" w14:textId="77777777" w:rsidR="003706B4" w:rsidRPr="005C4BC3" w:rsidRDefault="003706B4">
            <w:pPr>
              <w:rPr>
                <w:noProof/>
              </w:rPr>
            </w:pPr>
            <w:r w:rsidRPr="005C4BC3">
              <w:rPr>
                <w:noProof/>
              </w:rPr>
              <w:t>Motivation</w:t>
            </w:r>
          </w:p>
        </w:tc>
      </w:tr>
      <w:tr w:rsidR="003706B4" w:rsidRPr="00423F8E" w14:paraId="73DC7D1E" w14:textId="77777777" w:rsidTr="00597D21">
        <w:trPr>
          <w:trHeight w:val="539"/>
        </w:trPr>
        <w:tc>
          <w:tcPr>
            <w:tcW w:w="2528" w:type="dxa"/>
          </w:tcPr>
          <w:p w14:paraId="778FA933" w14:textId="7341E964" w:rsidR="003706B4" w:rsidRPr="005C4BC3" w:rsidRDefault="003706B4">
            <w:pPr>
              <w:rPr>
                <w:noProof/>
              </w:rPr>
            </w:pPr>
            <w:r w:rsidRPr="60F133DC">
              <w:rPr>
                <w:b/>
                <w:noProof/>
              </w:rPr>
              <w:t xml:space="preserve">Specific </w:t>
            </w:r>
            <w:r w:rsidR="32357C83" w:rsidRPr="18FF052C">
              <w:rPr>
                <w:b/>
                <w:bCs/>
                <w:noProof/>
              </w:rPr>
              <w:t>O</w:t>
            </w:r>
            <w:r w:rsidRPr="18FF052C">
              <w:rPr>
                <w:b/>
                <w:bCs/>
                <w:noProof/>
              </w:rPr>
              <w:t>bjective</w:t>
            </w:r>
            <w:r w:rsidRPr="60F133DC">
              <w:rPr>
                <w:b/>
                <w:noProof/>
              </w:rPr>
              <w:t xml:space="preserve"> 1:</w:t>
            </w:r>
            <w:r w:rsidRPr="60F133DC">
              <w:rPr>
                <w:noProof/>
              </w:rPr>
              <w:t xml:space="preserve">  </w:t>
            </w:r>
            <w:r w:rsidR="00330BC1" w:rsidRPr="60F133DC">
              <w:rPr>
                <w:noProof/>
              </w:rPr>
              <w:t>Provide</w:t>
            </w:r>
            <w:r w:rsidRPr="60F133DC">
              <w:rPr>
                <w:noProof/>
              </w:rPr>
              <w:t xml:space="preserve"> a common corporate legal framework for </w:t>
            </w:r>
            <w:r>
              <w:rPr>
                <w:noProof/>
              </w:rPr>
              <w:t xml:space="preserve">companies, in particular </w:t>
            </w:r>
            <w:r w:rsidRPr="60F133DC">
              <w:rPr>
                <w:noProof/>
              </w:rPr>
              <w:t>s</w:t>
            </w:r>
            <w:r w:rsidR="7A146FAA" w:rsidRPr="60F133DC">
              <w:rPr>
                <w:noProof/>
              </w:rPr>
              <w:t>tartup</w:t>
            </w:r>
            <w:r w:rsidRPr="60F133DC">
              <w:rPr>
                <w:noProof/>
              </w:rPr>
              <w:t xml:space="preserve">s and </w:t>
            </w:r>
            <w:r w:rsidRPr="7DEE8D98">
              <w:rPr>
                <w:noProof/>
              </w:rPr>
              <w:t>s</w:t>
            </w:r>
            <w:r w:rsidR="7112A37D" w:rsidRPr="7DEE8D98">
              <w:rPr>
                <w:noProof/>
              </w:rPr>
              <w:t>caleup</w:t>
            </w:r>
            <w:r w:rsidRPr="7DEE8D98">
              <w:rPr>
                <w:noProof/>
              </w:rPr>
              <w:t>s</w:t>
            </w:r>
            <w:r w:rsidRPr="60F133DC">
              <w:rPr>
                <w:noProof/>
              </w:rPr>
              <w:t xml:space="preserve"> in the EU</w:t>
            </w:r>
          </w:p>
        </w:tc>
        <w:tc>
          <w:tcPr>
            <w:tcW w:w="860" w:type="dxa"/>
          </w:tcPr>
          <w:p w14:paraId="5D5B0502" w14:textId="0B07853B" w:rsidR="003706B4" w:rsidRPr="005C4BC3" w:rsidRDefault="00453EDE">
            <w:pPr>
              <w:jc w:val="center"/>
              <w:rPr>
                <w:rFonts w:cstheme="minorHAnsi"/>
                <w:noProof/>
                <w:szCs w:val="20"/>
              </w:rPr>
            </w:pPr>
            <w:r>
              <w:rPr>
                <w:rFonts w:cstheme="minorHAnsi"/>
                <w:noProof/>
                <w:szCs w:val="20"/>
              </w:rPr>
              <w:t>1</w:t>
            </w:r>
          </w:p>
        </w:tc>
        <w:tc>
          <w:tcPr>
            <w:tcW w:w="856" w:type="dxa"/>
          </w:tcPr>
          <w:p w14:paraId="07DC04C2" w14:textId="399B6067" w:rsidR="003706B4" w:rsidRPr="005C4BC3" w:rsidRDefault="00222AC8">
            <w:pPr>
              <w:jc w:val="center"/>
              <w:rPr>
                <w:rFonts w:cstheme="minorHAnsi"/>
                <w:noProof/>
                <w:szCs w:val="20"/>
              </w:rPr>
            </w:pPr>
            <w:r>
              <w:rPr>
                <w:rFonts w:cstheme="minorHAnsi"/>
                <w:noProof/>
                <w:szCs w:val="20"/>
              </w:rPr>
              <w:t>2</w:t>
            </w:r>
          </w:p>
        </w:tc>
        <w:tc>
          <w:tcPr>
            <w:tcW w:w="860" w:type="dxa"/>
          </w:tcPr>
          <w:p w14:paraId="1EAF3097" w14:textId="60F65577" w:rsidR="003706B4" w:rsidRPr="005C4BC3" w:rsidRDefault="00222AC8">
            <w:pPr>
              <w:jc w:val="center"/>
              <w:rPr>
                <w:rFonts w:cstheme="minorHAnsi"/>
                <w:noProof/>
                <w:szCs w:val="20"/>
              </w:rPr>
            </w:pPr>
            <w:r>
              <w:rPr>
                <w:rFonts w:cstheme="minorHAnsi"/>
                <w:noProof/>
                <w:szCs w:val="20"/>
              </w:rPr>
              <w:t>3</w:t>
            </w:r>
          </w:p>
        </w:tc>
        <w:tc>
          <w:tcPr>
            <w:tcW w:w="4677" w:type="dxa"/>
          </w:tcPr>
          <w:p w14:paraId="0ECB34EA" w14:textId="62165D8C" w:rsidR="003706B4" w:rsidRPr="002F7C0B" w:rsidRDefault="008E0CBA" w:rsidP="005208E9">
            <w:pPr>
              <w:spacing w:after="0"/>
              <w:jc w:val="both"/>
              <w:rPr>
                <w:noProof/>
              </w:rPr>
            </w:pPr>
            <w:r>
              <w:rPr>
                <w:noProof/>
              </w:rPr>
              <w:t>The consultation activities</w:t>
            </w:r>
            <w:r w:rsidR="00613750">
              <w:rPr>
                <w:noProof/>
              </w:rPr>
              <w:t xml:space="preserve"> for this initiative and the European Innovation Act</w:t>
            </w:r>
            <w:r>
              <w:rPr>
                <w:noProof/>
              </w:rPr>
              <w:t xml:space="preserve">, </w:t>
            </w:r>
            <w:r w:rsidR="0087365F">
              <w:rPr>
                <w:noProof/>
              </w:rPr>
              <w:t>including feedback from workshop</w:t>
            </w:r>
            <w:r>
              <w:rPr>
                <w:noProof/>
              </w:rPr>
              <w:t>s</w:t>
            </w:r>
            <w:r w:rsidR="0087365F">
              <w:rPr>
                <w:noProof/>
              </w:rPr>
              <w:t xml:space="preserve"> with companies</w:t>
            </w:r>
            <w:r w:rsidR="00F61F6D">
              <w:rPr>
                <w:noProof/>
              </w:rPr>
              <w:t>,</w:t>
            </w:r>
            <w:r w:rsidR="0087365F">
              <w:rPr>
                <w:noProof/>
              </w:rPr>
              <w:t xml:space="preserve"> bilateral interviews with </w:t>
            </w:r>
            <w:r w:rsidR="009A7567" w:rsidRPr="00FE2E7C">
              <w:rPr>
                <w:noProof/>
              </w:rPr>
              <w:t xml:space="preserve">companies, and </w:t>
            </w:r>
            <w:r w:rsidR="007761F5">
              <w:rPr>
                <w:noProof/>
              </w:rPr>
              <w:t>other inputs</w:t>
            </w:r>
            <w:r w:rsidR="009A7567" w:rsidRPr="00FE2E7C">
              <w:rPr>
                <w:noProof/>
              </w:rPr>
              <w:t xml:space="preserve"> </w:t>
            </w:r>
            <w:r w:rsidR="00053232">
              <w:rPr>
                <w:noProof/>
              </w:rPr>
              <w:t>such as</w:t>
            </w:r>
            <w:r w:rsidR="001300A6">
              <w:rPr>
                <w:noProof/>
              </w:rPr>
              <w:t xml:space="preserve"> the EU</w:t>
            </w:r>
            <w:r w:rsidR="001F08A8">
              <w:rPr>
                <w:noProof/>
              </w:rPr>
              <w:t>-INC</w:t>
            </w:r>
            <w:r w:rsidR="009A7567" w:rsidRPr="00FE2E7C">
              <w:rPr>
                <w:noProof/>
              </w:rPr>
              <w:t xml:space="preserve"> </w:t>
            </w:r>
            <w:r w:rsidR="001300A6">
              <w:rPr>
                <w:noProof/>
              </w:rPr>
              <w:t>petition and blueprint, showed</w:t>
            </w:r>
            <w:r w:rsidR="009A7567" w:rsidRPr="00FE2E7C">
              <w:rPr>
                <w:noProof/>
              </w:rPr>
              <w:t xml:space="preserve"> </w:t>
            </w:r>
            <w:r w:rsidR="007761F5">
              <w:rPr>
                <w:noProof/>
              </w:rPr>
              <w:t xml:space="preserve">a clear call from the </w:t>
            </w:r>
            <w:r w:rsidR="593E3C80">
              <w:rPr>
                <w:noProof/>
              </w:rPr>
              <w:t>s</w:t>
            </w:r>
            <w:r w:rsidR="05DBEB9D">
              <w:rPr>
                <w:noProof/>
              </w:rPr>
              <w:t>tartup</w:t>
            </w:r>
            <w:r w:rsidR="007761F5">
              <w:rPr>
                <w:noProof/>
              </w:rPr>
              <w:t xml:space="preserve"> community </w:t>
            </w:r>
            <w:r w:rsidR="00AA129B">
              <w:rPr>
                <w:noProof/>
              </w:rPr>
              <w:t xml:space="preserve">for common </w:t>
            </w:r>
            <w:r w:rsidR="00D820DD">
              <w:rPr>
                <w:noProof/>
              </w:rPr>
              <w:t>rules for</w:t>
            </w:r>
            <w:r w:rsidR="009A7567" w:rsidRPr="00FE2E7C">
              <w:rPr>
                <w:noProof/>
              </w:rPr>
              <w:t xml:space="preserve"> </w:t>
            </w:r>
            <w:r w:rsidR="00613750">
              <w:rPr>
                <w:noProof/>
              </w:rPr>
              <w:t>ESOPs</w:t>
            </w:r>
            <w:r w:rsidR="009A7567" w:rsidRPr="00FE2E7C" w:rsidDel="0053589B">
              <w:rPr>
                <w:noProof/>
              </w:rPr>
              <w:t xml:space="preserve"> </w:t>
            </w:r>
            <w:r w:rsidR="00D820DD">
              <w:rPr>
                <w:noProof/>
              </w:rPr>
              <w:t xml:space="preserve">given their importance for </w:t>
            </w:r>
            <w:r w:rsidR="009A7567" w:rsidRPr="00FE2E7C">
              <w:rPr>
                <w:noProof/>
              </w:rPr>
              <w:t>attract</w:t>
            </w:r>
            <w:r w:rsidR="00D820DD">
              <w:rPr>
                <w:noProof/>
              </w:rPr>
              <w:t>ing</w:t>
            </w:r>
            <w:r w:rsidR="009A7567" w:rsidRPr="00FE2E7C">
              <w:rPr>
                <w:noProof/>
              </w:rPr>
              <w:t>, incentivis</w:t>
            </w:r>
            <w:r w:rsidR="00D820DD">
              <w:rPr>
                <w:noProof/>
              </w:rPr>
              <w:t>ing</w:t>
            </w:r>
            <w:r w:rsidR="009A7567" w:rsidRPr="00FE2E7C">
              <w:rPr>
                <w:noProof/>
              </w:rPr>
              <w:t xml:space="preserve"> and retain</w:t>
            </w:r>
            <w:r w:rsidR="00D820DD">
              <w:rPr>
                <w:noProof/>
              </w:rPr>
              <w:t>ing</w:t>
            </w:r>
            <w:r w:rsidR="009A7567" w:rsidRPr="00FE2E7C">
              <w:rPr>
                <w:noProof/>
              </w:rPr>
              <w:t xml:space="preserve"> talent</w:t>
            </w:r>
            <w:r w:rsidR="00D820DD">
              <w:rPr>
                <w:noProof/>
              </w:rPr>
              <w:t xml:space="preserve"> by </w:t>
            </w:r>
            <w:r w:rsidR="16DC7C1C">
              <w:rPr>
                <w:noProof/>
              </w:rPr>
              <w:t>s</w:t>
            </w:r>
            <w:r w:rsidR="7C5FA956">
              <w:rPr>
                <w:noProof/>
              </w:rPr>
              <w:t>tartup</w:t>
            </w:r>
            <w:r w:rsidR="16DC7C1C">
              <w:rPr>
                <w:noProof/>
              </w:rPr>
              <w:t>s</w:t>
            </w:r>
            <w:r w:rsidR="565D18A4">
              <w:rPr>
                <w:noProof/>
              </w:rPr>
              <w:t>.</w:t>
            </w:r>
            <w:r w:rsidR="002C0EBB" w:rsidRPr="002F7C0B">
              <w:rPr>
                <w:noProof/>
              </w:rPr>
              <w:t xml:space="preserve"> </w:t>
            </w:r>
            <w:r w:rsidR="00DE1AD2">
              <w:rPr>
                <w:noProof/>
              </w:rPr>
              <w:t xml:space="preserve">Therefore, </w:t>
            </w:r>
            <w:r w:rsidR="00E1196E">
              <w:rPr>
                <w:noProof/>
              </w:rPr>
              <w:t>provisions on ESOP</w:t>
            </w:r>
            <w:r w:rsidR="003B4CE2">
              <w:rPr>
                <w:noProof/>
              </w:rPr>
              <w:t>s</w:t>
            </w:r>
            <w:r w:rsidR="00E1196E">
              <w:rPr>
                <w:noProof/>
              </w:rPr>
              <w:t xml:space="preserve"> </w:t>
            </w:r>
            <w:r w:rsidR="00474BF8">
              <w:rPr>
                <w:noProof/>
              </w:rPr>
              <w:t>would contribute importantly towards achieving an objective of a common framework for 28</w:t>
            </w:r>
            <w:r w:rsidR="00474BF8" w:rsidRPr="00511FB1">
              <w:rPr>
                <w:noProof/>
                <w:vertAlign w:val="superscript"/>
              </w:rPr>
              <w:t>th</w:t>
            </w:r>
            <w:r w:rsidR="00474BF8">
              <w:rPr>
                <w:noProof/>
              </w:rPr>
              <w:t xml:space="preserve"> regime companies.</w:t>
            </w:r>
          </w:p>
          <w:p w14:paraId="41E7C77A" w14:textId="675650BB" w:rsidR="003706B4" w:rsidRPr="005208E9" w:rsidRDefault="009A2BE6" w:rsidP="005208E9">
            <w:pPr>
              <w:spacing w:after="0"/>
              <w:jc w:val="both"/>
              <w:rPr>
                <w:noProof/>
                <w:lang w:val="en-IE"/>
              </w:rPr>
            </w:pPr>
            <w:r w:rsidRPr="005208E9">
              <w:rPr>
                <w:noProof/>
                <w:lang w:val="en-IE"/>
              </w:rPr>
              <w:t>All policy options</w:t>
            </w:r>
            <w:r w:rsidR="00465302" w:rsidRPr="005208E9">
              <w:rPr>
                <w:noProof/>
                <w:lang w:val="en-IE"/>
              </w:rPr>
              <w:t xml:space="preserve"> contribute to</w:t>
            </w:r>
            <w:r w:rsidR="007C5B6B" w:rsidRPr="005208E9">
              <w:rPr>
                <w:noProof/>
                <w:lang w:val="en-IE"/>
              </w:rPr>
              <w:t xml:space="preserve"> a common</w:t>
            </w:r>
            <w:r w:rsidR="00C21257">
              <w:rPr>
                <w:noProof/>
                <w:lang w:val="en-IE"/>
              </w:rPr>
              <w:t xml:space="preserve"> corporate legal</w:t>
            </w:r>
            <w:r w:rsidR="007C5B6B" w:rsidRPr="005208E9">
              <w:rPr>
                <w:noProof/>
                <w:lang w:val="en-IE"/>
              </w:rPr>
              <w:t xml:space="preserve"> framework</w:t>
            </w:r>
            <w:r w:rsidR="00E2461D" w:rsidRPr="005208E9">
              <w:rPr>
                <w:noProof/>
                <w:lang w:val="en-IE"/>
              </w:rPr>
              <w:t>.</w:t>
            </w:r>
            <w:r w:rsidR="00E95F4A">
              <w:rPr>
                <w:noProof/>
                <w:lang w:val="en-IE"/>
              </w:rPr>
              <w:t xml:space="preserve"> </w:t>
            </w:r>
            <w:r w:rsidR="00031B97" w:rsidRPr="421A18F4">
              <w:rPr>
                <w:noProof/>
              </w:rPr>
              <w:t>PO5a</w:t>
            </w:r>
            <w:r w:rsidR="00031B97" w:rsidRPr="421A18F4" w:rsidDel="009B6445">
              <w:rPr>
                <w:noProof/>
              </w:rPr>
              <w:t xml:space="preserve"> would </w:t>
            </w:r>
            <w:r w:rsidR="00031B97" w:rsidRPr="421A18F4">
              <w:rPr>
                <w:noProof/>
              </w:rPr>
              <w:t>enable all 28</w:t>
            </w:r>
            <w:r w:rsidR="00031B97" w:rsidRPr="421A18F4">
              <w:rPr>
                <w:noProof/>
                <w:vertAlign w:val="superscript"/>
              </w:rPr>
              <w:t>th</w:t>
            </w:r>
            <w:r w:rsidR="00031B97" w:rsidRPr="421A18F4">
              <w:rPr>
                <w:noProof/>
              </w:rPr>
              <w:t xml:space="preserve"> regime companies</w:t>
            </w:r>
            <w:r w:rsidR="00031B97" w:rsidRPr="421A18F4" w:rsidDel="00B76AA3">
              <w:rPr>
                <w:noProof/>
              </w:rPr>
              <w:t xml:space="preserve"> </w:t>
            </w:r>
            <w:r w:rsidR="00031B97" w:rsidRPr="421A18F4">
              <w:rPr>
                <w:noProof/>
              </w:rPr>
              <w:t>to set up ESOPs, including schemes for non-voting shares, thus removing some of the existing restrictions in Member States</w:t>
            </w:r>
            <w:r w:rsidR="0039112E" w:rsidRPr="005208E9">
              <w:rPr>
                <w:noProof/>
                <w:lang w:val="en-IE"/>
              </w:rPr>
              <w:t>. PO5b</w:t>
            </w:r>
            <w:r w:rsidR="00B86EA5" w:rsidRPr="005208E9">
              <w:rPr>
                <w:noProof/>
                <w:lang w:val="en-IE"/>
              </w:rPr>
              <w:t xml:space="preserve"> </w:t>
            </w:r>
            <w:r w:rsidR="000B66D7" w:rsidRPr="005208E9">
              <w:rPr>
                <w:noProof/>
                <w:lang w:val="en-IE"/>
              </w:rPr>
              <w:t xml:space="preserve">would </w:t>
            </w:r>
            <w:r w:rsidR="00B924B0" w:rsidRPr="005208E9">
              <w:rPr>
                <w:noProof/>
                <w:lang w:val="en-IE"/>
              </w:rPr>
              <w:t>provide for</w:t>
            </w:r>
            <w:r w:rsidR="000B66D7" w:rsidRPr="005208E9">
              <w:rPr>
                <w:noProof/>
                <w:lang w:val="en-IE"/>
              </w:rPr>
              <w:t xml:space="preserve"> a</w:t>
            </w:r>
            <w:r w:rsidR="00B318A2">
              <w:rPr>
                <w:noProof/>
                <w:lang w:val="en-IE"/>
              </w:rPr>
              <w:t>n optional</w:t>
            </w:r>
            <w:r w:rsidR="000B66D7" w:rsidRPr="005208E9">
              <w:rPr>
                <w:noProof/>
                <w:lang w:val="en-IE"/>
              </w:rPr>
              <w:t xml:space="preserve"> </w:t>
            </w:r>
            <w:r w:rsidR="004034F1">
              <w:rPr>
                <w:noProof/>
                <w:lang w:val="en-IE"/>
              </w:rPr>
              <w:t>EU</w:t>
            </w:r>
            <w:r w:rsidR="004034F1" w:rsidRPr="00B30098">
              <w:rPr>
                <w:noProof/>
                <w:lang w:val="en-IE"/>
              </w:rPr>
              <w:t>-</w:t>
            </w:r>
            <w:r w:rsidR="00B924B0" w:rsidRPr="005208E9">
              <w:rPr>
                <w:noProof/>
                <w:lang w:val="en-IE"/>
              </w:rPr>
              <w:t>ESO</w:t>
            </w:r>
            <w:r w:rsidR="004D5782">
              <w:rPr>
                <w:noProof/>
                <w:lang w:val="en-IE"/>
              </w:rPr>
              <w:t xml:space="preserve"> for 28</w:t>
            </w:r>
            <w:r w:rsidR="004D5782" w:rsidRPr="00B30098">
              <w:rPr>
                <w:noProof/>
                <w:vertAlign w:val="superscript"/>
                <w:lang w:val="en-IE"/>
              </w:rPr>
              <w:t>th</w:t>
            </w:r>
            <w:r w:rsidR="004D5782">
              <w:rPr>
                <w:noProof/>
                <w:lang w:val="en-IE"/>
              </w:rPr>
              <w:t xml:space="preserve"> regime compani</w:t>
            </w:r>
            <w:r w:rsidR="001A15E9">
              <w:rPr>
                <w:noProof/>
                <w:lang w:val="en-IE"/>
              </w:rPr>
              <w:t>es</w:t>
            </w:r>
            <w:r w:rsidR="00B924B0" w:rsidRPr="005208E9">
              <w:rPr>
                <w:noProof/>
                <w:lang w:val="en-IE"/>
              </w:rPr>
              <w:t xml:space="preserve"> that</w:t>
            </w:r>
            <w:r w:rsidR="004D542F" w:rsidRPr="005208E9">
              <w:rPr>
                <w:noProof/>
                <w:lang w:val="en-IE"/>
              </w:rPr>
              <w:t xml:space="preserve"> </w:t>
            </w:r>
            <w:r w:rsidR="00526869" w:rsidRPr="005208E9">
              <w:rPr>
                <w:noProof/>
                <w:lang w:val="en-IE"/>
              </w:rPr>
              <w:t xml:space="preserve">would </w:t>
            </w:r>
            <w:r w:rsidR="0039344B" w:rsidRPr="005208E9">
              <w:rPr>
                <w:noProof/>
                <w:lang w:val="en-IE"/>
              </w:rPr>
              <w:t xml:space="preserve">serve as a </w:t>
            </w:r>
            <w:r>
              <w:rPr>
                <w:noProof/>
                <w:lang w:val="en-IE"/>
              </w:rPr>
              <w:t>scheme</w:t>
            </w:r>
            <w:r w:rsidR="00526869" w:rsidRPr="005208E9">
              <w:rPr>
                <w:noProof/>
                <w:lang w:val="en-IE"/>
              </w:rPr>
              <w:t xml:space="preserve"> on the basis of which</w:t>
            </w:r>
            <w:r w:rsidR="004D542F" w:rsidRPr="005208E9">
              <w:rPr>
                <w:noProof/>
                <w:lang w:val="en-IE"/>
              </w:rPr>
              <w:t xml:space="preserve"> </w:t>
            </w:r>
            <w:r w:rsidR="7CD1684E" w:rsidRPr="5FFBF985">
              <w:rPr>
                <w:noProof/>
                <w:lang w:val="en-IE"/>
              </w:rPr>
              <w:t>s</w:t>
            </w:r>
            <w:r w:rsidR="1FB7B9E2" w:rsidRPr="5FFBF985">
              <w:rPr>
                <w:noProof/>
                <w:lang w:val="en-IE"/>
              </w:rPr>
              <w:t>tartup</w:t>
            </w:r>
            <w:r w:rsidR="7CD1684E" w:rsidRPr="5FFBF985">
              <w:rPr>
                <w:noProof/>
                <w:lang w:val="en-IE"/>
              </w:rPr>
              <w:t>s</w:t>
            </w:r>
            <w:r w:rsidR="004D542F" w:rsidRPr="005208E9">
              <w:rPr>
                <w:noProof/>
                <w:lang w:val="en-IE"/>
              </w:rPr>
              <w:t xml:space="preserve"> and </w:t>
            </w:r>
            <w:r w:rsidR="7CD1684E" w:rsidRPr="7DEE8D98">
              <w:rPr>
                <w:noProof/>
                <w:lang w:val="en-IE"/>
              </w:rPr>
              <w:t>s</w:t>
            </w:r>
            <w:r w:rsidR="49F7F2EF" w:rsidRPr="7DEE8D98">
              <w:rPr>
                <w:noProof/>
                <w:lang w:val="en-IE"/>
              </w:rPr>
              <w:t>caleup</w:t>
            </w:r>
            <w:r w:rsidR="7CD1684E" w:rsidRPr="7DEE8D98">
              <w:rPr>
                <w:noProof/>
                <w:lang w:val="en-IE"/>
              </w:rPr>
              <w:t>s</w:t>
            </w:r>
            <w:r w:rsidR="004D542F" w:rsidRPr="005208E9">
              <w:rPr>
                <w:noProof/>
                <w:lang w:val="en-IE"/>
              </w:rPr>
              <w:t xml:space="preserve"> </w:t>
            </w:r>
            <w:r w:rsidR="00264395" w:rsidRPr="005208E9">
              <w:rPr>
                <w:noProof/>
                <w:lang w:val="en-IE"/>
              </w:rPr>
              <w:t>c</w:t>
            </w:r>
            <w:r w:rsidR="00526869" w:rsidRPr="005208E9">
              <w:rPr>
                <w:noProof/>
                <w:lang w:val="en-IE"/>
              </w:rPr>
              <w:t xml:space="preserve">ould set up </w:t>
            </w:r>
            <w:r w:rsidR="005E0E28">
              <w:rPr>
                <w:noProof/>
                <w:lang w:val="en-IE"/>
              </w:rPr>
              <w:t>stock option-based ownership plans</w:t>
            </w:r>
            <w:r w:rsidR="0086605B">
              <w:rPr>
                <w:noProof/>
                <w:lang w:val="en-IE"/>
              </w:rPr>
              <w:t>, and therefore, would be more effective</w:t>
            </w:r>
            <w:r w:rsidR="00661DDC">
              <w:rPr>
                <w:noProof/>
                <w:lang w:val="en-IE"/>
              </w:rPr>
              <w:t xml:space="preserve"> than PO5a</w:t>
            </w:r>
            <w:r w:rsidR="00526869" w:rsidRPr="005208E9">
              <w:rPr>
                <w:noProof/>
                <w:lang w:val="en-IE"/>
              </w:rPr>
              <w:t xml:space="preserve">. </w:t>
            </w:r>
            <w:r w:rsidR="00870B9F" w:rsidRPr="005208E9">
              <w:rPr>
                <w:noProof/>
                <w:lang w:val="en-IE"/>
              </w:rPr>
              <w:t>PO5c</w:t>
            </w:r>
            <w:r w:rsidR="009743F2" w:rsidRPr="005208E9">
              <w:rPr>
                <w:noProof/>
                <w:lang w:val="en-IE"/>
              </w:rPr>
              <w:t xml:space="preserve"> would </w:t>
            </w:r>
            <w:r w:rsidR="00101735" w:rsidRPr="005208E9">
              <w:rPr>
                <w:noProof/>
                <w:lang w:val="en-IE"/>
              </w:rPr>
              <w:t>remove</w:t>
            </w:r>
            <w:r w:rsidR="00EA33C6" w:rsidRPr="005208E9">
              <w:rPr>
                <w:noProof/>
                <w:lang w:val="en-IE"/>
              </w:rPr>
              <w:t xml:space="preserve"> different </w:t>
            </w:r>
            <w:r w:rsidR="00EF5451" w:rsidRPr="005208E9">
              <w:rPr>
                <w:noProof/>
                <w:lang w:val="en-IE"/>
              </w:rPr>
              <w:t>timing</w:t>
            </w:r>
            <w:r w:rsidR="00101735" w:rsidRPr="005208E9">
              <w:rPr>
                <w:noProof/>
                <w:lang w:val="en-IE"/>
              </w:rPr>
              <w:t>s</w:t>
            </w:r>
            <w:r w:rsidR="00EF5451" w:rsidRPr="005208E9">
              <w:rPr>
                <w:noProof/>
                <w:lang w:val="en-IE"/>
              </w:rPr>
              <w:t xml:space="preserve"> of taxation </w:t>
            </w:r>
            <w:r w:rsidR="00282B94">
              <w:rPr>
                <w:noProof/>
                <w:lang w:val="en-IE"/>
              </w:rPr>
              <w:t>for the c</w:t>
            </w:r>
            <w:r w:rsidR="00CA6E5E">
              <w:rPr>
                <w:noProof/>
                <w:lang w:val="en-IE"/>
              </w:rPr>
              <w:t>ommon</w:t>
            </w:r>
            <w:r w:rsidR="001A2F4A">
              <w:rPr>
                <w:noProof/>
                <w:lang w:val="en-IE"/>
              </w:rPr>
              <w:t xml:space="preserve"> </w:t>
            </w:r>
            <w:r w:rsidR="00CA6E5E">
              <w:rPr>
                <w:noProof/>
                <w:lang w:val="en-IE"/>
              </w:rPr>
              <w:t>EU-</w:t>
            </w:r>
            <w:r w:rsidR="001A2F4A">
              <w:rPr>
                <w:noProof/>
                <w:lang w:val="en-IE"/>
              </w:rPr>
              <w:t xml:space="preserve">ESO </w:t>
            </w:r>
            <w:r w:rsidR="00EF5451" w:rsidRPr="005208E9">
              <w:rPr>
                <w:noProof/>
                <w:lang w:val="en-IE"/>
              </w:rPr>
              <w:t>in Member States</w:t>
            </w:r>
            <w:r w:rsidR="00FB0A0B" w:rsidRPr="005208E9">
              <w:rPr>
                <w:noProof/>
                <w:lang w:val="en-IE"/>
              </w:rPr>
              <w:t xml:space="preserve"> </w:t>
            </w:r>
            <w:r w:rsidR="00B5258E" w:rsidRPr="005208E9">
              <w:rPr>
                <w:noProof/>
                <w:lang w:val="en-IE"/>
              </w:rPr>
              <w:t xml:space="preserve">as a </w:t>
            </w:r>
            <w:r w:rsidR="00CF3DF9">
              <w:rPr>
                <w:noProof/>
                <w:lang w:val="en-IE"/>
              </w:rPr>
              <w:t xml:space="preserve">further </w:t>
            </w:r>
            <w:r w:rsidR="00B5258E" w:rsidRPr="005208E9">
              <w:rPr>
                <w:noProof/>
                <w:lang w:val="en-IE"/>
              </w:rPr>
              <w:t>incentive to</w:t>
            </w:r>
            <w:r w:rsidR="00B13DCB" w:rsidRPr="005208E9">
              <w:rPr>
                <w:noProof/>
                <w:lang w:val="en-IE"/>
              </w:rPr>
              <w:t xml:space="preserve"> </w:t>
            </w:r>
            <w:r w:rsidR="00EB2D21">
              <w:rPr>
                <w:noProof/>
                <w:lang w:val="en-IE"/>
              </w:rPr>
              <w:t>choose</w:t>
            </w:r>
            <w:r w:rsidR="000216E6" w:rsidRPr="005208E9">
              <w:rPr>
                <w:noProof/>
                <w:lang w:val="en-IE"/>
              </w:rPr>
              <w:t xml:space="preserve"> this </w:t>
            </w:r>
            <w:r>
              <w:rPr>
                <w:noProof/>
                <w:lang w:val="en-IE"/>
              </w:rPr>
              <w:t>scheme</w:t>
            </w:r>
            <w:r w:rsidR="00743FBA">
              <w:rPr>
                <w:noProof/>
                <w:lang w:val="en-IE"/>
              </w:rPr>
              <w:t>;</w:t>
            </w:r>
            <w:r w:rsidR="006F2D59">
              <w:rPr>
                <w:noProof/>
                <w:lang w:val="en-IE"/>
              </w:rPr>
              <w:t xml:space="preserve"> by </w:t>
            </w:r>
            <w:r w:rsidR="0079337B">
              <w:rPr>
                <w:noProof/>
                <w:lang w:val="en-IE"/>
              </w:rPr>
              <w:t>harmonisin</w:t>
            </w:r>
            <w:r w:rsidR="006F2D59">
              <w:rPr>
                <w:noProof/>
                <w:lang w:val="en-IE"/>
              </w:rPr>
              <w:t xml:space="preserve">g also </w:t>
            </w:r>
            <w:r w:rsidR="00743FBA">
              <w:rPr>
                <w:noProof/>
                <w:lang w:val="en-IE"/>
              </w:rPr>
              <w:t>this</w:t>
            </w:r>
            <w:r w:rsidR="006F2D59">
              <w:rPr>
                <w:noProof/>
                <w:lang w:val="en-IE"/>
              </w:rPr>
              <w:t xml:space="preserve"> taxation aspect, </w:t>
            </w:r>
            <w:r w:rsidR="0079337B">
              <w:rPr>
                <w:noProof/>
                <w:lang w:val="en-IE"/>
              </w:rPr>
              <w:t xml:space="preserve">it </w:t>
            </w:r>
            <w:r w:rsidR="006F2D59">
              <w:rPr>
                <w:noProof/>
                <w:lang w:val="en-IE"/>
              </w:rPr>
              <w:t xml:space="preserve">would be most effective at </w:t>
            </w:r>
            <w:r w:rsidR="0038621D">
              <w:rPr>
                <w:noProof/>
                <w:lang w:val="en-IE"/>
              </w:rPr>
              <w:t>achieving the objective</w:t>
            </w:r>
            <w:r w:rsidR="00DC428B" w:rsidRPr="005208E9">
              <w:rPr>
                <w:noProof/>
                <w:lang w:val="en-IE"/>
              </w:rPr>
              <w:t>.</w:t>
            </w:r>
          </w:p>
        </w:tc>
      </w:tr>
      <w:tr w:rsidR="003706B4" w:rsidRPr="00B97033" w14:paraId="698EC989" w14:textId="77777777" w:rsidTr="004D3259">
        <w:trPr>
          <w:trHeight w:val="3676"/>
        </w:trPr>
        <w:tc>
          <w:tcPr>
            <w:tcW w:w="2528" w:type="dxa"/>
          </w:tcPr>
          <w:p w14:paraId="6CB8D404" w14:textId="0D1AFDF9" w:rsidR="003706B4" w:rsidRPr="005C4BC3" w:rsidRDefault="003706B4">
            <w:pPr>
              <w:rPr>
                <w:noProof/>
              </w:rPr>
            </w:pPr>
            <w:r w:rsidRPr="5FFBF985">
              <w:rPr>
                <w:b/>
                <w:noProof/>
              </w:rPr>
              <w:t>Specific Objective 2:</w:t>
            </w:r>
            <w:r w:rsidRPr="5FFBF985">
              <w:rPr>
                <w:noProof/>
              </w:rPr>
              <w:t xml:space="preserve"> </w:t>
            </w:r>
            <w:r w:rsidR="00330BC1" w:rsidRPr="5FFBF985">
              <w:rPr>
                <w:noProof/>
              </w:rPr>
              <w:t xml:space="preserve">Provide </w:t>
            </w:r>
            <w:r w:rsidRPr="5FFBF985">
              <w:rPr>
                <w:noProof/>
              </w:rPr>
              <w:t xml:space="preserve">simple and efficient corporate rules and procedures throughout the </w:t>
            </w:r>
            <w:r>
              <w:rPr>
                <w:noProof/>
              </w:rPr>
              <w:t xml:space="preserve">company </w:t>
            </w:r>
            <w:r w:rsidRPr="5FFBF985">
              <w:rPr>
                <w:noProof/>
              </w:rPr>
              <w:t xml:space="preserve">lifecycle </w:t>
            </w:r>
          </w:p>
        </w:tc>
        <w:tc>
          <w:tcPr>
            <w:tcW w:w="860" w:type="dxa"/>
          </w:tcPr>
          <w:p w14:paraId="09AAA1DB" w14:textId="30F9E25F" w:rsidR="003706B4" w:rsidRPr="005C4BC3" w:rsidRDefault="00DF4E6D">
            <w:pPr>
              <w:jc w:val="center"/>
              <w:rPr>
                <w:rFonts w:cstheme="minorHAnsi"/>
                <w:noProof/>
                <w:szCs w:val="20"/>
              </w:rPr>
            </w:pPr>
            <w:r>
              <w:rPr>
                <w:rFonts w:cstheme="minorHAnsi"/>
                <w:noProof/>
                <w:szCs w:val="20"/>
              </w:rPr>
              <w:t>1</w:t>
            </w:r>
          </w:p>
        </w:tc>
        <w:tc>
          <w:tcPr>
            <w:tcW w:w="856" w:type="dxa"/>
          </w:tcPr>
          <w:p w14:paraId="72100088" w14:textId="4DDE508E" w:rsidR="003706B4" w:rsidRPr="005C4BC3" w:rsidRDefault="00AC433A">
            <w:pPr>
              <w:jc w:val="center"/>
              <w:rPr>
                <w:rFonts w:cstheme="minorHAnsi"/>
                <w:noProof/>
                <w:szCs w:val="20"/>
              </w:rPr>
            </w:pPr>
            <w:r>
              <w:rPr>
                <w:rFonts w:cstheme="minorHAnsi"/>
                <w:noProof/>
                <w:szCs w:val="20"/>
              </w:rPr>
              <w:t>3</w:t>
            </w:r>
          </w:p>
        </w:tc>
        <w:tc>
          <w:tcPr>
            <w:tcW w:w="860" w:type="dxa"/>
          </w:tcPr>
          <w:p w14:paraId="6AF16787" w14:textId="7E5339C1" w:rsidR="003706B4" w:rsidRPr="005C4BC3" w:rsidRDefault="00AC433A">
            <w:pPr>
              <w:jc w:val="center"/>
              <w:rPr>
                <w:rFonts w:cstheme="minorHAnsi"/>
                <w:noProof/>
                <w:szCs w:val="20"/>
              </w:rPr>
            </w:pPr>
            <w:r>
              <w:rPr>
                <w:rFonts w:cstheme="minorHAnsi"/>
                <w:noProof/>
                <w:szCs w:val="20"/>
              </w:rPr>
              <w:t>4</w:t>
            </w:r>
          </w:p>
        </w:tc>
        <w:tc>
          <w:tcPr>
            <w:tcW w:w="4677" w:type="dxa"/>
          </w:tcPr>
          <w:p w14:paraId="4A1D8547" w14:textId="1C4251FD" w:rsidR="003706B4" w:rsidRPr="005C4BC3" w:rsidRDefault="00BF29EF" w:rsidP="005208E9">
            <w:pPr>
              <w:jc w:val="both"/>
              <w:rPr>
                <w:noProof/>
              </w:rPr>
            </w:pPr>
            <w:r w:rsidRPr="5FFBF985">
              <w:rPr>
                <w:noProof/>
              </w:rPr>
              <w:t>PO5</w:t>
            </w:r>
            <w:r w:rsidR="00517C4A" w:rsidRPr="5FFBF985">
              <w:rPr>
                <w:noProof/>
              </w:rPr>
              <w:t xml:space="preserve">a would achieve the objective </w:t>
            </w:r>
            <w:r w:rsidR="00B63FE1" w:rsidRPr="5FFBF985">
              <w:rPr>
                <w:noProof/>
              </w:rPr>
              <w:t xml:space="preserve">only </w:t>
            </w:r>
            <w:r w:rsidR="00517C4A" w:rsidRPr="5FFBF985">
              <w:rPr>
                <w:noProof/>
              </w:rPr>
              <w:t xml:space="preserve">to a </w:t>
            </w:r>
            <w:r w:rsidR="00B63FE1" w:rsidRPr="5FFBF985">
              <w:rPr>
                <w:noProof/>
              </w:rPr>
              <w:t>small</w:t>
            </w:r>
            <w:r w:rsidR="00517C4A" w:rsidRPr="5FFBF985">
              <w:rPr>
                <w:noProof/>
              </w:rPr>
              <w:t xml:space="preserve"> extent, </w:t>
            </w:r>
            <w:r w:rsidR="00BF4DE3" w:rsidRPr="5FFBF985">
              <w:rPr>
                <w:noProof/>
              </w:rPr>
              <w:t>as it</w:t>
            </w:r>
            <w:r w:rsidR="004C72FE" w:rsidRPr="5FFBF985">
              <w:rPr>
                <w:noProof/>
              </w:rPr>
              <w:t xml:space="preserve"> would</w:t>
            </w:r>
            <w:r w:rsidR="00BF4DE3" w:rsidRPr="5FFBF985">
              <w:rPr>
                <w:noProof/>
              </w:rPr>
              <w:t xml:space="preserve"> </w:t>
            </w:r>
            <w:r w:rsidR="00B8675F" w:rsidRPr="5FFBF985">
              <w:rPr>
                <w:noProof/>
              </w:rPr>
              <w:t xml:space="preserve">leave it </w:t>
            </w:r>
            <w:r w:rsidR="004C72FE" w:rsidRPr="5FFBF985">
              <w:rPr>
                <w:noProof/>
              </w:rPr>
              <w:t>to</w:t>
            </w:r>
            <w:r w:rsidR="00DC6E82" w:rsidRPr="5FFBF985">
              <w:rPr>
                <w:noProof/>
              </w:rPr>
              <w:t xml:space="preserve"> compan</w:t>
            </w:r>
            <w:r w:rsidR="004C72FE" w:rsidRPr="5FFBF985">
              <w:rPr>
                <w:noProof/>
              </w:rPr>
              <w:t>ies</w:t>
            </w:r>
            <w:r w:rsidR="00DC6E82" w:rsidRPr="5FFBF985">
              <w:rPr>
                <w:noProof/>
              </w:rPr>
              <w:t xml:space="preserve"> to </w:t>
            </w:r>
            <w:r w:rsidR="00171844" w:rsidRPr="5FFBF985">
              <w:rPr>
                <w:noProof/>
              </w:rPr>
              <w:t>make</w:t>
            </w:r>
            <w:r w:rsidR="00265A63" w:rsidRPr="5FFBF985">
              <w:rPr>
                <w:noProof/>
              </w:rPr>
              <w:t xml:space="preserve"> all relevant</w:t>
            </w:r>
            <w:r w:rsidR="004C72FE" w:rsidRPr="5FFBF985">
              <w:rPr>
                <w:noProof/>
              </w:rPr>
              <w:t xml:space="preserve"> choices for setting up an ESOP within the legal limits</w:t>
            </w:r>
            <w:r w:rsidR="00B0071C" w:rsidRPr="5FFBF985">
              <w:rPr>
                <w:noProof/>
              </w:rPr>
              <w:t xml:space="preserve"> and would</w:t>
            </w:r>
            <w:r w:rsidR="000E1EB4" w:rsidRPr="5FFBF985">
              <w:rPr>
                <w:noProof/>
              </w:rPr>
              <w:t xml:space="preserve"> not address</w:t>
            </w:r>
            <w:r w:rsidR="00F91D9E" w:rsidRPr="5FFBF985">
              <w:rPr>
                <w:noProof/>
              </w:rPr>
              <w:t xml:space="preserve"> taxation aspects</w:t>
            </w:r>
            <w:r w:rsidR="004C72FE" w:rsidRPr="5FFBF985">
              <w:rPr>
                <w:noProof/>
              </w:rPr>
              <w:t>.</w:t>
            </w:r>
            <w:r w:rsidR="00265A63" w:rsidRPr="5FFBF985">
              <w:rPr>
                <w:noProof/>
              </w:rPr>
              <w:t xml:space="preserve"> </w:t>
            </w:r>
            <w:r w:rsidR="005C248D" w:rsidRPr="5FFBF985">
              <w:rPr>
                <w:noProof/>
              </w:rPr>
              <w:t>While</w:t>
            </w:r>
            <w:r w:rsidR="002364C6" w:rsidRPr="5FFBF985">
              <w:rPr>
                <w:noProof/>
              </w:rPr>
              <w:t xml:space="preserve"> </w:t>
            </w:r>
            <w:r w:rsidR="00494206" w:rsidRPr="5FFBF985">
              <w:rPr>
                <w:noProof/>
              </w:rPr>
              <w:t xml:space="preserve">PO5b would simplify procedures for </w:t>
            </w:r>
            <w:r w:rsidR="38BE2F91" w:rsidRPr="5FFBF985">
              <w:rPr>
                <w:noProof/>
              </w:rPr>
              <w:t>s</w:t>
            </w:r>
            <w:r w:rsidR="5C0A5E8A" w:rsidRPr="5FFBF985">
              <w:rPr>
                <w:noProof/>
              </w:rPr>
              <w:t>tartup</w:t>
            </w:r>
            <w:r w:rsidR="38BE2F91" w:rsidRPr="5FFBF985">
              <w:rPr>
                <w:noProof/>
              </w:rPr>
              <w:t>s</w:t>
            </w:r>
            <w:r w:rsidR="00494206" w:rsidRPr="5FFBF985">
              <w:rPr>
                <w:noProof/>
              </w:rPr>
              <w:t xml:space="preserve"> and </w:t>
            </w:r>
            <w:r w:rsidR="38BE2F91" w:rsidRPr="7DEE8D98">
              <w:rPr>
                <w:noProof/>
              </w:rPr>
              <w:t>s</w:t>
            </w:r>
            <w:r w:rsidR="37287BE0" w:rsidRPr="7DEE8D98">
              <w:rPr>
                <w:noProof/>
              </w:rPr>
              <w:t>caleup</w:t>
            </w:r>
            <w:r w:rsidR="38BE2F91" w:rsidRPr="7DEE8D98">
              <w:rPr>
                <w:noProof/>
              </w:rPr>
              <w:t>s</w:t>
            </w:r>
            <w:r w:rsidR="00494206" w:rsidRPr="5FFBF985">
              <w:rPr>
                <w:noProof/>
              </w:rPr>
              <w:t xml:space="preserve"> through the provision of the EU-ESO for 28</w:t>
            </w:r>
            <w:r w:rsidR="00494206" w:rsidRPr="5FFBF985">
              <w:rPr>
                <w:noProof/>
                <w:vertAlign w:val="superscript"/>
              </w:rPr>
              <w:t>th</w:t>
            </w:r>
            <w:r w:rsidR="00494206" w:rsidRPr="5FFBF985">
              <w:rPr>
                <w:noProof/>
              </w:rPr>
              <w:t xml:space="preserve"> regime companies</w:t>
            </w:r>
            <w:r w:rsidR="005C248D" w:rsidRPr="5FFBF985">
              <w:rPr>
                <w:noProof/>
              </w:rPr>
              <w:t>, it</w:t>
            </w:r>
            <w:r w:rsidR="00494206" w:rsidRPr="5FFBF985">
              <w:rPr>
                <w:noProof/>
              </w:rPr>
              <w:t xml:space="preserve"> would </w:t>
            </w:r>
            <w:r w:rsidR="005C248D" w:rsidRPr="5FFBF985">
              <w:rPr>
                <w:noProof/>
              </w:rPr>
              <w:t xml:space="preserve">also </w:t>
            </w:r>
            <w:r w:rsidR="00494206" w:rsidRPr="5FFBF985">
              <w:rPr>
                <w:noProof/>
              </w:rPr>
              <w:t xml:space="preserve">keep the status quo as regards taxation. PO5c </w:t>
            </w:r>
            <w:r w:rsidR="005C248D" w:rsidRPr="5FFBF985">
              <w:rPr>
                <w:noProof/>
              </w:rPr>
              <w:t xml:space="preserve">would in addition </w:t>
            </w:r>
            <w:r w:rsidR="00494206" w:rsidRPr="5FFBF985">
              <w:rPr>
                <w:noProof/>
              </w:rPr>
              <w:t>set out a single, simple point in time for taxing the EU-ESO</w:t>
            </w:r>
            <w:r w:rsidR="005C248D" w:rsidRPr="5FFBF985">
              <w:rPr>
                <w:noProof/>
              </w:rPr>
              <w:t xml:space="preserve"> and would thus be the most effective in meeting the objective of simple and efficient rules</w:t>
            </w:r>
            <w:r w:rsidR="00494206" w:rsidRPr="5FFBF985">
              <w:rPr>
                <w:noProof/>
              </w:rPr>
              <w:t>.</w:t>
            </w:r>
          </w:p>
        </w:tc>
      </w:tr>
      <w:tr w:rsidR="003706B4" w:rsidRPr="00B97033" w14:paraId="4352AB6F" w14:textId="77777777" w:rsidTr="00597D21">
        <w:trPr>
          <w:trHeight w:val="582"/>
        </w:trPr>
        <w:tc>
          <w:tcPr>
            <w:tcW w:w="2528" w:type="dxa"/>
          </w:tcPr>
          <w:p w14:paraId="25D67752" w14:textId="665C5EDF" w:rsidR="003706B4" w:rsidRPr="005C4BC3" w:rsidRDefault="003706B4">
            <w:pPr>
              <w:rPr>
                <w:b/>
                <w:noProof/>
              </w:rPr>
            </w:pPr>
            <w:r w:rsidRPr="5FFBF985">
              <w:rPr>
                <w:b/>
                <w:noProof/>
              </w:rPr>
              <w:t>Specific Objective 3:</w:t>
            </w:r>
            <w:r w:rsidRPr="5FFBF985">
              <w:rPr>
                <w:noProof/>
              </w:rPr>
              <w:t xml:space="preserve"> Ensure that corporate rules provide an enabling framework to invest </w:t>
            </w:r>
          </w:p>
        </w:tc>
        <w:tc>
          <w:tcPr>
            <w:tcW w:w="860" w:type="dxa"/>
          </w:tcPr>
          <w:p w14:paraId="2FAC4381" w14:textId="6E4EFD42" w:rsidR="003706B4" w:rsidRDefault="002D7A7E">
            <w:pPr>
              <w:jc w:val="center"/>
              <w:rPr>
                <w:rFonts w:cstheme="minorHAnsi"/>
                <w:noProof/>
                <w:szCs w:val="20"/>
              </w:rPr>
            </w:pPr>
            <w:r>
              <w:rPr>
                <w:rFonts w:cstheme="minorHAnsi"/>
                <w:noProof/>
                <w:szCs w:val="20"/>
              </w:rPr>
              <w:t>1</w:t>
            </w:r>
          </w:p>
        </w:tc>
        <w:tc>
          <w:tcPr>
            <w:tcW w:w="856" w:type="dxa"/>
          </w:tcPr>
          <w:p w14:paraId="7EA686F9" w14:textId="575ECCCF" w:rsidR="003706B4" w:rsidRPr="005C4BC3" w:rsidRDefault="001176AD">
            <w:pPr>
              <w:jc w:val="center"/>
              <w:rPr>
                <w:rFonts w:cstheme="minorHAnsi"/>
                <w:noProof/>
                <w:szCs w:val="20"/>
              </w:rPr>
            </w:pPr>
            <w:r>
              <w:rPr>
                <w:rFonts w:cstheme="minorHAnsi"/>
                <w:noProof/>
                <w:szCs w:val="20"/>
              </w:rPr>
              <w:t>3</w:t>
            </w:r>
          </w:p>
        </w:tc>
        <w:tc>
          <w:tcPr>
            <w:tcW w:w="860" w:type="dxa"/>
          </w:tcPr>
          <w:p w14:paraId="5594F9DD" w14:textId="0E4A0B5A" w:rsidR="003706B4" w:rsidRDefault="001B7930">
            <w:pPr>
              <w:jc w:val="center"/>
              <w:rPr>
                <w:rFonts w:cstheme="minorHAnsi"/>
                <w:noProof/>
                <w:szCs w:val="20"/>
              </w:rPr>
            </w:pPr>
            <w:r>
              <w:rPr>
                <w:rFonts w:cstheme="minorHAnsi"/>
                <w:noProof/>
                <w:szCs w:val="20"/>
              </w:rPr>
              <w:t>4</w:t>
            </w:r>
          </w:p>
        </w:tc>
        <w:tc>
          <w:tcPr>
            <w:tcW w:w="4677" w:type="dxa"/>
          </w:tcPr>
          <w:p w14:paraId="4F42736B" w14:textId="6481CAEC" w:rsidR="003706B4" w:rsidRPr="005C4BC3" w:rsidRDefault="002158FE" w:rsidP="005208E9">
            <w:pPr>
              <w:jc w:val="both"/>
              <w:rPr>
                <w:rFonts w:cstheme="minorHAnsi"/>
                <w:noProof/>
                <w:szCs w:val="20"/>
              </w:rPr>
            </w:pPr>
            <w:r>
              <w:rPr>
                <w:rFonts w:cstheme="minorHAnsi"/>
                <w:noProof/>
                <w:szCs w:val="20"/>
              </w:rPr>
              <w:t>These policy options</w:t>
            </w:r>
            <w:r w:rsidR="007549FD" w:rsidRPr="00B865D1">
              <w:rPr>
                <w:rFonts w:cstheme="minorHAnsi"/>
                <w:noProof/>
                <w:szCs w:val="20"/>
              </w:rPr>
              <w:t xml:space="preserve"> would </w:t>
            </w:r>
            <w:r w:rsidR="0084121F">
              <w:rPr>
                <w:rFonts w:cstheme="minorHAnsi"/>
                <w:noProof/>
                <w:szCs w:val="20"/>
              </w:rPr>
              <w:t xml:space="preserve">be also relevant </w:t>
            </w:r>
            <w:r w:rsidR="00935930">
              <w:rPr>
                <w:rFonts w:cstheme="minorHAnsi"/>
                <w:noProof/>
                <w:szCs w:val="20"/>
              </w:rPr>
              <w:t>to</w:t>
            </w:r>
            <w:r w:rsidR="0084121F">
              <w:rPr>
                <w:rFonts w:cstheme="minorHAnsi"/>
                <w:noProof/>
                <w:szCs w:val="20"/>
              </w:rPr>
              <w:t xml:space="preserve"> achiev</w:t>
            </w:r>
            <w:r w:rsidR="00935930">
              <w:rPr>
                <w:rFonts w:cstheme="minorHAnsi"/>
                <w:noProof/>
                <w:szCs w:val="20"/>
              </w:rPr>
              <w:t>e</w:t>
            </w:r>
            <w:r w:rsidR="0084121F">
              <w:rPr>
                <w:rFonts w:cstheme="minorHAnsi"/>
                <w:noProof/>
                <w:szCs w:val="20"/>
              </w:rPr>
              <w:t xml:space="preserve"> the objective of providing an enabling framework to invest as </w:t>
            </w:r>
            <w:r w:rsidR="00FE1C7A">
              <w:rPr>
                <w:rFonts w:cstheme="minorHAnsi"/>
                <w:noProof/>
                <w:szCs w:val="20"/>
              </w:rPr>
              <w:t xml:space="preserve">they would </w:t>
            </w:r>
            <w:r w:rsidR="00D243A9">
              <w:rPr>
                <w:rFonts w:cstheme="minorHAnsi"/>
                <w:noProof/>
                <w:szCs w:val="20"/>
              </w:rPr>
              <w:t>help</w:t>
            </w:r>
            <w:r w:rsidR="00DE1452">
              <w:rPr>
                <w:rFonts w:cstheme="minorHAnsi"/>
                <w:noProof/>
                <w:szCs w:val="20"/>
              </w:rPr>
              <w:t xml:space="preserve"> companies </w:t>
            </w:r>
            <w:r w:rsidR="00B12E3B">
              <w:rPr>
                <w:rFonts w:cstheme="minorHAnsi"/>
                <w:noProof/>
                <w:szCs w:val="20"/>
              </w:rPr>
              <w:t>demonstrate</w:t>
            </w:r>
            <w:r w:rsidR="00681857">
              <w:rPr>
                <w:rFonts w:cstheme="minorHAnsi"/>
                <w:noProof/>
                <w:szCs w:val="20"/>
              </w:rPr>
              <w:t xml:space="preserve"> </w:t>
            </w:r>
            <w:r w:rsidR="00D243A9">
              <w:rPr>
                <w:rFonts w:cstheme="minorHAnsi"/>
                <w:noProof/>
                <w:szCs w:val="20"/>
              </w:rPr>
              <w:t xml:space="preserve">to </w:t>
            </w:r>
            <w:r w:rsidR="008B0200">
              <w:rPr>
                <w:rFonts w:cstheme="minorHAnsi"/>
                <w:noProof/>
                <w:szCs w:val="20"/>
              </w:rPr>
              <w:t>investors</w:t>
            </w:r>
            <w:r w:rsidR="00FE1C7A">
              <w:rPr>
                <w:rFonts w:cstheme="minorHAnsi"/>
                <w:noProof/>
                <w:szCs w:val="20"/>
              </w:rPr>
              <w:t xml:space="preserve"> </w:t>
            </w:r>
            <w:r w:rsidR="00D243A9">
              <w:rPr>
                <w:rFonts w:cstheme="minorHAnsi"/>
                <w:noProof/>
                <w:szCs w:val="20"/>
              </w:rPr>
              <w:t xml:space="preserve">that they </w:t>
            </w:r>
            <w:r w:rsidR="00EA319B">
              <w:rPr>
                <w:rFonts w:cstheme="minorHAnsi"/>
                <w:noProof/>
                <w:szCs w:val="20"/>
              </w:rPr>
              <w:t xml:space="preserve">can attract and retain talent through </w:t>
            </w:r>
            <w:r w:rsidR="001D49A5">
              <w:rPr>
                <w:rFonts w:cstheme="minorHAnsi"/>
                <w:noProof/>
                <w:szCs w:val="20"/>
              </w:rPr>
              <w:t>ESOPs and</w:t>
            </w:r>
            <w:r w:rsidR="00DE1452">
              <w:rPr>
                <w:rFonts w:cstheme="minorHAnsi"/>
                <w:noProof/>
                <w:szCs w:val="20"/>
              </w:rPr>
              <w:t xml:space="preserve"> </w:t>
            </w:r>
            <w:r w:rsidR="00FE1C7A">
              <w:rPr>
                <w:rFonts w:cstheme="minorHAnsi"/>
                <w:noProof/>
                <w:szCs w:val="20"/>
              </w:rPr>
              <w:t xml:space="preserve">encourage employees to become </w:t>
            </w:r>
            <w:r w:rsidR="0046635F">
              <w:rPr>
                <w:rFonts w:cstheme="minorHAnsi"/>
                <w:noProof/>
                <w:szCs w:val="20"/>
              </w:rPr>
              <w:t>shareholders</w:t>
            </w:r>
            <w:r w:rsidR="008B0200">
              <w:rPr>
                <w:rFonts w:cstheme="minorHAnsi"/>
                <w:noProof/>
                <w:szCs w:val="20"/>
              </w:rPr>
              <w:t>/investors</w:t>
            </w:r>
            <w:r w:rsidR="00FE1C7A">
              <w:rPr>
                <w:rFonts w:cstheme="minorHAnsi"/>
                <w:noProof/>
                <w:szCs w:val="20"/>
              </w:rPr>
              <w:t xml:space="preserve"> themselves. </w:t>
            </w:r>
            <w:r w:rsidR="00722ACA">
              <w:rPr>
                <w:rFonts w:cstheme="minorHAnsi"/>
                <w:noProof/>
                <w:szCs w:val="20"/>
              </w:rPr>
              <w:t>PO5a</w:t>
            </w:r>
            <w:r w:rsidR="00722ACA" w:rsidDel="009B6445">
              <w:rPr>
                <w:rFonts w:cstheme="minorHAnsi"/>
                <w:noProof/>
                <w:szCs w:val="20"/>
              </w:rPr>
              <w:t xml:space="preserve"> would </w:t>
            </w:r>
            <w:r w:rsidR="00722ACA">
              <w:rPr>
                <w:rFonts w:cstheme="minorHAnsi"/>
                <w:noProof/>
                <w:szCs w:val="20"/>
              </w:rPr>
              <w:t>enable</w:t>
            </w:r>
            <w:r w:rsidR="003600C2">
              <w:rPr>
                <w:rFonts w:cstheme="minorHAnsi"/>
                <w:noProof/>
                <w:szCs w:val="20"/>
              </w:rPr>
              <w:t xml:space="preserve"> 28</w:t>
            </w:r>
            <w:r w:rsidR="003600C2" w:rsidRPr="00263DD2">
              <w:rPr>
                <w:rFonts w:cstheme="minorHAnsi"/>
                <w:noProof/>
                <w:szCs w:val="20"/>
                <w:vertAlign w:val="superscript"/>
              </w:rPr>
              <w:t>th</w:t>
            </w:r>
            <w:r w:rsidR="003600C2">
              <w:rPr>
                <w:rFonts w:cstheme="minorHAnsi"/>
                <w:noProof/>
                <w:szCs w:val="20"/>
              </w:rPr>
              <w:t xml:space="preserve"> regime</w:t>
            </w:r>
            <w:r w:rsidR="00722ACA">
              <w:rPr>
                <w:rFonts w:cstheme="minorHAnsi"/>
                <w:noProof/>
                <w:szCs w:val="20"/>
              </w:rPr>
              <w:t xml:space="preserve"> companies</w:t>
            </w:r>
            <w:r w:rsidR="00722ACA" w:rsidDel="00B76AA3">
              <w:rPr>
                <w:rFonts w:cstheme="minorHAnsi"/>
                <w:noProof/>
                <w:szCs w:val="20"/>
              </w:rPr>
              <w:t xml:space="preserve"> </w:t>
            </w:r>
            <w:r w:rsidR="00722ACA">
              <w:rPr>
                <w:rFonts w:cstheme="minorHAnsi"/>
                <w:noProof/>
                <w:szCs w:val="20"/>
              </w:rPr>
              <w:t>to set up ESOPs, removing some of the existing restrictions in Member States, but otherwise</w:t>
            </w:r>
            <w:r w:rsidR="00722ACA" w:rsidDel="00B76AA3">
              <w:rPr>
                <w:rFonts w:cstheme="minorHAnsi"/>
                <w:noProof/>
                <w:szCs w:val="20"/>
              </w:rPr>
              <w:t xml:space="preserve"> </w:t>
            </w:r>
            <w:r w:rsidR="00722ACA">
              <w:rPr>
                <w:rFonts w:cstheme="minorHAnsi"/>
                <w:noProof/>
                <w:szCs w:val="20"/>
              </w:rPr>
              <w:t xml:space="preserve">not further incentivise their uptake by employees. </w:t>
            </w:r>
            <w:r w:rsidR="005A7BD1" w:rsidRPr="00B865D1">
              <w:rPr>
                <w:rFonts w:cstheme="minorHAnsi"/>
                <w:noProof/>
                <w:szCs w:val="20"/>
              </w:rPr>
              <w:t xml:space="preserve">PO5b would be </w:t>
            </w:r>
            <w:r w:rsidR="005A7BD1">
              <w:rPr>
                <w:rFonts w:cstheme="minorHAnsi"/>
                <w:noProof/>
                <w:szCs w:val="20"/>
              </w:rPr>
              <w:t>more</w:t>
            </w:r>
            <w:r w:rsidR="00245535" w:rsidRPr="00B865D1">
              <w:rPr>
                <w:rFonts w:cstheme="minorHAnsi"/>
                <w:noProof/>
                <w:szCs w:val="20"/>
              </w:rPr>
              <w:t xml:space="preserve"> effective </w:t>
            </w:r>
            <w:r w:rsidR="005B1D7D" w:rsidRPr="00B865D1">
              <w:rPr>
                <w:rFonts w:cstheme="minorHAnsi"/>
                <w:noProof/>
                <w:szCs w:val="20"/>
              </w:rPr>
              <w:t xml:space="preserve">as the </w:t>
            </w:r>
            <w:r w:rsidR="00B75776" w:rsidRPr="00B865D1">
              <w:rPr>
                <w:rFonts w:cstheme="minorHAnsi"/>
                <w:noProof/>
                <w:szCs w:val="20"/>
              </w:rPr>
              <w:t>EU-</w:t>
            </w:r>
            <w:r w:rsidR="005B1D7D" w:rsidRPr="00B865D1">
              <w:rPr>
                <w:rFonts w:cstheme="minorHAnsi"/>
                <w:noProof/>
                <w:szCs w:val="20"/>
              </w:rPr>
              <w:t>ESO</w:t>
            </w:r>
            <w:r w:rsidR="00B75776" w:rsidRPr="00B865D1">
              <w:rPr>
                <w:rFonts w:cstheme="minorHAnsi"/>
                <w:noProof/>
                <w:szCs w:val="20"/>
              </w:rPr>
              <w:t xml:space="preserve"> would provide a </w:t>
            </w:r>
            <w:r w:rsidR="00466B70">
              <w:rPr>
                <w:rFonts w:cstheme="minorHAnsi"/>
                <w:noProof/>
                <w:szCs w:val="20"/>
              </w:rPr>
              <w:t>common</w:t>
            </w:r>
            <w:r w:rsidR="003E7C9D">
              <w:rPr>
                <w:rFonts w:cstheme="minorHAnsi"/>
                <w:noProof/>
                <w:szCs w:val="20"/>
              </w:rPr>
              <w:t>, stock option-based</w:t>
            </w:r>
            <w:r w:rsidR="006601B4" w:rsidRPr="00B865D1">
              <w:rPr>
                <w:rFonts w:cstheme="minorHAnsi"/>
                <w:noProof/>
                <w:szCs w:val="20"/>
              </w:rPr>
              <w:t xml:space="preserve"> </w:t>
            </w:r>
            <w:r>
              <w:rPr>
                <w:rFonts w:cstheme="minorHAnsi"/>
                <w:noProof/>
                <w:szCs w:val="20"/>
              </w:rPr>
              <w:t xml:space="preserve">scheme </w:t>
            </w:r>
            <w:r w:rsidR="00827C74" w:rsidRPr="00B865D1">
              <w:rPr>
                <w:rFonts w:cstheme="minorHAnsi"/>
                <w:noProof/>
                <w:szCs w:val="20"/>
              </w:rPr>
              <w:t xml:space="preserve">across Member States that </w:t>
            </w:r>
            <w:r w:rsidR="00366D90" w:rsidRPr="00B865D1">
              <w:rPr>
                <w:rFonts w:cstheme="minorHAnsi"/>
                <w:noProof/>
                <w:szCs w:val="20"/>
              </w:rPr>
              <w:t xml:space="preserve">employees </w:t>
            </w:r>
            <w:r w:rsidR="004C77A9" w:rsidRPr="00B865D1">
              <w:rPr>
                <w:rFonts w:cstheme="minorHAnsi"/>
                <w:noProof/>
                <w:szCs w:val="20"/>
              </w:rPr>
              <w:t xml:space="preserve">would be </w:t>
            </w:r>
            <w:r w:rsidR="00E3025D" w:rsidRPr="00B865D1">
              <w:rPr>
                <w:rFonts w:cstheme="minorHAnsi"/>
                <w:noProof/>
                <w:szCs w:val="20"/>
              </w:rPr>
              <w:t xml:space="preserve">incentivised to use, albeit </w:t>
            </w:r>
            <w:r w:rsidR="00730A98" w:rsidRPr="00B865D1">
              <w:rPr>
                <w:rFonts w:cstheme="minorHAnsi"/>
                <w:noProof/>
                <w:szCs w:val="20"/>
              </w:rPr>
              <w:t xml:space="preserve">to a potentially lesser extent due to </w:t>
            </w:r>
            <w:r w:rsidR="00F64ECE" w:rsidRPr="00B865D1">
              <w:rPr>
                <w:rFonts w:cstheme="minorHAnsi"/>
                <w:noProof/>
                <w:szCs w:val="20"/>
              </w:rPr>
              <w:t>a</w:t>
            </w:r>
            <w:r w:rsidR="007000EF" w:rsidRPr="00B865D1">
              <w:rPr>
                <w:rFonts w:cstheme="minorHAnsi"/>
                <w:noProof/>
                <w:szCs w:val="20"/>
              </w:rPr>
              <w:t xml:space="preserve"> timing</w:t>
            </w:r>
            <w:r w:rsidR="00F64ECE" w:rsidRPr="00B865D1">
              <w:rPr>
                <w:rFonts w:cstheme="minorHAnsi"/>
                <w:noProof/>
                <w:szCs w:val="20"/>
              </w:rPr>
              <w:t xml:space="preserve"> of taxation that would be</w:t>
            </w:r>
            <w:r w:rsidR="00730A98" w:rsidRPr="00B865D1">
              <w:rPr>
                <w:rFonts w:cstheme="minorHAnsi"/>
                <w:noProof/>
                <w:szCs w:val="20"/>
              </w:rPr>
              <w:t xml:space="preserve"> different </w:t>
            </w:r>
            <w:r w:rsidR="00B76AA3" w:rsidRPr="00B865D1">
              <w:rPr>
                <w:rFonts w:cstheme="minorHAnsi"/>
                <w:noProof/>
                <w:szCs w:val="20"/>
              </w:rPr>
              <w:t xml:space="preserve">between Member States or </w:t>
            </w:r>
            <w:r w:rsidR="006D7E34" w:rsidRPr="00B865D1">
              <w:rPr>
                <w:rFonts w:cstheme="minorHAnsi"/>
                <w:noProof/>
                <w:szCs w:val="20"/>
              </w:rPr>
              <w:t>l</w:t>
            </w:r>
            <w:r w:rsidR="00DD089E" w:rsidRPr="00B865D1">
              <w:rPr>
                <w:rFonts w:cstheme="minorHAnsi"/>
                <w:noProof/>
                <w:szCs w:val="20"/>
              </w:rPr>
              <w:t>ess favourable</w:t>
            </w:r>
            <w:r w:rsidR="0079421D" w:rsidRPr="00B865D1">
              <w:rPr>
                <w:rFonts w:cstheme="minorHAnsi"/>
                <w:noProof/>
                <w:szCs w:val="20"/>
              </w:rPr>
              <w:t xml:space="preserve">, leading to a </w:t>
            </w:r>
            <w:r w:rsidR="0079421D">
              <w:rPr>
                <w:rFonts w:cstheme="minorHAnsi"/>
                <w:noProof/>
                <w:szCs w:val="20"/>
              </w:rPr>
              <w:t>‘dry tax</w:t>
            </w:r>
            <w:r w:rsidR="00437BBE">
              <w:rPr>
                <w:rFonts w:cstheme="minorHAnsi"/>
                <w:noProof/>
                <w:szCs w:val="20"/>
              </w:rPr>
              <w:t xml:space="preserve"> charge</w:t>
            </w:r>
            <w:r w:rsidR="0079421D">
              <w:rPr>
                <w:rFonts w:cstheme="minorHAnsi"/>
                <w:noProof/>
                <w:szCs w:val="20"/>
              </w:rPr>
              <w:t>’</w:t>
            </w:r>
            <w:r w:rsidR="00FB4E1A">
              <w:rPr>
                <w:rFonts w:cstheme="minorHAnsi"/>
                <w:noProof/>
                <w:szCs w:val="20"/>
              </w:rPr>
              <w:t xml:space="preserve"> in some of them.</w:t>
            </w:r>
            <w:r w:rsidR="00730A98">
              <w:rPr>
                <w:rFonts w:cstheme="minorHAnsi"/>
                <w:noProof/>
                <w:szCs w:val="20"/>
              </w:rPr>
              <w:t xml:space="preserve"> </w:t>
            </w:r>
            <w:r w:rsidR="00D4484A">
              <w:rPr>
                <w:rFonts w:cstheme="minorHAnsi"/>
                <w:noProof/>
                <w:szCs w:val="20"/>
              </w:rPr>
              <w:t>PO</w:t>
            </w:r>
            <w:r w:rsidR="00C6769D">
              <w:rPr>
                <w:rFonts w:cstheme="minorHAnsi"/>
                <w:noProof/>
                <w:szCs w:val="20"/>
              </w:rPr>
              <w:t>5c is the most effective measure</w:t>
            </w:r>
            <w:r w:rsidR="00884832">
              <w:rPr>
                <w:rFonts w:cstheme="minorHAnsi"/>
                <w:noProof/>
                <w:szCs w:val="20"/>
              </w:rPr>
              <w:t xml:space="preserve"> as</w:t>
            </w:r>
            <w:r w:rsidR="00D81ED9">
              <w:rPr>
                <w:rFonts w:cstheme="minorHAnsi"/>
                <w:noProof/>
                <w:szCs w:val="20"/>
              </w:rPr>
              <w:t xml:space="preserve"> the</w:t>
            </w:r>
            <w:r w:rsidR="00E00BAE">
              <w:rPr>
                <w:rFonts w:cstheme="minorHAnsi"/>
                <w:noProof/>
                <w:szCs w:val="20"/>
              </w:rPr>
              <w:t xml:space="preserve"> added</w:t>
            </w:r>
            <w:r w:rsidR="00D81ED9">
              <w:rPr>
                <w:rFonts w:cstheme="minorHAnsi"/>
                <w:noProof/>
                <w:szCs w:val="20"/>
              </w:rPr>
              <w:t xml:space="preserve"> </w:t>
            </w:r>
            <w:r w:rsidR="00263B0A">
              <w:rPr>
                <w:rFonts w:cstheme="minorHAnsi"/>
                <w:noProof/>
                <w:szCs w:val="20"/>
              </w:rPr>
              <w:t>harmonised timing of taxation</w:t>
            </w:r>
            <w:r w:rsidR="00DF14BE">
              <w:rPr>
                <w:rFonts w:cstheme="minorHAnsi"/>
                <w:noProof/>
                <w:szCs w:val="20"/>
              </w:rPr>
              <w:t xml:space="preserve"> of employee stock options</w:t>
            </w:r>
            <w:r w:rsidR="00E00BAE">
              <w:rPr>
                <w:rFonts w:cstheme="minorHAnsi"/>
                <w:noProof/>
                <w:szCs w:val="20"/>
              </w:rPr>
              <w:t xml:space="preserve"> creates the most attractive conditions for employees to make use of </w:t>
            </w:r>
            <w:r w:rsidR="00BE123E">
              <w:rPr>
                <w:rFonts w:cstheme="minorHAnsi"/>
                <w:noProof/>
                <w:szCs w:val="20"/>
              </w:rPr>
              <w:t>the EU-</w:t>
            </w:r>
            <w:r w:rsidR="00E00BAE" w:rsidRPr="00354B18">
              <w:rPr>
                <w:rFonts w:cstheme="minorHAnsi"/>
                <w:noProof/>
                <w:szCs w:val="20"/>
              </w:rPr>
              <w:t>ESO and therefore become investors themselves</w:t>
            </w:r>
            <w:r w:rsidR="00D36495" w:rsidRPr="00354B18">
              <w:rPr>
                <w:rFonts w:cstheme="minorHAnsi"/>
                <w:noProof/>
                <w:szCs w:val="20"/>
              </w:rPr>
              <w:t xml:space="preserve">, </w:t>
            </w:r>
            <w:r w:rsidR="00042387" w:rsidRPr="00354B18">
              <w:rPr>
                <w:rFonts w:cstheme="minorHAnsi"/>
                <w:noProof/>
                <w:szCs w:val="20"/>
              </w:rPr>
              <w:t xml:space="preserve">aligning their interests with the </w:t>
            </w:r>
            <w:r w:rsidR="000867BB" w:rsidRPr="00354B18">
              <w:rPr>
                <w:rFonts w:cstheme="minorHAnsi"/>
                <w:noProof/>
                <w:szCs w:val="20"/>
              </w:rPr>
              <w:t>interests of other investors.</w:t>
            </w:r>
            <w:r w:rsidR="008174CA" w:rsidRPr="00354B18">
              <w:rPr>
                <w:rFonts w:cstheme="minorHAnsi"/>
                <w:noProof/>
                <w:szCs w:val="20"/>
              </w:rPr>
              <w:t xml:space="preserve"> </w:t>
            </w:r>
          </w:p>
        </w:tc>
      </w:tr>
    </w:tbl>
    <w:p w14:paraId="29CB4416" w14:textId="77777777" w:rsidR="00CF5993" w:rsidRDefault="00CF5993" w:rsidP="00A70305">
      <w:pPr>
        <w:spacing w:after="240"/>
        <w:jc w:val="both"/>
        <w:rPr>
          <w:rFonts w:eastAsia="Calibri" w:cs="Times New Roman"/>
          <w:noProof/>
          <w:szCs w:val="20"/>
        </w:rPr>
      </w:pPr>
    </w:p>
    <w:p w14:paraId="5E5AE457" w14:textId="1EB740B4" w:rsidR="000F07E3" w:rsidRPr="00D80F11" w:rsidRDefault="000F07E3" w:rsidP="006D7E27">
      <w:pPr>
        <w:pStyle w:val="Caption"/>
        <w:spacing w:after="0"/>
        <w:jc w:val="both"/>
        <w:rPr>
          <w:b/>
          <w:noProof/>
          <w:sz w:val="24"/>
          <w:szCs w:val="24"/>
        </w:rPr>
      </w:pPr>
      <w:r w:rsidRPr="00D80F11">
        <w:rPr>
          <w:noProof/>
          <w:sz w:val="24"/>
          <w:szCs w:val="24"/>
        </w:rPr>
        <w:t xml:space="preserve">Table </w:t>
      </w:r>
      <w:r w:rsidRPr="00D80F11">
        <w:rPr>
          <w:b/>
          <w:noProof/>
          <w:sz w:val="24"/>
          <w:szCs w:val="24"/>
        </w:rPr>
        <w:fldChar w:fldCharType="begin"/>
      </w:r>
      <w:r w:rsidRPr="00D80F11">
        <w:rPr>
          <w:noProof/>
          <w:sz w:val="24"/>
          <w:szCs w:val="24"/>
        </w:rPr>
        <w:instrText xml:space="preserve"> SEQ Table \* ARABIC </w:instrText>
      </w:r>
      <w:r w:rsidRPr="00D80F11">
        <w:rPr>
          <w:b/>
          <w:noProof/>
          <w:sz w:val="24"/>
          <w:szCs w:val="24"/>
        </w:rPr>
        <w:fldChar w:fldCharType="separate"/>
      </w:r>
      <w:r w:rsidR="00B312D6">
        <w:rPr>
          <w:noProof/>
          <w:sz w:val="24"/>
          <w:szCs w:val="24"/>
        </w:rPr>
        <w:t>6</w:t>
      </w:r>
      <w:r w:rsidRPr="00D80F11">
        <w:rPr>
          <w:b/>
          <w:noProof/>
          <w:sz w:val="24"/>
          <w:szCs w:val="24"/>
        </w:rPr>
        <w:fldChar w:fldCharType="end"/>
      </w:r>
      <w:r w:rsidRPr="00D80F11">
        <w:rPr>
          <w:noProof/>
          <w:sz w:val="24"/>
          <w:szCs w:val="24"/>
        </w:rPr>
        <w:t xml:space="preserve">: Effectiveness of policy options </w:t>
      </w:r>
      <w:r w:rsidRPr="000F07E3">
        <w:rPr>
          <w:noProof/>
          <w:sz w:val="24"/>
          <w:szCs w:val="24"/>
        </w:rPr>
        <w:t>6 to provide a flexible governance and capital regime for founders and investors</w:t>
      </w:r>
      <w:r w:rsidR="00943421">
        <w:rPr>
          <w:noProof/>
          <w:sz w:val="24"/>
          <w:szCs w:val="24"/>
        </w:rPr>
        <w:t xml:space="preserve"> </w:t>
      </w:r>
    </w:p>
    <w:p w14:paraId="5FF6C24F" w14:textId="1278EA2C" w:rsidR="000F07E3" w:rsidRDefault="000F07E3" w:rsidP="00C4288E">
      <w:pPr>
        <w:pStyle w:val="ListParagraph"/>
        <w:numPr>
          <w:ilvl w:val="0"/>
          <w:numId w:val="15"/>
        </w:numPr>
        <w:tabs>
          <w:tab w:val="left" w:pos="170"/>
        </w:tabs>
        <w:jc w:val="both"/>
        <w:rPr>
          <w:noProof/>
        </w:rPr>
      </w:pPr>
      <w:r>
        <w:rPr>
          <w:noProof/>
        </w:rPr>
        <w:t>Policy option 6a -</w:t>
      </w:r>
      <w:r w:rsidR="007B1BC9" w:rsidRPr="007B1BC9">
        <w:rPr>
          <w:noProof/>
        </w:rPr>
        <w:t xml:space="preserve"> </w:t>
      </w:r>
      <w:r w:rsidR="007B1BC9">
        <w:rPr>
          <w:noProof/>
        </w:rPr>
        <w:t>Create a flexible governance system, provide simple and fully digital procedures for increasing capital and issuing shares and enable the use of modern early-stage financing instruments like SAFEs</w:t>
      </w:r>
      <w:r w:rsidR="007B1BC9" w:rsidRPr="004C599B">
        <w:rPr>
          <w:noProof/>
        </w:rPr>
        <w:t>.</w:t>
      </w:r>
    </w:p>
    <w:p w14:paraId="18892F56" w14:textId="0B1C1874" w:rsidR="000F07E3" w:rsidRDefault="000F07E3" w:rsidP="00C4288E">
      <w:pPr>
        <w:pStyle w:val="ListParagraph"/>
        <w:numPr>
          <w:ilvl w:val="0"/>
          <w:numId w:val="15"/>
        </w:numPr>
        <w:tabs>
          <w:tab w:val="left" w:pos="170"/>
        </w:tabs>
        <w:jc w:val="both"/>
        <w:rPr>
          <w:noProof/>
        </w:rPr>
      </w:pPr>
      <w:r>
        <w:rPr>
          <w:noProof/>
        </w:rPr>
        <w:t xml:space="preserve">Policy option 6b - Option 6a + </w:t>
      </w:r>
      <w:r w:rsidR="000C1A5C">
        <w:rPr>
          <w:noProof/>
        </w:rPr>
        <w:t xml:space="preserve">0 or </w:t>
      </w:r>
      <w:r w:rsidR="57292EE2">
        <w:rPr>
          <w:noProof/>
        </w:rPr>
        <w:t>EUR</w:t>
      </w:r>
      <w:r w:rsidR="008D68A0">
        <w:rPr>
          <w:noProof/>
        </w:rPr>
        <w:t> </w:t>
      </w:r>
      <w:r w:rsidR="000C1A5C">
        <w:rPr>
          <w:noProof/>
        </w:rPr>
        <w:t xml:space="preserve">1 minimum capital but </w:t>
      </w:r>
      <w:r>
        <w:rPr>
          <w:noProof/>
        </w:rPr>
        <w:t>no paid-in share capital for incorporation of 28</w:t>
      </w:r>
      <w:r w:rsidRPr="008A373E">
        <w:rPr>
          <w:noProof/>
          <w:vertAlign w:val="superscript"/>
        </w:rPr>
        <w:t>th</w:t>
      </w:r>
      <w:r>
        <w:rPr>
          <w:noProof/>
        </w:rPr>
        <w:t xml:space="preserve"> regime companies </w:t>
      </w:r>
      <w:r w:rsidR="003164F2">
        <w:rPr>
          <w:noProof/>
        </w:rPr>
        <w:t>and</w:t>
      </w:r>
      <w:r>
        <w:rPr>
          <w:noProof/>
        </w:rPr>
        <w:t xml:space="preserve"> harmonised creditor </w:t>
      </w:r>
      <w:r w:rsidR="00582CBA">
        <w:rPr>
          <w:noProof/>
        </w:rPr>
        <w:t xml:space="preserve">protection </w:t>
      </w:r>
      <w:r>
        <w:rPr>
          <w:noProof/>
        </w:rPr>
        <w:t>safeguards in addition to capital maintenance rules.</w:t>
      </w:r>
    </w:p>
    <w:p w14:paraId="61E9B987" w14:textId="4E3E524E" w:rsidR="000F07E3" w:rsidRDefault="000F07E3" w:rsidP="00C4288E">
      <w:pPr>
        <w:pStyle w:val="ListParagraph"/>
        <w:numPr>
          <w:ilvl w:val="0"/>
          <w:numId w:val="15"/>
        </w:numPr>
        <w:tabs>
          <w:tab w:val="left" w:pos="170"/>
        </w:tabs>
        <w:spacing w:before="0" w:after="0"/>
        <w:jc w:val="both"/>
        <w:rPr>
          <w:noProof/>
        </w:rPr>
      </w:pPr>
      <w:r>
        <w:rPr>
          <w:noProof/>
        </w:rPr>
        <w:t>Policy option 6</w:t>
      </w:r>
      <w:r w:rsidDel="00E34EA2">
        <w:rPr>
          <w:noProof/>
        </w:rPr>
        <w:t>c</w:t>
      </w:r>
      <w:r>
        <w:rPr>
          <w:noProof/>
        </w:rPr>
        <w:t xml:space="preserve"> - O</w:t>
      </w:r>
      <w:r w:rsidRPr="004C599B">
        <w:rPr>
          <w:noProof/>
        </w:rPr>
        <w:t xml:space="preserve">ption </w:t>
      </w:r>
      <w:r>
        <w:rPr>
          <w:noProof/>
        </w:rPr>
        <w:t>6</w:t>
      </w:r>
      <w:r w:rsidR="004E5B04">
        <w:rPr>
          <w:noProof/>
        </w:rPr>
        <w:t>a</w:t>
      </w:r>
      <w:r w:rsidRPr="004C599B">
        <w:rPr>
          <w:noProof/>
        </w:rPr>
        <w:t xml:space="preserve"> </w:t>
      </w:r>
      <w:r>
        <w:rPr>
          <w:noProof/>
        </w:rPr>
        <w:t>+</w:t>
      </w:r>
      <w:r w:rsidRPr="004C599B">
        <w:rPr>
          <w:noProof/>
        </w:rPr>
        <w:t xml:space="preserve"> </w:t>
      </w:r>
      <w:r>
        <w:rPr>
          <w:noProof/>
        </w:rPr>
        <w:t>common minimum share capital of EUR</w:t>
      </w:r>
      <w:r w:rsidR="008D68A0">
        <w:rPr>
          <w:noProof/>
        </w:rPr>
        <w:t> </w:t>
      </w:r>
      <w:r w:rsidR="00167B67">
        <w:rPr>
          <w:noProof/>
        </w:rPr>
        <w:t>5</w:t>
      </w:r>
      <w:r w:rsidR="00C735C5">
        <w:rPr>
          <w:noProof/>
        </w:rPr>
        <w:t> </w:t>
      </w:r>
      <w:r w:rsidR="00167B67">
        <w:rPr>
          <w:noProof/>
        </w:rPr>
        <w:t>0</w:t>
      </w:r>
      <w:r>
        <w:rPr>
          <w:noProof/>
        </w:rPr>
        <w:t>00 for incorporation of 28</w:t>
      </w:r>
      <w:r w:rsidRPr="008A373E">
        <w:rPr>
          <w:noProof/>
          <w:vertAlign w:val="superscript"/>
        </w:rPr>
        <w:t>th</w:t>
      </w:r>
      <w:r>
        <w:rPr>
          <w:noProof/>
        </w:rPr>
        <w:t xml:space="preserve"> regime companies </w:t>
      </w:r>
      <w:r w:rsidR="00102028">
        <w:rPr>
          <w:noProof/>
        </w:rPr>
        <w:t xml:space="preserve">with </w:t>
      </w:r>
      <w:r>
        <w:rPr>
          <w:noProof/>
        </w:rPr>
        <w:t xml:space="preserve">harmonised creditor </w:t>
      </w:r>
      <w:r w:rsidR="00582CBA">
        <w:rPr>
          <w:noProof/>
        </w:rPr>
        <w:t xml:space="preserve">protection </w:t>
      </w:r>
      <w:r>
        <w:rPr>
          <w:noProof/>
        </w:rPr>
        <w:t>safeguards based primarily on capital maintenance</w:t>
      </w:r>
      <w:r w:rsidR="00983B20">
        <w:rPr>
          <w:noProof/>
        </w:rPr>
        <w:t>.</w:t>
      </w:r>
    </w:p>
    <w:p w14:paraId="2BD3126F" w14:textId="77777777" w:rsidR="00FF03EC" w:rsidRDefault="00FF03EC" w:rsidP="000C1A5C">
      <w:pPr>
        <w:tabs>
          <w:tab w:val="left" w:pos="170"/>
        </w:tabs>
        <w:spacing w:before="0" w:after="0"/>
        <w:jc w:val="both"/>
        <w:rPr>
          <w:noProof/>
        </w:rPr>
      </w:pPr>
    </w:p>
    <w:p w14:paraId="712A3C47" w14:textId="77777777" w:rsidR="00EF5E93" w:rsidRDefault="00FF03EC" w:rsidP="00967346">
      <w:pPr>
        <w:tabs>
          <w:tab w:val="left" w:pos="170"/>
        </w:tabs>
        <w:jc w:val="both"/>
        <w:rPr>
          <w:noProof/>
          <w:szCs w:val="20"/>
          <w:lang w:val="en-IE"/>
        </w:rPr>
      </w:pPr>
      <w:r w:rsidRPr="00967346">
        <w:rPr>
          <w:noProof/>
          <w:szCs w:val="20"/>
          <w:lang w:val="en-IE"/>
        </w:rPr>
        <w:t xml:space="preserve">These policy options would address the following drivers: </w:t>
      </w:r>
    </w:p>
    <w:p w14:paraId="59542EF6" w14:textId="34CB94F2" w:rsidR="00EF5E93" w:rsidRPr="00E05C43" w:rsidRDefault="00E05C43" w:rsidP="00E05C43">
      <w:pPr>
        <w:pStyle w:val="ListParagraph"/>
        <w:numPr>
          <w:ilvl w:val="0"/>
          <w:numId w:val="19"/>
        </w:numPr>
        <w:rPr>
          <w:noProof/>
        </w:rPr>
      </w:pPr>
      <w:r w:rsidRPr="00A623E7">
        <w:rPr>
          <w:noProof/>
        </w:rPr>
        <w:t>Different</w:t>
      </w:r>
      <w:r w:rsidR="00FF03EC" w:rsidRPr="00A623E7">
        <w:rPr>
          <w:noProof/>
        </w:rPr>
        <w:t xml:space="preserve"> national company legal forms and </w:t>
      </w:r>
      <w:r w:rsidRPr="00A623E7">
        <w:rPr>
          <w:noProof/>
        </w:rPr>
        <w:t>lack</w:t>
      </w:r>
      <w:r w:rsidR="00FF03EC" w:rsidRPr="00A623E7">
        <w:rPr>
          <w:noProof/>
        </w:rPr>
        <w:t xml:space="preserve"> of </w:t>
      </w:r>
      <w:r w:rsidRPr="00A623E7">
        <w:rPr>
          <w:noProof/>
        </w:rPr>
        <w:t>an</w:t>
      </w:r>
      <w:r w:rsidR="00FF03EC" w:rsidRPr="00A623E7">
        <w:rPr>
          <w:noProof/>
        </w:rPr>
        <w:t xml:space="preserve"> EU brand for s</w:t>
      </w:r>
      <w:r w:rsidR="69A98360" w:rsidRPr="00A623E7">
        <w:rPr>
          <w:noProof/>
        </w:rPr>
        <w:t>tartup</w:t>
      </w:r>
      <w:r w:rsidR="00FF03EC" w:rsidRPr="00A623E7">
        <w:rPr>
          <w:noProof/>
        </w:rPr>
        <w:t>s</w:t>
      </w:r>
      <w:r w:rsidR="001F1996">
        <w:rPr>
          <w:noProof/>
        </w:rPr>
        <w:t>,</w:t>
      </w:r>
    </w:p>
    <w:p w14:paraId="7E0A7ED4" w14:textId="0BEBD1C6" w:rsidR="00EF5E93" w:rsidRPr="00EF5E93" w:rsidRDefault="00967346" w:rsidP="00060337">
      <w:pPr>
        <w:pStyle w:val="ListParagraph"/>
        <w:numPr>
          <w:ilvl w:val="0"/>
          <w:numId w:val="19"/>
        </w:numPr>
        <w:tabs>
          <w:tab w:val="left" w:pos="170"/>
        </w:tabs>
        <w:spacing w:before="0" w:after="0"/>
        <w:jc w:val="both"/>
        <w:rPr>
          <w:noProof/>
          <w:szCs w:val="20"/>
          <w:lang w:val="en-IE"/>
        </w:rPr>
      </w:pPr>
      <w:r>
        <w:rPr>
          <w:noProof/>
          <w:szCs w:val="20"/>
          <w:lang w:val="en-IE"/>
        </w:rPr>
        <w:t>d</w:t>
      </w:r>
      <w:r w:rsidR="000716A7" w:rsidRPr="00967346">
        <w:rPr>
          <w:noProof/>
          <w:szCs w:val="20"/>
          <w:lang w:val="en-IE"/>
        </w:rPr>
        <w:t>ivergent and non-digital national requirements related to capital increases</w:t>
      </w:r>
      <w:r w:rsidR="00600F7B">
        <w:rPr>
          <w:noProof/>
          <w:szCs w:val="20"/>
          <w:lang w:val="en-IE"/>
        </w:rPr>
        <w:t>,</w:t>
      </w:r>
      <w:r w:rsidRPr="00EF5E93">
        <w:rPr>
          <w:noProof/>
          <w:szCs w:val="20"/>
          <w:lang w:val="en-IE"/>
        </w:rPr>
        <w:t xml:space="preserve"> </w:t>
      </w:r>
    </w:p>
    <w:p w14:paraId="0C98D277" w14:textId="23F8B77E" w:rsidR="00600F7B" w:rsidRDefault="00967346" w:rsidP="00600F7B">
      <w:pPr>
        <w:pStyle w:val="ListParagraph"/>
        <w:numPr>
          <w:ilvl w:val="0"/>
          <w:numId w:val="19"/>
        </w:numPr>
        <w:rPr>
          <w:noProof/>
        </w:rPr>
      </w:pPr>
      <w:r>
        <w:rPr>
          <w:noProof/>
        </w:rPr>
        <w:t>l</w:t>
      </w:r>
      <w:r w:rsidR="000716A7" w:rsidRPr="00A623E7">
        <w:rPr>
          <w:noProof/>
        </w:rPr>
        <w:t xml:space="preserve">egal uncertainty </w:t>
      </w:r>
      <w:r w:rsidR="00600F7B" w:rsidRPr="00A623E7">
        <w:rPr>
          <w:noProof/>
        </w:rPr>
        <w:t>regarding</w:t>
      </w:r>
      <w:r w:rsidR="000716A7" w:rsidRPr="00A623E7">
        <w:rPr>
          <w:noProof/>
        </w:rPr>
        <w:t xml:space="preserve"> venture-capital driven clauses</w:t>
      </w:r>
      <w:r w:rsidR="0027325B">
        <w:rPr>
          <w:noProof/>
        </w:rPr>
        <w:t>,</w:t>
      </w:r>
      <w:r w:rsidR="000716A7">
        <w:rPr>
          <w:noProof/>
        </w:rPr>
        <w:t xml:space="preserve"> </w:t>
      </w:r>
      <w:r>
        <w:rPr>
          <w:noProof/>
        </w:rPr>
        <w:t>and</w:t>
      </w:r>
    </w:p>
    <w:p w14:paraId="729ED611" w14:textId="10A1A28F" w:rsidR="00FF03EC" w:rsidRPr="00967346" w:rsidRDefault="00967346" w:rsidP="00060337">
      <w:pPr>
        <w:pStyle w:val="ListParagraph"/>
        <w:numPr>
          <w:ilvl w:val="0"/>
          <w:numId w:val="19"/>
        </w:numPr>
        <w:tabs>
          <w:tab w:val="left" w:pos="170"/>
        </w:tabs>
        <w:spacing w:before="0" w:after="0"/>
        <w:jc w:val="both"/>
        <w:rPr>
          <w:noProof/>
          <w:szCs w:val="20"/>
          <w:lang w:val="en-IE"/>
        </w:rPr>
      </w:pPr>
      <w:r>
        <w:rPr>
          <w:noProof/>
          <w:szCs w:val="20"/>
          <w:lang w:val="en-IE"/>
        </w:rPr>
        <w:t>d</w:t>
      </w:r>
      <w:r w:rsidR="000716A7" w:rsidRPr="00967346">
        <w:rPr>
          <w:noProof/>
          <w:szCs w:val="20"/>
          <w:lang w:val="en-IE"/>
        </w:rPr>
        <w:t>ivergent minimum capital requirements</w:t>
      </w:r>
      <w:r>
        <w:rPr>
          <w:noProof/>
          <w:szCs w:val="20"/>
          <w:lang w:val="en-IE"/>
        </w:rPr>
        <w:t xml:space="preserve">. </w:t>
      </w:r>
    </w:p>
    <w:p w14:paraId="5E7F4E3A" w14:textId="77777777" w:rsidR="000F07E3" w:rsidRDefault="000F07E3" w:rsidP="000F07E3">
      <w:pPr>
        <w:pStyle w:val="ListParagraph"/>
        <w:tabs>
          <w:tab w:val="left" w:pos="170"/>
        </w:tabs>
        <w:spacing w:before="0" w:after="0"/>
        <w:jc w:val="both"/>
        <w:rPr>
          <w:noProof/>
        </w:rPr>
      </w:pPr>
    </w:p>
    <w:tbl>
      <w:tblPr>
        <w:tblStyle w:val="TableGrid"/>
        <w:tblW w:w="9781" w:type="dxa"/>
        <w:tblInd w:w="-147" w:type="dxa"/>
        <w:tblLayout w:type="fixed"/>
        <w:tblLook w:val="04A0" w:firstRow="1" w:lastRow="0" w:firstColumn="1" w:lastColumn="0" w:noHBand="0" w:noVBand="1"/>
      </w:tblPr>
      <w:tblGrid>
        <w:gridCol w:w="2528"/>
        <w:gridCol w:w="860"/>
        <w:gridCol w:w="856"/>
        <w:gridCol w:w="860"/>
        <w:gridCol w:w="4677"/>
      </w:tblGrid>
      <w:tr w:rsidR="00B12AD9" w14:paraId="2F666847" w14:textId="77777777" w:rsidTr="6F00936E">
        <w:trPr>
          <w:trHeight w:val="299"/>
        </w:trPr>
        <w:tc>
          <w:tcPr>
            <w:tcW w:w="2528" w:type="dxa"/>
            <w:shd w:val="clear" w:color="auto" w:fill="B8CCE4" w:themeFill="accent1" w:themeFillTint="66"/>
          </w:tcPr>
          <w:p w14:paraId="54E8ED46" w14:textId="77777777" w:rsidR="000F07E3" w:rsidRPr="005C4BC3" w:rsidRDefault="000F07E3">
            <w:pPr>
              <w:rPr>
                <w:noProof/>
              </w:rPr>
            </w:pPr>
          </w:p>
        </w:tc>
        <w:tc>
          <w:tcPr>
            <w:tcW w:w="860" w:type="dxa"/>
            <w:shd w:val="clear" w:color="auto" w:fill="B8CCE4" w:themeFill="accent1" w:themeFillTint="66"/>
          </w:tcPr>
          <w:p w14:paraId="06E366FB" w14:textId="61E15A33" w:rsidR="000F07E3" w:rsidRPr="005C4BC3" w:rsidRDefault="000F07E3">
            <w:pPr>
              <w:jc w:val="center"/>
              <w:rPr>
                <w:noProof/>
              </w:rPr>
            </w:pPr>
            <w:r w:rsidRPr="005C4BC3">
              <w:rPr>
                <w:noProof/>
              </w:rPr>
              <w:t>PO</w:t>
            </w:r>
            <w:r>
              <w:rPr>
                <w:noProof/>
              </w:rPr>
              <w:t>6</w:t>
            </w:r>
            <w:r w:rsidRPr="005C4BC3">
              <w:rPr>
                <w:noProof/>
              </w:rPr>
              <w:t>a</w:t>
            </w:r>
          </w:p>
        </w:tc>
        <w:tc>
          <w:tcPr>
            <w:tcW w:w="856" w:type="dxa"/>
            <w:shd w:val="clear" w:color="auto" w:fill="B8CCE4" w:themeFill="accent1" w:themeFillTint="66"/>
          </w:tcPr>
          <w:p w14:paraId="5CF268C6" w14:textId="5E4E790A" w:rsidR="000F07E3" w:rsidRPr="005C4BC3" w:rsidRDefault="000F07E3">
            <w:pPr>
              <w:jc w:val="center"/>
              <w:rPr>
                <w:noProof/>
              </w:rPr>
            </w:pPr>
            <w:r w:rsidRPr="005C4BC3">
              <w:rPr>
                <w:noProof/>
              </w:rPr>
              <w:t>PO</w:t>
            </w:r>
            <w:r>
              <w:rPr>
                <w:noProof/>
              </w:rPr>
              <w:t>6</w:t>
            </w:r>
            <w:r w:rsidRPr="005C4BC3">
              <w:rPr>
                <w:noProof/>
              </w:rPr>
              <w:t>b</w:t>
            </w:r>
          </w:p>
        </w:tc>
        <w:tc>
          <w:tcPr>
            <w:tcW w:w="860" w:type="dxa"/>
            <w:shd w:val="clear" w:color="auto" w:fill="B8CCE4" w:themeFill="accent1" w:themeFillTint="66"/>
          </w:tcPr>
          <w:p w14:paraId="5AAA599B" w14:textId="54EA2DB2" w:rsidR="000F07E3" w:rsidRPr="005C4BC3" w:rsidRDefault="000F07E3">
            <w:pPr>
              <w:jc w:val="center"/>
              <w:rPr>
                <w:noProof/>
              </w:rPr>
            </w:pPr>
            <w:r w:rsidRPr="005C4BC3">
              <w:rPr>
                <w:noProof/>
              </w:rPr>
              <w:t>PO</w:t>
            </w:r>
            <w:r>
              <w:rPr>
                <w:noProof/>
              </w:rPr>
              <w:t>6</w:t>
            </w:r>
            <w:r w:rsidRPr="005C4BC3">
              <w:rPr>
                <w:noProof/>
              </w:rPr>
              <w:t>c</w:t>
            </w:r>
          </w:p>
        </w:tc>
        <w:tc>
          <w:tcPr>
            <w:tcW w:w="4677" w:type="dxa"/>
            <w:shd w:val="clear" w:color="auto" w:fill="B8CCE4" w:themeFill="accent1" w:themeFillTint="66"/>
          </w:tcPr>
          <w:p w14:paraId="543C7BCE" w14:textId="56A1A46C" w:rsidR="000F07E3" w:rsidRPr="005C4BC3" w:rsidRDefault="000F07E3">
            <w:pPr>
              <w:rPr>
                <w:noProof/>
              </w:rPr>
            </w:pPr>
            <w:r w:rsidRPr="005C4BC3">
              <w:rPr>
                <w:noProof/>
              </w:rPr>
              <w:t>Motivation</w:t>
            </w:r>
          </w:p>
        </w:tc>
      </w:tr>
      <w:tr w:rsidR="000F07E3" w:rsidRPr="00423F8E" w14:paraId="12999940" w14:textId="77777777" w:rsidTr="6F00936E">
        <w:trPr>
          <w:trHeight w:val="539"/>
        </w:trPr>
        <w:tc>
          <w:tcPr>
            <w:tcW w:w="2528" w:type="dxa"/>
          </w:tcPr>
          <w:p w14:paraId="06BB287D" w14:textId="7E2F0E79" w:rsidR="000F07E3" w:rsidRPr="005C4BC3" w:rsidRDefault="000F07E3">
            <w:pPr>
              <w:rPr>
                <w:noProof/>
              </w:rPr>
            </w:pPr>
            <w:r w:rsidRPr="5FFBF985">
              <w:rPr>
                <w:b/>
                <w:noProof/>
              </w:rPr>
              <w:t xml:space="preserve">Specific </w:t>
            </w:r>
            <w:r w:rsidR="50CD5B9D" w:rsidRPr="18FF052C">
              <w:rPr>
                <w:b/>
                <w:bCs/>
                <w:noProof/>
              </w:rPr>
              <w:t>O</w:t>
            </w:r>
            <w:r w:rsidRPr="18FF052C">
              <w:rPr>
                <w:b/>
                <w:bCs/>
                <w:noProof/>
              </w:rPr>
              <w:t>bjective</w:t>
            </w:r>
            <w:r w:rsidRPr="5FFBF985">
              <w:rPr>
                <w:b/>
                <w:noProof/>
              </w:rPr>
              <w:t xml:space="preserve"> 1:</w:t>
            </w:r>
            <w:r w:rsidRPr="5FFBF985">
              <w:rPr>
                <w:noProof/>
              </w:rPr>
              <w:t xml:space="preserve">  </w:t>
            </w:r>
            <w:r w:rsidR="00330BC1" w:rsidRPr="5FFBF985">
              <w:rPr>
                <w:noProof/>
              </w:rPr>
              <w:t xml:space="preserve">Provide </w:t>
            </w:r>
            <w:r w:rsidRPr="5FFBF985">
              <w:rPr>
                <w:noProof/>
              </w:rPr>
              <w:t xml:space="preserve">a common corporate legal framework for </w:t>
            </w:r>
            <w:r>
              <w:rPr>
                <w:noProof/>
              </w:rPr>
              <w:t xml:space="preserve">companies, in particular </w:t>
            </w:r>
            <w:r w:rsidRPr="5FFBF985">
              <w:rPr>
                <w:noProof/>
              </w:rPr>
              <w:t>s</w:t>
            </w:r>
            <w:r w:rsidR="051262D6" w:rsidRPr="5FFBF985">
              <w:rPr>
                <w:noProof/>
              </w:rPr>
              <w:t>tartup</w:t>
            </w:r>
            <w:r w:rsidRPr="5FFBF985">
              <w:rPr>
                <w:noProof/>
              </w:rPr>
              <w:t xml:space="preserve">s and </w:t>
            </w:r>
            <w:r w:rsidRPr="7DEE8D98">
              <w:rPr>
                <w:noProof/>
              </w:rPr>
              <w:t>s</w:t>
            </w:r>
            <w:r w:rsidR="6AA44345" w:rsidRPr="7DEE8D98">
              <w:rPr>
                <w:noProof/>
              </w:rPr>
              <w:t>caleup</w:t>
            </w:r>
            <w:r w:rsidRPr="7DEE8D98">
              <w:rPr>
                <w:noProof/>
              </w:rPr>
              <w:t>s</w:t>
            </w:r>
            <w:r w:rsidRPr="5FFBF985">
              <w:rPr>
                <w:noProof/>
              </w:rPr>
              <w:t xml:space="preserve"> in the EU</w:t>
            </w:r>
          </w:p>
        </w:tc>
        <w:tc>
          <w:tcPr>
            <w:tcW w:w="860" w:type="dxa"/>
          </w:tcPr>
          <w:p w14:paraId="550CFBD5" w14:textId="3F1A793D" w:rsidR="000F07E3" w:rsidRPr="005C4BC3" w:rsidRDefault="00016288">
            <w:pPr>
              <w:jc w:val="center"/>
              <w:rPr>
                <w:rFonts w:cstheme="minorHAnsi"/>
                <w:noProof/>
                <w:szCs w:val="20"/>
              </w:rPr>
            </w:pPr>
            <w:r>
              <w:rPr>
                <w:rFonts w:cstheme="minorHAnsi"/>
                <w:noProof/>
                <w:szCs w:val="20"/>
              </w:rPr>
              <w:t>1</w:t>
            </w:r>
          </w:p>
        </w:tc>
        <w:tc>
          <w:tcPr>
            <w:tcW w:w="856" w:type="dxa"/>
          </w:tcPr>
          <w:p w14:paraId="6E25EB99" w14:textId="09B36468" w:rsidR="000F07E3" w:rsidRPr="005C4BC3" w:rsidRDefault="00016288">
            <w:pPr>
              <w:jc w:val="center"/>
              <w:rPr>
                <w:rFonts w:cstheme="minorHAnsi"/>
                <w:noProof/>
                <w:szCs w:val="20"/>
              </w:rPr>
            </w:pPr>
            <w:r>
              <w:rPr>
                <w:rFonts w:cstheme="minorHAnsi"/>
                <w:noProof/>
                <w:szCs w:val="20"/>
              </w:rPr>
              <w:t>2</w:t>
            </w:r>
          </w:p>
        </w:tc>
        <w:tc>
          <w:tcPr>
            <w:tcW w:w="860" w:type="dxa"/>
          </w:tcPr>
          <w:p w14:paraId="3FCC48E3" w14:textId="0587F2B7" w:rsidR="000F07E3" w:rsidRPr="005C4BC3" w:rsidRDefault="00016288">
            <w:pPr>
              <w:jc w:val="center"/>
              <w:rPr>
                <w:rFonts w:cstheme="minorHAnsi"/>
                <w:noProof/>
                <w:szCs w:val="20"/>
              </w:rPr>
            </w:pPr>
            <w:r>
              <w:rPr>
                <w:rFonts w:cstheme="minorHAnsi"/>
                <w:noProof/>
                <w:szCs w:val="20"/>
              </w:rPr>
              <w:t>2</w:t>
            </w:r>
          </w:p>
        </w:tc>
        <w:tc>
          <w:tcPr>
            <w:tcW w:w="4677" w:type="dxa"/>
          </w:tcPr>
          <w:p w14:paraId="0EA7777D" w14:textId="66F4E848" w:rsidR="00595D41" w:rsidRDefault="001C1A51" w:rsidP="00595D41">
            <w:pPr>
              <w:spacing w:after="0"/>
              <w:jc w:val="both"/>
              <w:rPr>
                <w:rFonts w:cstheme="minorHAnsi"/>
                <w:noProof/>
                <w:szCs w:val="20"/>
              </w:rPr>
            </w:pPr>
            <w:r>
              <w:rPr>
                <w:rFonts w:cstheme="minorHAnsi"/>
                <w:noProof/>
                <w:szCs w:val="20"/>
              </w:rPr>
              <w:t xml:space="preserve">Measures on how companies are governed and how their capital is to be maintained constitute </w:t>
            </w:r>
            <w:r w:rsidR="00F956E5">
              <w:rPr>
                <w:rFonts w:cstheme="minorHAnsi"/>
                <w:noProof/>
                <w:szCs w:val="20"/>
              </w:rPr>
              <w:t xml:space="preserve">important part of </w:t>
            </w:r>
            <w:r w:rsidR="00182932">
              <w:rPr>
                <w:rFonts w:cstheme="minorHAnsi"/>
                <w:noProof/>
                <w:szCs w:val="20"/>
              </w:rPr>
              <w:t xml:space="preserve">any set of rules for companies and therefore, </w:t>
            </w:r>
            <w:r w:rsidR="00B63523">
              <w:rPr>
                <w:rFonts w:cstheme="minorHAnsi"/>
                <w:noProof/>
                <w:szCs w:val="20"/>
              </w:rPr>
              <w:t xml:space="preserve">these policy options </w:t>
            </w:r>
            <w:r w:rsidR="00F042B7">
              <w:rPr>
                <w:rFonts w:cstheme="minorHAnsi"/>
                <w:noProof/>
                <w:szCs w:val="20"/>
              </w:rPr>
              <w:t xml:space="preserve">provide </w:t>
            </w:r>
            <w:r w:rsidR="00CC73E7">
              <w:rPr>
                <w:rFonts w:cstheme="minorHAnsi"/>
                <w:noProof/>
                <w:szCs w:val="20"/>
              </w:rPr>
              <w:t>an</w:t>
            </w:r>
            <w:r w:rsidR="008A2874">
              <w:rPr>
                <w:rFonts w:cstheme="minorHAnsi"/>
                <w:noProof/>
                <w:szCs w:val="20"/>
              </w:rPr>
              <w:t xml:space="preserve"> important </w:t>
            </w:r>
            <w:r w:rsidR="00CC73E7">
              <w:rPr>
                <w:rFonts w:cstheme="minorHAnsi"/>
                <w:noProof/>
                <w:szCs w:val="20"/>
              </w:rPr>
              <w:t>contribution towards an objective</w:t>
            </w:r>
            <w:r w:rsidR="00D4444B">
              <w:rPr>
                <w:rFonts w:cstheme="minorHAnsi"/>
                <w:noProof/>
                <w:szCs w:val="20"/>
              </w:rPr>
              <w:t xml:space="preserve"> of </w:t>
            </w:r>
            <w:r w:rsidR="00CC73E7">
              <w:rPr>
                <w:rFonts w:cstheme="minorHAnsi"/>
                <w:noProof/>
                <w:szCs w:val="20"/>
              </w:rPr>
              <w:t>creating a common corporate legal framework for 28</w:t>
            </w:r>
            <w:r w:rsidR="00CC73E7" w:rsidRPr="00CC73E7">
              <w:rPr>
                <w:rFonts w:cstheme="minorHAnsi"/>
                <w:noProof/>
                <w:szCs w:val="20"/>
                <w:vertAlign w:val="superscript"/>
              </w:rPr>
              <w:t>th</w:t>
            </w:r>
            <w:r w:rsidR="00CC73E7">
              <w:rPr>
                <w:rFonts w:cstheme="minorHAnsi"/>
                <w:noProof/>
                <w:szCs w:val="20"/>
              </w:rPr>
              <w:t xml:space="preserve"> regime companies.</w:t>
            </w:r>
            <w:r w:rsidR="008A2874">
              <w:rPr>
                <w:rFonts w:cstheme="minorHAnsi"/>
                <w:noProof/>
                <w:szCs w:val="20"/>
              </w:rPr>
              <w:t xml:space="preserve"> </w:t>
            </w:r>
            <w:r w:rsidR="00595D41">
              <w:rPr>
                <w:rFonts w:cstheme="minorHAnsi"/>
                <w:noProof/>
                <w:szCs w:val="20"/>
              </w:rPr>
              <w:t xml:space="preserve">PO6a </w:t>
            </w:r>
            <w:r w:rsidR="008C15D4">
              <w:rPr>
                <w:rFonts w:cstheme="minorHAnsi"/>
                <w:noProof/>
                <w:szCs w:val="20"/>
              </w:rPr>
              <w:t xml:space="preserve">is already </w:t>
            </w:r>
            <w:r w:rsidR="00C058E7">
              <w:rPr>
                <w:rFonts w:cstheme="minorHAnsi"/>
                <w:noProof/>
                <w:szCs w:val="20"/>
              </w:rPr>
              <w:t xml:space="preserve">effective by </w:t>
            </w:r>
            <w:r w:rsidR="00595D41">
              <w:rPr>
                <w:rFonts w:cstheme="minorHAnsi"/>
                <w:noProof/>
                <w:szCs w:val="20"/>
              </w:rPr>
              <w:t>harmonis</w:t>
            </w:r>
            <w:r w:rsidR="001C2EAB">
              <w:rPr>
                <w:rFonts w:cstheme="minorHAnsi"/>
                <w:noProof/>
                <w:szCs w:val="20"/>
              </w:rPr>
              <w:t>ing</w:t>
            </w:r>
            <w:r w:rsidR="00595D41">
              <w:rPr>
                <w:rFonts w:cstheme="minorHAnsi"/>
                <w:noProof/>
                <w:szCs w:val="20"/>
              </w:rPr>
              <w:t xml:space="preserve"> </w:t>
            </w:r>
            <w:r w:rsidR="001F19F1">
              <w:rPr>
                <w:rFonts w:cstheme="minorHAnsi"/>
                <w:noProof/>
                <w:szCs w:val="20"/>
              </w:rPr>
              <w:t xml:space="preserve">a </w:t>
            </w:r>
            <w:r w:rsidR="000B0231">
              <w:rPr>
                <w:rFonts w:cstheme="minorHAnsi"/>
                <w:noProof/>
                <w:szCs w:val="20"/>
              </w:rPr>
              <w:t xml:space="preserve">comprehensive </w:t>
            </w:r>
            <w:r w:rsidR="001F19F1">
              <w:rPr>
                <w:rFonts w:cstheme="minorHAnsi"/>
                <w:noProof/>
                <w:szCs w:val="20"/>
              </w:rPr>
              <w:t xml:space="preserve">number of issues related to </w:t>
            </w:r>
            <w:r w:rsidR="00595D41">
              <w:rPr>
                <w:rFonts w:cstheme="minorHAnsi"/>
                <w:noProof/>
                <w:szCs w:val="20"/>
              </w:rPr>
              <w:t xml:space="preserve">governance </w:t>
            </w:r>
            <w:r w:rsidR="00B46D13">
              <w:rPr>
                <w:rFonts w:cstheme="minorHAnsi"/>
                <w:noProof/>
                <w:szCs w:val="20"/>
              </w:rPr>
              <w:t>of 28</w:t>
            </w:r>
            <w:r w:rsidR="00B46D13" w:rsidRPr="00B46D13">
              <w:rPr>
                <w:rFonts w:cstheme="minorHAnsi"/>
                <w:noProof/>
                <w:szCs w:val="20"/>
                <w:vertAlign w:val="superscript"/>
              </w:rPr>
              <w:t>th</w:t>
            </w:r>
            <w:r w:rsidR="00B46D13">
              <w:rPr>
                <w:rFonts w:cstheme="minorHAnsi"/>
                <w:noProof/>
                <w:szCs w:val="20"/>
              </w:rPr>
              <w:t xml:space="preserve"> regime companies but also </w:t>
            </w:r>
            <w:r w:rsidR="0045019A">
              <w:rPr>
                <w:rFonts w:cstheme="minorHAnsi"/>
                <w:noProof/>
                <w:szCs w:val="20"/>
              </w:rPr>
              <w:t>ad</w:t>
            </w:r>
            <w:r w:rsidR="00D9045F">
              <w:rPr>
                <w:rFonts w:cstheme="minorHAnsi"/>
                <w:noProof/>
                <w:szCs w:val="20"/>
              </w:rPr>
              <w:t>d</w:t>
            </w:r>
            <w:r w:rsidR="0045019A">
              <w:rPr>
                <w:rFonts w:cstheme="minorHAnsi"/>
                <w:noProof/>
                <w:szCs w:val="20"/>
              </w:rPr>
              <w:t>ressing</w:t>
            </w:r>
            <w:r w:rsidR="00D9045F">
              <w:rPr>
                <w:rFonts w:cstheme="minorHAnsi"/>
                <w:noProof/>
                <w:szCs w:val="20"/>
              </w:rPr>
              <w:t xml:space="preserve"> </w:t>
            </w:r>
            <w:r w:rsidR="008A3022">
              <w:rPr>
                <w:rFonts w:cstheme="minorHAnsi"/>
                <w:noProof/>
                <w:szCs w:val="20"/>
              </w:rPr>
              <w:t>a number of measures relevant for attracting investment.</w:t>
            </w:r>
            <w:r w:rsidR="00B46D13">
              <w:rPr>
                <w:rFonts w:cstheme="minorHAnsi"/>
                <w:noProof/>
                <w:szCs w:val="20"/>
              </w:rPr>
              <w:t xml:space="preserve"> </w:t>
            </w:r>
          </w:p>
          <w:p w14:paraId="1B15137E" w14:textId="4BB6AE3B" w:rsidR="000F07E3" w:rsidRPr="00595D41" w:rsidRDefault="00FE5AE1" w:rsidP="00834AFA">
            <w:pPr>
              <w:spacing w:after="0"/>
              <w:jc w:val="both"/>
              <w:rPr>
                <w:rFonts w:cstheme="minorHAnsi"/>
                <w:noProof/>
                <w:szCs w:val="20"/>
              </w:rPr>
            </w:pPr>
            <w:r>
              <w:rPr>
                <w:rFonts w:cstheme="minorHAnsi"/>
                <w:noProof/>
                <w:szCs w:val="20"/>
              </w:rPr>
              <w:t xml:space="preserve">Options </w:t>
            </w:r>
            <w:r w:rsidR="00881181">
              <w:rPr>
                <w:rFonts w:cstheme="minorHAnsi"/>
                <w:noProof/>
                <w:szCs w:val="20"/>
              </w:rPr>
              <w:t xml:space="preserve">PO6b </w:t>
            </w:r>
            <w:r>
              <w:rPr>
                <w:rFonts w:cstheme="minorHAnsi"/>
                <w:noProof/>
                <w:szCs w:val="20"/>
              </w:rPr>
              <w:t>and PO6</w:t>
            </w:r>
            <w:r w:rsidR="003B248F">
              <w:rPr>
                <w:rFonts w:cstheme="minorHAnsi"/>
                <w:noProof/>
                <w:szCs w:val="20"/>
              </w:rPr>
              <w:t>c</w:t>
            </w:r>
            <w:r>
              <w:rPr>
                <w:rFonts w:cstheme="minorHAnsi"/>
                <w:noProof/>
                <w:szCs w:val="20"/>
              </w:rPr>
              <w:t xml:space="preserve"> are</w:t>
            </w:r>
            <w:r w:rsidR="00881181">
              <w:rPr>
                <w:rFonts w:cstheme="minorHAnsi"/>
                <w:noProof/>
                <w:szCs w:val="20"/>
              </w:rPr>
              <w:t xml:space="preserve"> </w:t>
            </w:r>
            <w:r w:rsidR="008A3022">
              <w:rPr>
                <w:rFonts w:cstheme="minorHAnsi"/>
                <w:noProof/>
                <w:szCs w:val="20"/>
              </w:rPr>
              <w:t xml:space="preserve">more effective </w:t>
            </w:r>
            <w:r>
              <w:rPr>
                <w:rFonts w:cstheme="minorHAnsi"/>
                <w:noProof/>
                <w:szCs w:val="20"/>
              </w:rPr>
              <w:t>than PO6</w:t>
            </w:r>
            <w:r w:rsidR="003B248F">
              <w:rPr>
                <w:rFonts w:cstheme="minorHAnsi"/>
                <w:noProof/>
                <w:szCs w:val="20"/>
              </w:rPr>
              <w:t>a</w:t>
            </w:r>
            <w:r>
              <w:rPr>
                <w:rFonts w:cstheme="minorHAnsi"/>
                <w:noProof/>
                <w:szCs w:val="20"/>
              </w:rPr>
              <w:t xml:space="preserve"> </w:t>
            </w:r>
            <w:r w:rsidR="008A3022">
              <w:rPr>
                <w:rFonts w:cstheme="minorHAnsi"/>
                <w:noProof/>
                <w:szCs w:val="20"/>
              </w:rPr>
              <w:t xml:space="preserve">as </w:t>
            </w:r>
            <w:r>
              <w:rPr>
                <w:rFonts w:cstheme="minorHAnsi"/>
                <w:noProof/>
                <w:szCs w:val="20"/>
              </w:rPr>
              <w:t>they</w:t>
            </w:r>
            <w:r w:rsidR="0070140C">
              <w:rPr>
                <w:rFonts w:cstheme="minorHAnsi"/>
                <w:noProof/>
                <w:szCs w:val="20"/>
              </w:rPr>
              <w:t xml:space="preserve"> would </w:t>
            </w:r>
            <w:r>
              <w:rPr>
                <w:rFonts w:cstheme="minorHAnsi"/>
                <w:noProof/>
                <w:szCs w:val="20"/>
              </w:rPr>
              <w:t>also</w:t>
            </w:r>
            <w:r w:rsidR="0070140C">
              <w:rPr>
                <w:rFonts w:cstheme="minorHAnsi"/>
                <w:noProof/>
                <w:szCs w:val="20"/>
              </w:rPr>
              <w:t xml:space="preserve"> provide common </w:t>
            </w:r>
            <w:r w:rsidR="00D1668B">
              <w:rPr>
                <w:rFonts w:cstheme="minorHAnsi"/>
                <w:noProof/>
                <w:szCs w:val="20"/>
              </w:rPr>
              <w:t xml:space="preserve">rules as to </w:t>
            </w:r>
            <w:r w:rsidR="00881181">
              <w:rPr>
                <w:rFonts w:cstheme="minorHAnsi"/>
                <w:noProof/>
                <w:szCs w:val="20"/>
              </w:rPr>
              <w:t xml:space="preserve">the </w:t>
            </w:r>
            <w:r w:rsidR="00B26488">
              <w:rPr>
                <w:rFonts w:cstheme="minorHAnsi"/>
                <w:noProof/>
                <w:szCs w:val="20"/>
              </w:rPr>
              <w:t xml:space="preserve">capital </w:t>
            </w:r>
            <w:r w:rsidR="00C07E9B">
              <w:rPr>
                <w:rFonts w:cstheme="minorHAnsi"/>
                <w:noProof/>
                <w:szCs w:val="20"/>
              </w:rPr>
              <w:t xml:space="preserve">maintenance and creditor protection </w:t>
            </w:r>
            <w:r w:rsidR="00B26488">
              <w:rPr>
                <w:rFonts w:cstheme="minorHAnsi"/>
                <w:noProof/>
                <w:szCs w:val="20"/>
              </w:rPr>
              <w:t>regime</w:t>
            </w:r>
            <w:r w:rsidR="00BD58C2" w:rsidRPr="00BD58C2">
              <w:rPr>
                <w:rFonts w:cstheme="minorHAnsi"/>
                <w:noProof/>
                <w:szCs w:val="20"/>
              </w:rPr>
              <w:t xml:space="preserve"> </w:t>
            </w:r>
            <w:r w:rsidR="00D1668B">
              <w:rPr>
                <w:rFonts w:cstheme="minorHAnsi"/>
                <w:noProof/>
                <w:szCs w:val="20"/>
              </w:rPr>
              <w:t>of 28</w:t>
            </w:r>
            <w:r w:rsidR="00D1668B" w:rsidRPr="00D1668B">
              <w:rPr>
                <w:rFonts w:cstheme="minorHAnsi"/>
                <w:noProof/>
                <w:szCs w:val="20"/>
                <w:vertAlign w:val="superscript"/>
              </w:rPr>
              <w:t>th</w:t>
            </w:r>
            <w:r w:rsidR="00D1668B">
              <w:rPr>
                <w:rFonts w:cstheme="minorHAnsi"/>
                <w:noProof/>
                <w:szCs w:val="20"/>
              </w:rPr>
              <w:t xml:space="preserve"> regime companies</w:t>
            </w:r>
            <w:r>
              <w:rPr>
                <w:rFonts w:cstheme="minorHAnsi"/>
                <w:noProof/>
                <w:szCs w:val="20"/>
              </w:rPr>
              <w:t xml:space="preserve">, </w:t>
            </w:r>
            <w:r w:rsidR="008D20AB">
              <w:rPr>
                <w:rFonts w:cstheme="minorHAnsi"/>
                <w:noProof/>
                <w:szCs w:val="20"/>
              </w:rPr>
              <w:t>both</w:t>
            </w:r>
            <w:r>
              <w:rPr>
                <w:rFonts w:cstheme="minorHAnsi"/>
                <w:noProof/>
                <w:szCs w:val="20"/>
              </w:rPr>
              <w:t xml:space="preserve"> </w:t>
            </w:r>
            <w:r w:rsidR="00A40855">
              <w:rPr>
                <w:rFonts w:cstheme="minorHAnsi"/>
                <w:noProof/>
                <w:szCs w:val="20"/>
              </w:rPr>
              <w:t xml:space="preserve">harmonising </w:t>
            </w:r>
            <w:r w:rsidR="00C073DC">
              <w:rPr>
                <w:rFonts w:cstheme="minorHAnsi"/>
                <w:noProof/>
                <w:szCs w:val="20"/>
              </w:rPr>
              <w:t>the</w:t>
            </w:r>
            <w:r>
              <w:rPr>
                <w:rFonts w:cstheme="minorHAnsi"/>
                <w:noProof/>
                <w:szCs w:val="20"/>
              </w:rPr>
              <w:t xml:space="preserve"> important issue of minimum capital requirements</w:t>
            </w:r>
            <w:r w:rsidR="00D1668B">
              <w:rPr>
                <w:rFonts w:cstheme="minorHAnsi"/>
                <w:noProof/>
                <w:szCs w:val="20"/>
              </w:rPr>
              <w:t>.</w:t>
            </w:r>
            <w:r w:rsidR="00BD58C2" w:rsidRPr="00BD58C2">
              <w:rPr>
                <w:rFonts w:cstheme="minorHAnsi"/>
                <w:noProof/>
                <w:szCs w:val="20"/>
              </w:rPr>
              <w:t xml:space="preserve"> </w:t>
            </w:r>
            <w:r w:rsidR="005E61BB">
              <w:rPr>
                <w:rFonts w:cstheme="minorHAnsi"/>
                <w:noProof/>
                <w:szCs w:val="20"/>
              </w:rPr>
              <w:t>Although they provide for different</w:t>
            </w:r>
            <w:r w:rsidR="00C91A04">
              <w:rPr>
                <w:rFonts w:cstheme="minorHAnsi"/>
                <w:noProof/>
                <w:szCs w:val="20"/>
              </w:rPr>
              <w:t xml:space="preserve"> solutions, they are considered equally effective in meeting the objective of common rules. </w:t>
            </w:r>
          </w:p>
        </w:tc>
      </w:tr>
      <w:tr w:rsidR="000F07E3" w:rsidRPr="00B97033" w14:paraId="4F62B1BC" w14:textId="77777777" w:rsidTr="6F00936E">
        <w:trPr>
          <w:trHeight w:val="582"/>
        </w:trPr>
        <w:tc>
          <w:tcPr>
            <w:tcW w:w="2528" w:type="dxa"/>
          </w:tcPr>
          <w:p w14:paraId="2998E2E0" w14:textId="55FD75CE" w:rsidR="000F07E3" w:rsidRPr="005C4BC3" w:rsidRDefault="000F07E3">
            <w:pPr>
              <w:rPr>
                <w:noProof/>
              </w:rPr>
            </w:pPr>
            <w:r w:rsidRPr="5FFBF985">
              <w:rPr>
                <w:b/>
                <w:noProof/>
              </w:rPr>
              <w:t>Specific Objective 2:</w:t>
            </w:r>
            <w:r w:rsidRPr="5FFBF985">
              <w:rPr>
                <w:noProof/>
              </w:rPr>
              <w:t xml:space="preserve"> </w:t>
            </w:r>
            <w:r w:rsidR="00330BC1" w:rsidRPr="5FFBF985">
              <w:rPr>
                <w:noProof/>
              </w:rPr>
              <w:t xml:space="preserve">Provide </w:t>
            </w:r>
            <w:r w:rsidRPr="5FFBF985">
              <w:rPr>
                <w:noProof/>
              </w:rPr>
              <w:t xml:space="preserve">simple and efficient corporate rules and procedures throughout the </w:t>
            </w:r>
            <w:r>
              <w:rPr>
                <w:noProof/>
              </w:rPr>
              <w:t xml:space="preserve">company </w:t>
            </w:r>
            <w:r w:rsidRPr="5FFBF985">
              <w:rPr>
                <w:noProof/>
              </w:rPr>
              <w:t xml:space="preserve">lifecycle </w:t>
            </w:r>
          </w:p>
        </w:tc>
        <w:tc>
          <w:tcPr>
            <w:tcW w:w="860" w:type="dxa"/>
          </w:tcPr>
          <w:p w14:paraId="69446ECF" w14:textId="5AD38D35" w:rsidR="000F07E3" w:rsidRPr="005C4BC3" w:rsidRDefault="0053494F">
            <w:pPr>
              <w:jc w:val="center"/>
              <w:rPr>
                <w:rFonts w:cstheme="minorHAnsi"/>
                <w:noProof/>
                <w:szCs w:val="20"/>
              </w:rPr>
            </w:pPr>
            <w:r>
              <w:rPr>
                <w:rFonts w:cstheme="minorHAnsi"/>
                <w:noProof/>
                <w:szCs w:val="20"/>
              </w:rPr>
              <w:t>3</w:t>
            </w:r>
          </w:p>
        </w:tc>
        <w:tc>
          <w:tcPr>
            <w:tcW w:w="856" w:type="dxa"/>
          </w:tcPr>
          <w:p w14:paraId="015BE753" w14:textId="20614B60" w:rsidR="000F07E3" w:rsidRPr="005C4BC3" w:rsidRDefault="00E37FB3">
            <w:pPr>
              <w:jc w:val="center"/>
              <w:rPr>
                <w:rFonts w:cstheme="minorHAnsi"/>
                <w:noProof/>
                <w:szCs w:val="20"/>
              </w:rPr>
            </w:pPr>
            <w:r>
              <w:rPr>
                <w:rFonts w:cstheme="minorHAnsi"/>
                <w:noProof/>
                <w:szCs w:val="20"/>
              </w:rPr>
              <w:t>4</w:t>
            </w:r>
          </w:p>
        </w:tc>
        <w:tc>
          <w:tcPr>
            <w:tcW w:w="860" w:type="dxa"/>
          </w:tcPr>
          <w:p w14:paraId="3DC612C0" w14:textId="1C0F3051" w:rsidR="000F07E3" w:rsidRPr="005C4BC3" w:rsidRDefault="00DE6F0F">
            <w:pPr>
              <w:jc w:val="center"/>
              <w:rPr>
                <w:rFonts w:cstheme="minorHAnsi"/>
                <w:noProof/>
                <w:szCs w:val="20"/>
              </w:rPr>
            </w:pPr>
            <w:r>
              <w:rPr>
                <w:rFonts w:cstheme="minorHAnsi"/>
                <w:noProof/>
                <w:szCs w:val="20"/>
              </w:rPr>
              <w:t>3</w:t>
            </w:r>
          </w:p>
        </w:tc>
        <w:tc>
          <w:tcPr>
            <w:tcW w:w="4677" w:type="dxa"/>
          </w:tcPr>
          <w:p w14:paraId="3F85E90F" w14:textId="05BA901C" w:rsidR="00595D41" w:rsidRDefault="00595D41" w:rsidP="00595D41">
            <w:pPr>
              <w:jc w:val="both"/>
              <w:rPr>
                <w:rFonts w:cstheme="minorHAnsi"/>
                <w:noProof/>
                <w:szCs w:val="20"/>
              </w:rPr>
            </w:pPr>
            <w:r>
              <w:rPr>
                <w:rFonts w:cstheme="minorHAnsi"/>
                <w:noProof/>
                <w:szCs w:val="20"/>
              </w:rPr>
              <w:t xml:space="preserve">PO6a </w:t>
            </w:r>
            <w:r w:rsidR="00DE69EC">
              <w:rPr>
                <w:rFonts w:cstheme="minorHAnsi"/>
                <w:noProof/>
                <w:szCs w:val="20"/>
              </w:rPr>
              <w:t xml:space="preserve">would </w:t>
            </w:r>
            <w:r w:rsidR="00400253">
              <w:rPr>
                <w:rFonts w:cstheme="minorHAnsi"/>
                <w:noProof/>
                <w:szCs w:val="20"/>
              </w:rPr>
              <w:t>simpl</w:t>
            </w:r>
            <w:r w:rsidR="00CB194D">
              <w:rPr>
                <w:rFonts w:cstheme="minorHAnsi"/>
                <w:noProof/>
                <w:szCs w:val="20"/>
              </w:rPr>
              <w:t>if</w:t>
            </w:r>
            <w:r w:rsidR="00400253">
              <w:rPr>
                <w:rFonts w:cstheme="minorHAnsi"/>
                <w:noProof/>
                <w:szCs w:val="20"/>
              </w:rPr>
              <w:t xml:space="preserve">y and make corporate rules more efficient </w:t>
            </w:r>
            <w:r w:rsidR="00C91209">
              <w:rPr>
                <w:rFonts w:cstheme="minorHAnsi"/>
                <w:noProof/>
                <w:szCs w:val="20"/>
              </w:rPr>
              <w:t xml:space="preserve">by </w:t>
            </w:r>
            <w:r w:rsidR="00DC23A2">
              <w:rPr>
                <w:rFonts w:cstheme="minorHAnsi"/>
                <w:noProof/>
                <w:szCs w:val="20"/>
              </w:rPr>
              <w:t xml:space="preserve">facilitating </w:t>
            </w:r>
            <w:r w:rsidR="009B1933">
              <w:rPr>
                <w:rFonts w:cstheme="minorHAnsi"/>
                <w:noProof/>
                <w:szCs w:val="20"/>
              </w:rPr>
              <w:t xml:space="preserve">digital solutions for </w:t>
            </w:r>
            <w:r w:rsidR="00DC23A2">
              <w:rPr>
                <w:rFonts w:cstheme="minorHAnsi"/>
                <w:noProof/>
                <w:szCs w:val="20"/>
              </w:rPr>
              <w:t xml:space="preserve">the </w:t>
            </w:r>
            <w:r w:rsidR="009B1933">
              <w:rPr>
                <w:rFonts w:cstheme="minorHAnsi"/>
                <w:noProof/>
                <w:szCs w:val="20"/>
              </w:rPr>
              <w:t xml:space="preserve">governance of </w:t>
            </w:r>
            <w:r w:rsidR="00C91209">
              <w:rPr>
                <w:rFonts w:cstheme="minorHAnsi"/>
                <w:noProof/>
                <w:szCs w:val="20"/>
              </w:rPr>
              <w:t>28</w:t>
            </w:r>
            <w:r w:rsidR="00C91209" w:rsidRPr="00C91209">
              <w:rPr>
                <w:rFonts w:cstheme="minorHAnsi"/>
                <w:noProof/>
                <w:szCs w:val="20"/>
                <w:vertAlign w:val="superscript"/>
              </w:rPr>
              <w:t>th</w:t>
            </w:r>
            <w:r w:rsidR="00C91209">
              <w:rPr>
                <w:rFonts w:cstheme="minorHAnsi"/>
                <w:noProof/>
                <w:szCs w:val="20"/>
              </w:rPr>
              <w:t xml:space="preserve"> regime companies</w:t>
            </w:r>
            <w:r w:rsidR="009B1933">
              <w:rPr>
                <w:rFonts w:cstheme="minorHAnsi"/>
                <w:noProof/>
                <w:szCs w:val="20"/>
              </w:rPr>
              <w:t xml:space="preserve">, including </w:t>
            </w:r>
            <w:r w:rsidR="002B0729">
              <w:rPr>
                <w:rFonts w:cstheme="minorHAnsi"/>
                <w:noProof/>
                <w:szCs w:val="20"/>
              </w:rPr>
              <w:t>by allowing for</w:t>
            </w:r>
            <w:r w:rsidR="00C91209">
              <w:rPr>
                <w:rFonts w:cstheme="minorHAnsi"/>
                <w:noProof/>
                <w:szCs w:val="20"/>
              </w:rPr>
              <w:t xml:space="preserve"> online shareholder and board of director meetings </w:t>
            </w:r>
            <w:r w:rsidR="002B0729">
              <w:rPr>
                <w:rFonts w:cstheme="minorHAnsi"/>
                <w:noProof/>
                <w:szCs w:val="20"/>
              </w:rPr>
              <w:t>and</w:t>
            </w:r>
            <w:r>
              <w:rPr>
                <w:rFonts w:cstheme="minorHAnsi"/>
                <w:noProof/>
                <w:szCs w:val="20"/>
              </w:rPr>
              <w:t xml:space="preserve"> </w:t>
            </w:r>
            <w:r w:rsidR="00CD0D53">
              <w:rPr>
                <w:rFonts w:cstheme="minorHAnsi"/>
                <w:noProof/>
                <w:szCs w:val="20"/>
              </w:rPr>
              <w:t xml:space="preserve">fully online procedures. </w:t>
            </w:r>
          </w:p>
          <w:p w14:paraId="72CA210C" w14:textId="5824AE88" w:rsidR="000F07E3" w:rsidRPr="000B725C" w:rsidRDefault="6798526E" w:rsidP="6F00936E">
            <w:pPr>
              <w:jc w:val="both"/>
              <w:rPr>
                <w:noProof/>
                <w:lang w:val="en-IE"/>
              </w:rPr>
            </w:pPr>
            <w:r w:rsidRPr="6F00936E">
              <w:rPr>
                <w:noProof/>
              </w:rPr>
              <w:t xml:space="preserve">PO6b </w:t>
            </w:r>
            <w:r w:rsidR="1C30F508" w:rsidRPr="6F00936E">
              <w:rPr>
                <w:noProof/>
              </w:rPr>
              <w:t>and P</w:t>
            </w:r>
            <w:r w:rsidR="5F43E48A" w:rsidRPr="6F00936E">
              <w:rPr>
                <w:noProof/>
              </w:rPr>
              <w:t xml:space="preserve">O6c </w:t>
            </w:r>
            <w:r w:rsidR="061B45BD" w:rsidRPr="6F00936E">
              <w:rPr>
                <w:noProof/>
              </w:rPr>
              <w:t>would be more</w:t>
            </w:r>
            <w:r w:rsidRPr="6F00936E">
              <w:rPr>
                <w:noProof/>
              </w:rPr>
              <w:t xml:space="preserve"> effective </w:t>
            </w:r>
            <w:r w:rsidR="771D9592" w:rsidRPr="6F00936E">
              <w:rPr>
                <w:noProof/>
              </w:rPr>
              <w:t>than PO6a</w:t>
            </w:r>
            <w:r w:rsidRPr="6F00936E">
              <w:rPr>
                <w:noProof/>
              </w:rPr>
              <w:t xml:space="preserve"> as</w:t>
            </w:r>
            <w:r w:rsidR="2B4C2CB9">
              <w:rPr>
                <w:noProof/>
              </w:rPr>
              <w:t xml:space="preserve"> </w:t>
            </w:r>
            <w:r w:rsidR="17B68D44">
              <w:rPr>
                <w:noProof/>
              </w:rPr>
              <w:t>they</w:t>
            </w:r>
            <w:r w:rsidR="6342AB68">
              <w:rPr>
                <w:noProof/>
              </w:rPr>
              <w:t xml:space="preserve"> would also address </w:t>
            </w:r>
            <w:r w:rsidR="2B4C2CB9" w:rsidRPr="6F00936E">
              <w:rPr>
                <w:noProof/>
              </w:rPr>
              <w:t xml:space="preserve">the </w:t>
            </w:r>
            <w:r w:rsidR="279E82EF" w:rsidRPr="6F00936E">
              <w:rPr>
                <w:noProof/>
              </w:rPr>
              <w:t>capital</w:t>
            </w:r>
            <w:r w:rsidR="2B4C2CB9" w:rsidRPr="6F00936E">
              <w:rPr>
                <w:noProof/>
              </w:rPr>
              <w:t xml:space="preserve"> </w:t>
            </w:r>
            <w:r w:rsidR="2F0FDEBE" w:rsidRPr="6F00936E">
              <w:rPr>
                <w:noProof/>
              </w:rPr>
              <w:t>regime</w:t>
            </w:r>
            <w:r w:rsidR="01B08831" w:rsidRPr="6F00936E">
              <w:rPr>
                <w:noProof/>
              </w:rPr>
              <w:t xml:space="preserve">, </w:t>
            </w:r>
            <w:r w:rsidR="5D81D483" w:rsidRPr="6F00936E">
              <w:rPr>
                <w:noProof/>
              </w:rPr>
              <w:t xml:space="preserve">which is </w:t>
            </w:r>
            <w:r w:rsidR="01B08831" w:rsidRPr="6F00936E">
              <w:rPr>
                <w:noProof/>
              </w:rPr>
              <w:t xml:space="preserve">an important </w:t>
            </w:r>
            <w:r w:rsidR="5D81D483" w:rsidRPr="6F00936E">
              <w:rPr>
                <w:noProof/>
              </w:rPr>
              <w:t>element of incorporation procedure.</w:t>
            </w:r>
            <w:r w:rsidR="2F0FDEBE" w:rsidRPr="6F00936E">
              <w:rPr>
                <w:noProof/>
              </w:rPr>
              <w:t xml:space="preserve"> </w:t>
            </w:r>
            <w:r w:rsidR="5D81D483" w:rsidRPr="6F00936E">
              <w:rPr>
                <w:noProof/>
              </w:rPr>
              <w:t>PO6b,</w:t>
            </w:r>
            <w:r w:rsidR="2553D540" w:rsidRPr="6F00936E">
              <w:rPr>
                <w:noProof/>
              </w:rPr>
              <w:t xml:space="preserve"> </w:t>
            </w:r>
            <w:r w:rsidR="459827A2" w:rsidRPr="6F00936E">
              <w:rPr>
                <w:noProof/>
              </w:rPr>
              <w:t xml:space="preserve">by </w:t>
            </w:r>
            <w:r w:rsidR="7C3BEF02">
              <w:rPr>
                <w:noProof/>
              </w:rPr>
              <w:t>not requiring any minimum paid-in share capital for incorporation</w:t>
            </w:r>
            <w:r w:rsidR="5D81D483">
              <w:rPr>
                <w:noProof/>
              </w:rPr>
              <w:t>,</w:t>
            </w:r>
            <w:r w:rsidR="7C3BEF02">
              <w:rPr>
                <w:noProof/>
              </w:rPr>
              <w:t xml:space="preserve"> </w:t>
            </w:r>
            <w:r w:rsidR="3B0E960E" w:rsidRPr="6F00936E">
              <w:rPr>
                <w:noProof/>
              </w:rPr>
              <w:t xml:space="preserve">would be more effective than PO6c with </w:t>
            </w:r>
            <w:r w:rsidR="34D46AB2" w:rsidRPr="6F00936E">
              <w:rPr>
                <w:noProof/>
              </w:rPr>
              <w:t xml:space="preserve">a </w:t>
            </w:r>
            <w:r w:rsidR="3B0E960E" w:rsidRPr="6F00936E">
              <w:rPr>
                <w:noProof/>
              </w:rPr>
              <w:t>minimum requirement of EUR</w:t>
            </w:r>
            <w:r w:rsidR="00C735C5">
              <w:rPr>
                <w:noProof/>
              </w:rPr>
              <w:t> </w:t>
            </w:r>
            <w:r w:rsidR="26234D53" w:rsidRPr="6F00936E">
              <w:rPr>
                <w:noProof/>
              </w:rPr>
              <w:t>5</w:t>
            </w:r>
            <w:r w:rsidR="00C735C5">
              <w:rPr>
                <w:noProof/>
              </w:rPr>
              <w:t> </w:t>
            </w:r>
            <w:r w:rsidR="26234D53" w:rsidRPr="6F00936E">
              <w:rPr>
                <w:noProof/>
              </w:rPr>
              <w:t>0</w:t>
            </w:r>
            <w:r w:rsidR="3B0E960E" w:rsidRPr="6F00936E">
              <w:rPr>
                <w:noProof/>
              </w:rPr>
              <w:t>00</w:t>
            </w:r>
            <w:r w:rsidR="6CD20405" w:rsidRPr="6F00936E">
              <w:rPr>
                <w:noProof/>
              </w:rPr>
              <w:t>.</w:t>
            </w:r>
            <w:r w:rsidR="2553D540" w:rsidRPr="6F00936E">
              <w:rPr>
                <w:noProof/>
              </w:rPr>
              <w:t xml:space="preserve"> </w:t>
            </w:r>
            <w:r w:rsidR="77163A9A" w:rsidRPr="6F00936E">
              <w:rPr>
                <w:noProof/>
              </w:rPr>
              <w:t>P</w:t>
            </w:r>
            <w:r w:rsidR="26234D53" w:rsidRPr="6F00936E">
              <w:rPr>
                <w:noProof/>
              </w:rPr>
              <w:t>O</w:t>
            </w:r>
            <w:r w:rsidR="77163A9A" w:rsidRPr="6F00936E">
              <w:rPr>
                <w:noProof/>
              </w:rPr>
              <w:t>6b</w:t>
            </w:r>
            <w:r w:rsidR="17B68D44" w:rsidRPr="6F00936E">
              <w:rPr>
                <w:noProof/>
              </w:rPr>
              <w:t xml:space="preserve"> </w:t>
            </w:r>
            <w:r w:rsidR="6823556F" w:rsidRPr="6F00936E">
              <w:rPr>
                <w:noProof/>
              </w:rPr>
              <w:t xml:space="preserve">would </w:t>
            </w:r>
            <w:r w:rsidR="593FC895" w:rsidRPr="6F00936E">
              <w:rPr>
                <w:noProof/>
              </w:rPr>
              <w:t>make incorporat</w:t>
            </w:r>
            <w:r w:rsidR="7E1CE87E" w:rsidRPr="6F00936E">
              <w:rPr>
                <w:noProof/>
              </w:rPr>
              <w:t>ion</w:t>
            </w:r>
            <w:r w:rsidR="593FC895" w:rsidRPr="6F00936E">
              <w:rPr>
                <w:noProof/>
              </w:rPr>
              <w:t xml:space="preserve"> </w:t>
            </w:r>
            <w:r w:rsidR="0CD5D56A" w:rsidRPr="6F00936E">
              <w:rPr>
                <w:noProof/>
              </w:rPr>
              <w:t>of 28</w:t>
            </w:r>
            <w:r w:rsidR="0CD5D56A" w:rsidRPr="6F00936E">
              <w:rPr>
                <w:noProof/>
                <w:vertAlign w:val="superscript"/>
              </w:rPr>
              <w:t>th</w:t>
            </w:r>
            <w:r w:rsidR="0CD5D56A" w:rsidRPr="6F00936E">
              <w:rPr>
                <w:noProof/>
              </w:rPr>
              <w:t xml:space="preserve"> regime companies </w:t>
            </w:r>
            <w:r w:rsidR="795F6A2C" w:rsidRPr="6F00936E">
              <w:rPr>
                <w:noProof/>
              </w:rPr>
              <w:t>simpler and more efficient</w:t>
            </w:r>
            <w:r w:rsidR="58E52932" w:rsidRPr="6F00936E">
              <w:rPr>
                <w:noProof/>
              </w:rPr>
              <w:t>, also due to no need for</w:t>
            </w:r>
            <w:r w:rsidR="654E2053" w:rsidRPr="6F00936E">
              <w:rPr>
                <w:noProof/>
              </w:rPr>
              <w:t xml:space="preserve"> </w:t>
            </w:r>
            <w:r w:rsidR="62AB4324" w:rsidRPr="6F00936E">
              <w:rPr>
                <w:noProof/>
                <w:lang w:val="en-IE"/>
              </w:rPr>
              <w:t>bank verification</w:t>
            </w:r>
            <w:r w:rsidR="43E77296" w:rsidRPr="6F00936E">
              <w:rPr>
                <w:noProof/>
                <w:lang w:val="en-IE"/>
              </w:rPr>
              <w:t xml:space="preserve"> and opening a bank account before company registration</w:t>
            </w:r>
            <w:r w:rsidR="62AB4324" w:rsidRPr="6F00936E">
              <w:rPr>
                <w:noProof/>
                <w:lang w:val="en-IE"/>
              </w:rPr>
              <w:t xml:space="preserve">. </w:t>
            </w:r>
            <w:r w:rsidR="0CFFB704" w:rsidRPr="6F00936E">
              <w:rPr>
                <w:noProof/>
                <w:lang w:val="en-IE"/>
              </w:rPr>
              <w:t xml:space="preserve">There was clear support for </w:t>
            </w:r>
            <w:r w:rsidR="1CFEC218" w:rsidRPr="6F00936E">
              <w:rPr>
                <w:noProof/>
                <w:lang w:val="en-IE"/>
              </w:rPr>
              <w:t xml:space="preserve">no </w:t>
            </w:r>
            <w:r w:rsidR="6F790CE8" w:rsidRPr="6F00936E">
              <w:rPr>
                <w:noProof/>
                <w:lang w:val="en-IE"/>
              </w:rPr>
              <w:t xml:space="preserve">minimum </w:t>
            </w:r>
            <w:r w:rsidR="34D46AB2" w:rsidRPr="6F00936E">
              <w:rPr>
                <w:noProof/>
                <w:lang w:val="en-IE"/>
              </w:rPr>
              <w:t xml:space="preserve">capital </w:t>
            </w:r>
            <w:r w:rsidR="6F790CE8" w:rsidRPr="6F00936E">
              <w:rPr>
                <w:noProof/>
                <w:lang w:val="en-IE"/>
              </w:rPr>
              <w:t>requirement</w:t>
            </w:r>
            <w:r>
              <w:rPr>
                <w:noProof/>
                <w:lang w:val="en-IE"/>
              </w:rPr>
              <w:t>s</w:t>
            </w:r>
            <w:r w:rsidR="6F790CE8" w:rsidRPr="6F00936E">
              <w:rPr>
                <w:noProof/>
                <w:lang w:val="en-IE"/>
              </w:rPr>
              <w:t xml:space="preserve"> in the </w:t>
            </w:r>
            <w:r w:rsidR="34D46AB2" w:rsidRPr="6F00936E">
              <w:rPr>
                <w:noProof/>
                <w:lang w:val="en-IE"/>
              </w:rPr>
              <w:t>open public</w:t>
            </w:r>
            <w:r w:rsidR="6F790CE8" w:rsidRPr="6F00936E">
              <w:rPr>
                <w:noProof/>
                <w:lang w:val="en-IE"/>
              </w:rPr>
              <w:t xml:space="preserve"> consultation, with </w:t>
            </w:r>
            <w:r w:rsidR="7941CA29" w:rsidRPr="6F00936E">
              <w:rPr>
                <w:noProof/>
                <w:lang w:val="en-IE"/>
              </w:rPr>
              <w:t>65</w:t>
            </w:r>
            <w:r w:rsidR="6F790CE8" w:rsidRPr="6F00936E">
              <w:rPr>
                <w:noProof/>
              </w:rPr>
              <w:t xml:space="preserve">% of respondents </w:t>
            </w:r>
            <w:r w:rsidR="78C4B65A" w:rsidRPr="6F00936E">
              <w:rPr>
                <w:noProof/>
              </w:rPr>
              <w:t xml:space="preserve">in favour of </w:t>
            </w:r>
            <w:r w:rsidR="6F790CE8" w:rsidRPr="6F00936E">
              <w:rPr>
                <w:noProof/>
              </w:rPr>
              <w:t xml:space="preserve">no </w:t>
            </w:r>
            <w:r w:rsidR="63818AF4" w:rsidRPr="6F00936E">
              <w:rPr>
                <w:noProof/>
              </w:rPr>
              <w:t>or</w:t>
            </w:r>
            <w:r w:rsidR="6F790CE8" w:rsidRPr="6F00936E">
              <w:rPr>
                <w:noProof/>
              </w:rPr>
              <w:t xml:space="preserve"> symbolic (e.g. </w:t>
            </w:r>
            <w:r w:rsidR="6E0F631D" w:rsidRPr="6F00936E">
              <w:rPr>
                <w:noProof/>
              </w:rPr>
              <w:t>EUR</w:t>
            </w:r>
            <w:r w:rsidR="00C735C5">
              <w:rPr>
                <w:noProof/>
              </w:rPr>
              <w:t> </w:t>
            </w:r>
            <w:r w:rsidR="63818AF4" w:rsidRPr="6F00936E">
              <w:rPr>
                <w:noProof/>
              </w:rPr>
              <w:t xml:space="preserve">1) </w:t>
            </w:r>
            <w:r w:rsidR="6F790CE8" w:rsidRPr="6F00936E">
              <w:rPr>
                <w:noProof/>
              </w:rPr>
              <w:t>minimum capital</w:t>
            </w:r>
            <w:r w:rsidR="63818AF4" w:rsidRPr="6F00936E">
              <w:rPr>
                <w:noProof/>
              </w:rPr>
              <w:t>.</w:t>
            </w:r>
            <w:r w:rsidR="6F790CE8" w:rsidRPr="6F00936E">
              <w:rPr>
                <w:noProof/>
              </w:rPr>
              <w:t xml:space="preserve"> </w:t>
            </w:r>
          </w:p>
        </w:tc>
      </w:tr>
      <w:tr w:rsidR="000F07E3" w:rsidRPr="00B97033" w14:paraId="0CAD492D" w14:textId="77777777" w:rsidTr="6F00936E">
        <w:trPr>
          <w:trHeight w:val="582"/>
        </w:trPr>
        <w:tc>
          <w:tcPr>
            <w:tcW w:w="2528" w:type="dxa"/>
          </w:tcPr>
          <w:p w14:paraId="18495430" w14:textId="7FCA2113" w:rsidR="000F07E3" w:rsidRPr="005C4BC3" w:rsidRDefault="000F07E3">
            <w:pPr>
              <w:rPr>
                <w:b/>
                <w:noProof/>
              </w:rPr>
            </w:pPr>
            <w:r w:rsidRPr="5FFBF985">
              <w:rPr>
                <w:b/>
                <w:noProof/>
              </w:rPr>
              <w:t>Specific Objective 3:</w:t>
            </w:r>
            <w:r w:rsidRPr="5FFBF985">
              <w:rPr>
                <w:noProof/>
              </w:rPr>
              <w:t xml:space="preserve"> Ensure that corporate rules provide an enabling framework to invest </w:t>
            </w:r>
          </w:p>
        </w:tc>
        <w:tc>
          <w:tcPr>
            <w:tcW w:w="860" w:type="dxa"/>
          </w:tcPr>
          <w:p w14:paraId="502F7593" w14:textId="6ACE72D9" w:rsidR="000F07E3" w:rsidRDefault="00834AFA">
            <w:pPr>
              <w:jc w:val="center"/>
              <w:rPr>
                <w:rFonts w:cstheme="minorHAnsi"/>
                <w:noProof/>
                <w:szCs w:val="20"/>
              </w:rPr>
            </w:pPr>
            <w:r>
              <w:rPr>
                <w:rFonts w:cstheme="minorHAnsi"/>
                <w:noProof/>
                <w:szCs w:val="20"/>
              </w:rPr>
              <w:t>3</w:t>
            </w:r>
          </w:p>
        </w:tc>
        <w:tc>
          <w:tcPr>
            <w:tcW w:w="856" w:type="dxa"/>
          </w:tcPr>
          <w:p w14:paraId="47BE74D3" w14:textId="5425CF24" w:rsidR="000F07E3" w:rsidRPr="005C4BC3" w:rsidRDefault="00E37FB3">
            <w:pPr>
              <w:jc w:val="center"/>
              <w:rPr>
                <w:rFonts w:cstheme="minorHAnsi"/>
                <w:noProof/>
                <w:szCs w:val="20"/>
              </w:rPr>
            </w:pPr>
            <w:r>
              <w:rPr>
                <w:rFonts w:cstheme="minorHAnsi"/>
                <w:noProof/>
                <w:szCs w:val="20"/>
              </w:rPr>
              <w:t>4</w:t>
            </w:r>
          </w:p>
        </w:tc>
        <w:tc>
          <w:tcPr>
            <w:tcW w:w="860" w:type="dxa"/>
          </w:tcPr>
          <w:p w14:paraId="7094961F" w14:textId="6D2B11A2" w:rsidR="000F07E3" w:rsidRDefault="0091306E">
            <w:pPr>
              <w:jc w:val="center"/>
              <w:rPr>
                <w:rFonts w:cstheme="minorHAnsi"/>
                <w:noProof/>
                <w:szCs w:val="20"/>
              </w:rPr>
            </w:pPr>
            <w:r>
              <w:rPr>
                <w:rFonts w:cstheme="minorHAnsi"/>
                <w:noProof/>
                <w:szCs w:val="20"/>
              </w:rPr>
              <w:t>3</w:t>
            </w:r>
          </w:p>
        </w:tc>
        <w:tc>
          <w:tcPr>
            <w:tcW w:w="4677" w:type="dxa"/>
          </w:tcPr>
          <w:p w14:paraId="1D5DEC69" w14:textId="14CA85D8" w:rsidR="00EF020A" w:rsidRDefault="008C4C03" w:rsidP="00EF020A">
            <w:pPr>
              <w:jc w:val="both"/>
              <w:rPr>
                <w:noProof/>
              </w:rPr>
            </w:pPr>
            <w:r w:rsidRPr="18FF052C">
              <w:rPr>
                <w:noProof/>
              </w:rPr>
              <w:t xml:space="preserve">PO6a would </w:t>
            </w:r>
            <w:r w:rsidR="006349FF" w:rsidRPr="18FF052C">
              <w:rPr>
                <w:noProof/>
              </w:rPr>
              <w:t xml:space="preserve">already </w:t>
            </w:r>
            <w:r w:rsidR="00CF4057" w:rsidRPr="18FF052C">
              <w:rPr>
                <w:noProof/>
              </w:rPr>
              <w:t xml:space="preserve">have a significant </w:t>
            </w:r>
            <w:r w:rsidR="006349FF" w:rsidRPr="18FF052C">
              <w:rPr>
                <w:noProof/>
              </w:rPr>
              <w:t>effect</w:t>
            </w:r>
            <w:r w:rsidR="00CF4057" w:rsidRPr="18FF052C">
              <w:rPr>
                <w:noProof/>
              </w:rPr>
              <w:t xml:space="preserve"> on providing an enabling framework</w:t>
            </w:r>
            <w:r w:rsidR="006349FF" w:rsidRPr="18FF052C">
              <w:rPr>
                <w:noProof/>
              </w:rPr>
              <w:t xml:space="preserve"> </w:t>
            </w:r>
            <w:r w:rsidR="008439B9" w:rsidRPr="18FF052C">
              <w:rPr>
                <w:noProof/>
              </w:rPr>
              <w:t xml:space="preserve">to invest </w:t>
            </w:r>
            <w:r w:rsidR="005315C3" w:rsidRPr="18FF052C">
              <w:rPr>
                <w:noProof/>
              </w:rPr>
              <w:t>in 28</w:t>
            </w:r>
            <w:r w:rsidR="005315C3" w:rsidRPr="18FF052C">
              <w:rPr>
                <w:noProof/>
                <w:vertAlign w:val="superscript"/>
              </w:rPr>
              <w:t>th</w:t>
            </w:r>
            <w:r w:rsidR="005315C3" w:rsidRPr="18FF052C">
              <w:rPr>
                <w:noProof/>
              </w:rPr>
              <w:t xml:space="preserve"> regime companies </w:t>
            </w:r>
            <w:r w:rsidR="00D5340F" w:rsidRPr="18FF052C">
              <w:rPr>
                <w:noProof/>
              </w:rPr>
              <w:t xml:space="preserve">as it addresses a number of </w:t>
            </w:r>
            <w:r w:rsidR="0063553A" w:rsidRPr="18FF052C">
              <w:rPr>
                <w:noProof/>
              </w:rPr>
              <w:t>measures relevant</w:t>
            </w:r>
            <w:r w:rsidR="005315C3" w:rsidRPr="18FF052C">
              <w:rPr>
                <w:noProof/>
              </w:rPr>
              <w:t xml:space="preserve"> </w:t>
            </w:r>
            <w:r w:rsidR="003D39A7" w:rsidRPr="18FF052C">
              <w:rPr>
                <w:noProof/>
              </w:rPr>
              <w:t xml:space="preserve">for attracting investment, including </w:t>
            </w:r>
            <w:r w:rsidR="002D2FE7">
              <w:rPr>
                <w:noProof/>
              </w:rPr>
              <w:t>simple</w:t>
            </w:r>
            <w:r w:rsidR="003D4262" w:rsidRPr="18FF052C">
              <w:rPr>
                <w:noProof/>
              </w:rPr>
              <w:t xml:space="preserve"> and digital </w:t>
            </w:r>
            <w:r w:rsidR="002D2FE7">
              <w:rPr>
                <w:noProof/>
              </w:rPr>
              <w:t xml:space="preserve">procedures for increasing </w:t>
            </w:r>
            <w:r w:rsidR="003D4262" w:rsidRPr="18FF052C">
              <w:rPr>
                <w:noProof/>
              </w:rPr>
              <w:t xml:space="preserve">capital </w:t>
            </w:r>
            <w:r w:rsidR="002D2FE7">
              <w:rPr>
                <w:noProof/>
              </w:rPr>
              <w:t>and issuing shares</w:t>
            </w:r>
            <w:r w:rsidR="00231016">
              <w:rPr>
                <w:noProof/>
              </w:rPr>
              <w:t xml:space="preserve">, </w:t>
            </w:r>
            <w:r w:rsidR="00C47303">
              <w:rPr>
                <w:noProof/>
              </w:rPr>
              <w:t xml:space="preserve">simpler </w:t>
            </w:r>
            <w:r w:rsidR="00155807">
              <w:rPr>
                <w:noProof/>
              </w:rPr>
              <w:t>procedure</w:t>
            </w:r>
            <w:r>
              <w:rPr>
                <w:noProof/>
              </w:rPr>
              <w:t>s</w:t>
            </w:r>
            <w:r w:rsidR="00155807">
              <w:rPr>
                <w:noProof/>
              </w:rPr>
              <w:t xml:space="preserve"> to issue</w:t>
            </w:r>
            <w:r w:rsidR="00C47303">
              <w:rPr>
                <w:noProof/>
              </w:rPr>
              <w:t xml:space="preserve"> </w:t>
            </w:r>
            <w:r w:rsidR="00155807">
              <w:rPr>
                <w:noProof/>
              </w:rPr>
              <w:t>th</w:t>
            </w:r>
            <w:r>
              <w:rPr>
                <w:noProof/>
              </w:rPr>
              <w:t>e</w:t>
            </w:r>
            <w:r w:rsidR="00C47303">
              <w:rPr>
                <w:noProof/>
              </w:rPr>
              <w:t xml:space="preserve"> TIN for foreign investors</w:t>
            </w:r>
            <w:r w:rsidR="00EF0BB1">
              <w:rPr>
                <w:noProof/>
              </w:rPr>
              <w:t xml:space="preserve">, </w:t>
            </w:r>
            <w:r w:rsidR="009130E8" w:rsidRPr="18FF052C">
              <w:rPr>
                <w:noProof/>
              </w:rPr>
              <w:t xml:space="preserve">thereby eliminating bureaucratic friction points that commonly stall growth </w:t>
            </w:r>
            <w:r w:rsidR="00C47303">
              <w:rPr>
                <w:noProof/>
              </w:rPr>
              <w:t xml:space="preserve">and </w:t>
            </w:r>
            <w:r w:rsidR="009130E8" w:rsidRPr="18FF052C">
              <w:rPr>
                <w:noProof/>
              </w:rPr>
              <w:t>delay crucial financing rounds</w:t>
            </w:r>
            <w:r w:rsidR="00C47303">
              <w:rPr>
                <w:noProof/>
              </w:rPr>
              <w:t>.</w:t>
            </w:r>
            <w:r w:rsidR="00EF020A">
              <w:rPr>
                <w:noProof/>
              </w:rPr>
              <w:t xml:space="preserve"> </w:t>
            </w:r>
            <w:r w:rsidR="00EF020A" w:rsidRPr="18FF052C">
              <w:rPr>
                <w:noProof/>
              </w:rPr>
              <w:t xml:space="preserve">80% </w:t>
            </w:r>
            <w:r w:rsidR="00476662" w:rsidRPr="18FF052C">
              <w:rPr>
                <w:noProof/>
              </w:rPr>
              <w:t>of the</w:t>
            </w:r>
            <w:r w:rsidR="00EF020A" w:rsidRPr="18FF052C">
              <w:rPr>
                <w:noProof/>
              </w:rPr>
              <w:t xml:space="preserve"> respondents </w:t>
            </w:r>
            <w:r w:rsidR="00272C91" w:rsidRPr="18FF052C">
              <w:rPr>
                <w:noProof/>
              </w:rPr>
              <w:t xml:space="preserve">to the </w:t>
            </w:r>
            <w:r w:rsidR="00476662" w:rsidRPr="18FF052C">
              <w:rPr>
                <w:noProof/>
              </w:rPr>
              <w:t>open public</w:t>
            </w:r>
            <w:r w:rsidR="00272C91" w:rsidRPr="18FF052C">
              <w:rPr>
                <w:noProof/>
              </w:rPr>
              <w:t xml:space="preserve"> consultation confirmed</w:t>
            </w:r>
            <w:r w:rsidR="00EF020A" w:rsidRPr="18FF052C">
              <w:rPr>
                <w:noProof/>
              </w:rPr>
              <w:t xml:space="preserve"> that enabling </w:t>
            </w:r>
            <w:r w:rsidR="00272C91" w:rsidRPr="18FF052C">
              <w:rPr>
                <w:noProof/>
              </w:rPr>
              <w:t>fully online</w:t>
            </w:r>
            <w:r w:rsidR="00EF020A" w:rsidRPr="18FF052C">
              <w:rPr>
                <w:noProof/>
              </w:rPr>
              <w:t xml:space="preserve"> capital increases of 28th regime companies, including online participation in general meetings and voting</w:t>
            </w:r>
            <w:r w:rsidR="00D00590" w:rsidRPr="18FF052C">
              <w:rPr>
                <w:noProof/>
              </w:rPr>
              <w:t>,</w:t>
            </w:r>
            <w:r w:rsidR="00EF020A" w:rsidRPr="18FF052C">
              <w:rPr>
                <w:noProof/>
              </w:rPr>
              <w:t xml:space="preserve"> would help reduce barriers to </w:t>
            </w:r>
            <w:r w:rsidR="00371DCD" w:rsidRPr="18FF052C">
              <w:rPr>
                <w:noProof/>
              </w:rPr>
              <w:t xml:space="preserve">capital increases and other investments </w:t>
            </w:r>
            <w:r w:rsidR="00EF020A" w:rsidRPr="18FF052C">
              <w:rPr>
                <w:noProof/>
              </w:rPr>
              <w:t>to a large or very large extent.</w:t>
            </w:r>
            <w:r w:rsidR="00A81CCB" w:rsidRPr="18FF052C">
              <w:rPr>
                <w:noProof/>
              </w:rPr>
              <w:t xml:space="preserve"> </w:t>
            </w:r>
            <w:r w:rsidR="00146C11" w:rsidRPr="18FF052C">
              <w:rPr>
                <w:noProof/>
              </w:rPr>
              <w:t>This option would also, by</w:t>
            </w:r>
            <w:r w:rsidR="00A81CCB" w:rsidRPr="18FF052C">
              <w:rPr>
                <w:noProof/>
              </w:rPr>
              <w:t xml:space="preserve"> </w:t>
            </w:r>
            <w:r w:rsidR="00146C11" w:rsidRPr="18FF052C">
              <w:rPr>
                <w:noProof/>
              </w:rPr>
              <w:t>e</w:t>
            </w:r>
            <w:r w:rsidR="00A81CCB">
              <w:rPr>
                <w:noProof/>
              </w:rPr>
              <w:t xml:space="preserve">nabling modern early-stage financing instruments like </w:t>
            </w:r>
            <w:r w:rsidR="00A81CCB" w:rsidRPr="00F76972">
              <w:rPr>
                <w:noProof/>
              </w:rPr>
              <w:t>SAFEs</w:t>
            </w:r>
            <w:r w:rsidR="00A81CCB">
              <w:rPr>
                <w:noProof/>
              </w:rPr>
              <w:t>, provide entrepreneurs with the flexible, globally recognised tools necessary to attract capital</w:t>
            </w:r>
            <w:r w:rsidR="005C0322">
              <w:rPr>
                <w:noProof/>
              </w:rPr>
              <w:t>;</w:t>
            </w:r>
            <w:r w:rsidR="00711DA8">
              <w:rPr>
                <w:noProof/>
              </w:rPr>
              <w:t xml:space="preserve"> the </w:t>
            </w:r>
            <w:r w:rsidR="005C0322">
              <w:rPr>
                <w:noProof/>
              </w:rPr>
              <w:t>possibility</w:t>
            </w:r>
            <w:r w:rsidR="0091781F">
              <w:rPr>
                <w:noProof/>
              </w:rPr>
              <w:t xml:space="preserve"> for </w:t>
            </w:r>
            <w:r w:rsidR="0091781F" w:rsidRPr="0091781F">
              <w:rPr>
                <w:noProof/>
              </w:rPr>
              <w:t xml:space="preserve">directors of 28th regime companies to negotiate and implement </w:t>
            </w:r>
            <w:r w:rsidR="000125FF">
              <w:rPr>
                <w:noProof/>
              </w:rPr>
              <w:t>such</w:t>
            </w:r>
            <w:r w:rsidR="0091781F" w:rsidRPr="0091781F">
              <w:rPr>
                <w:noProof/>
              </w:rPr>
              <w:t xml:space="preserve"> agreements</w:t>
            </w:r>
            <w:r w:rsidR="000125FF">
              <w:rPr>
                <w:noProof/>
              </w:rPr>
              <w:t xml:space="preserve"> </w:t>
            </w:r>
            <w:r w:rsidR="00665523">
              <w:rPr>
                <w:noProof/>
              </w:rPr>
              <w:t>was strongly supported by respondents to the consultation</w:t>
            </w:r>
            <w:r w:rsidR="009E3E56">
              <w:rPr>
                <w:noProof/>
              </w:rPr>
              <w:t xml:space="preserve"> (by 65%)</w:t>
            </w:r>
            <w:r w:rsidR="00A81CCB">
              <w:rPr>
                <w:noProof/>
              </w:rPr>
              <w:t xml:space="preserve">. </w:t>
            </w:r>
          </w:p>
          <w:p w14:paraId="0F500A71" w14:textId="19FAC55C" w:rsidR="000F07E3" w:rsidRPr="005C4BC3" w:rsidRDefault="00191D35" w:rsidP="00834AFA">
            <w:pPr>
              <w:jc w:val="both"/>
              <w:rPr>
                <w:rFonts w:cstheme="minorHAnsi"/>
                <w:noProof/>
                <w:szCs w:val="20"/>
              </w:rPr>
            </w:pPr>
            <w:r>
              <w:rPr>
                <w:rFonts w:cstheme="minorHAnsi"/>
                <w:noProof/>
                <w:szCs w:val="20"/>
              </w:rPr>
              <w:t>PO6b would be more effective than PO6a and most effective overall as</w:t>
            </w:r>
            <w:r>
              <w:rPr>
                <w:noProof/>
              </w:rPr>
              <w:t xml:space="preserve"> it would also address the capital regime of 28</w:t>
            </w:r>
            <w:r w:rsidRPr="00011734">
              <w:rPr>
                <w:noProof/>
                <w:vertAlign w:val="superscript"/>
              </w:rPr>
              <w:t>th</w:t>
            </w:r>
            <w:r>
              <w:rPr>
                <w:noProof/>
              </w:rPr>
              <w:t xml:space="preserve"> regime companies through the </w:t>
            </w:r>
            <w:r w:rsidRPr="00F76972">
              <w:rPr>
                <w:noProof/>
              </w:rPr>
              <w:t>abolition of a minimum paid-in share capital</w:t>
            </w:r>
            <w:r>
              <w:rPr>
                <w:noProof/>
              </w:rPr>
              <w:t xml:space="preserve"> before incorporation, while harmonised creditor safeguards would ensure a robust balance. In particular, </w:t>
            </w:r>
            <w:r>
              <w:rPr>
                <w:rFonts w:eastAsia="Calibri"/>
                <w:noProof/>
              </w:rPr>
              <w:t>the requirement for directors to carry out a balance sheet test and solvency test before approving distributions to shareholders would ensure that distributions are only carried out where the company remains viable and able to satisfy creditor claims. Rules on directors’ liability would ensure that these tests are actually carried out before each distribution, while a limitation of directors’ liability to cases where the tests have not been performed or not been performed with sufficient care would avoid disincentivising directors from approving distributions in cases where the viability of the company is not at risk.</w:t>
            </w:r>
            <w:r>
              <w:rPr>
                <w:noProof/>
              </w:rPr>
              <w:t xml:space="preserve"> While PO6c would also address the capital regime, it would </w:t>
            </w:r>
            <w:r>
              <w:rPr>
                <w:rFonts w:cstheme="minorHAnsi"/>
                <w:noProof/>
                <w:szCs w:val="20"/>
              </w:rPr>
              <w:t>provide a</w:t>
            </w:r>
            <w:r w:rsidRPr="0068705E">
              <w:rPr>
                <w:rFonts w:cstheme="minorHAnsi"/>
                <w:noProof/>
                <w:szCs w:val="20"/>
              </w:rPr>
              <w:t xml:space="preserve"> minimum paid-in share capital </w:t>
            </w:r>
            <w:r>
              <w:rPr>
                <w:rFonts w:cstheme="minorHAnsi"/>
                <w:noProof/>
                <w:szCs w:val="20"/>
              </w:rPr>
              <w:t xml:space="preserve">of EUR 5 000, that </w:t>
            </w:r>
            <w:r w:rsidRPr="0068705E">
              <w:rPr>
                <w:rFonts w:cstheme="minorHAnsi"/>
                <w:noProof/>
                <w:szCs w:val="20"/>
              </w:rPr>
              <w:t xml:space="preserve">would hinder investment by </w:t>
            </w:r>
            <w:r w:rsidRPr="00BA7BA6">
              <w:rPr>
                <w:rFonts w:cstheme="minorHAnsi"/>
                <w:noProof/>
                <w:szCs w:val="20"/>
              </w:rPr>
              <w:t>locking up valuable seed capital.</w:t>
            </w:r>
          </w:p>
        </w:tc>
      </w:tr>
    </w:tbl>
    <w:p w14:paraId="6EDCF8B2" w14:textId="77777777" w:rsidR="000F07E3" w:rsidRDefault="000F07E3" w:rsidP="000F07E3">
      <w:pPr>
        <w:spacing w:after="240"/>
        <w:jc w:val="both"/>
        <w:rPr>
          <w:rFonts w:eastAsia="Calibri" w:cs="Times New Roman"/>
          <w:noProof/>
          <w:szCs w:val="20"/>
        </w:rPr>
      </w:pPr>
    </w:p>
    <w:p w14:paraId="0C60C708" w14:textId="0B0CDB9C" w:rsidR="000F07E3" w:rsidRPr="00D80F11" w:rsidRDefault="000F07E3" w:rsidP="000F07E3">
      <w:pPr>
        <w:pStyle w:val="Caption"/>
        <w:spacing w:after="0"/>
        <w:rPr>
          <w:b/>
          <w:noProof/>
          <w:sz w:val="24"/>
          <w:szCs w:val="24"/>
        </w:rPr>
      </w:pPr>
      <w:r w:rsidRPr="00D80F11">
        <w:rPr>
          <w:noProof/>
          <w:sz w:val="24"/>
          <w:szCs w:val="24"/>
        </w:rPr>
        <w:t xml:space="preserve">Table </w:t>
      </w:r>
      <w:r w:rsidRPr="00D80F11">
        <w:rPr>
          <w:b/>
          <w:noProof/>
          <w:sz w:val="24"/>
          <w:szCs w:val="24"/>
        </w:rPr>
        <w:fldChar w:fldCharType="begin"/>
      </w:r>
      <w:r w:rsidRPr="00D80F11">
        <w:rPr>
          <w:noProof/>
          <w:sz w:val="24"/>
          <w:szCs w:val="24"/>
        </w:rPr>
        <w:instrText xml:space="preserve"> SEQ Table \* ARABIC </w:instrText>
      </w:r>
      <w:r w:rsidRPr="00D80F11">
        <w:rPr>
          <w:b/>
          <w:noProof/>
          <w:sz w:val="24"/>
          <w:szCs w:val="24"/>
        </w:rPr>
        <w:fldChar w:fldCharType="separate"/>
      </w:r>
      <w:r w:rsidR="00B312D6">
        <w:rPr>
          <w:noProof/>
          <w:sz w:val="24"/>
          <w:szCs w:val="24"/>
        </w:rPr>
        <w:t>7</w:t>
      </w:r>
      <w:r w:rsidRPr="00D80F11">
        <w:rPr>
          <w:b/>
          <w:noProof/>
          <w:sz w:val="24"/>
          <w:szCs w:val="24"/>
        </w:rPr>
        <w:fldChar w:fldCharType="end"/>
      </w:r>
      <w:r w:rsidRPr="00D80F11">
        <w:rPr>
          <w:noProof/>
          <w:sz w:val="24"/>
          <w:szCs w:val="24"/>
        </w:rPr>
        <w:t xml:space="preserve">: Effectiveness of policy options </w:t>
      </w:r>
      <w:r w:rsidRPr="000F07E3">
        <w:rPr>
          <w:noProof/>
          <w:sz w:val="24"/>
          <w:szCs w:val="24"/>
        </w:rPr>
        <w:t>7 to facilitate exit options</w:t>
      </w:r>
      <w:r w:rsidR="00943421">
        <w:rPr>
          <w:noProof/>
          <w:sz w:val="24"/>
          <w:szCs w:val="24"/>
        </w:rPr>
        <w:t xml:space="preserve"> </w:t>
      </w:r>
    </w:p>
    <w:p w14:paraId="77C034FA" w14:textId="2EF4C2A0" w:rsidR="000F07E3" w:rsidRDefault="000F07E3" w:rsidP="00C4288E">
      <w:pPr>
        <w:pStyle w:val="ListParagraph"/>
        <w:numPr>
          <w:ilvl w:val="0"/>
          <w:numId w:val="15"/>
        </w:numPr>
        <w:tabs>
          <w:tab w:val="left" w:pos="170"/>
        </w:tabs>
        <w:jc w:val="both"/>
        <w:rPr>
          <w:noProof/>
        </w:rPr>
      </w:pPr>
      <w:r>
        <w:rPr>
          <w:noProof/>
        </w:rPr>
        <w:t xml:space="preserve">Policy option 7a </w:t>
      </w:r>
      <w:r w:rsidR="00A466FC">
        <w:rPr>
          <w:noProof/>
        </w:rPr>
        <w:t>–</w:t>
      </w:r>
      <w:r>
        <w:rPr>
          <w:noProof/>
        </w:rPr>
        <w:t xml:space="preserve"> </w:t>
      </w:r>
      <w:r w:rsidR="00A466FC">
        <w:rPr>
          <w:noProof/>
        </w:rPr>
        <w:t xml:space="preserve">Ensure that </w:t>
      </w:r>
      <w:r w:rsidRPr="000F07E3">
        <w:rPr>
          <w:noProof/>
        </w:rPr>
        <w:t>transfers of shares of 28</w:t>
      </w:r>
      <w:r w:rsidRPr="0009552E">
        <w:rPr>
          <w:noProof/>
          <w:vertAlign w:val="superscript"/>
        </w:rPr>
        <w:t>th</w:t>
      </w:r>
      <w:r w:rsidRPr="000F07E3">
        <w:rPr>
          <w:noProof/>
        </w:rPr>
        <w:t xml:space="preserve"> regime companies </w:t>
      </w:r>
      <w:r w:rsidR="00A466FC">
        <w:rPr>
          <w:noProof/>
        </w:rPr>
        <w:t>can</w:t>
      </w:r>
      <w:r w:rsidRPr="000F07E3">
        <w:rPr>
          <w:noProof/>
        </w:rPr>
        <w:t xml:space="preserve"> be carried out fully digitally</w:t>
      </w:r>
      <w:r w:rsidRPr="004C599B">
        <w:rPr>
          <w:noProof/>
        </w:rPr>
        <w:t>.</w:t>
      </w:r>
    </w:p>
    <w:p w14:paraId="23BD5392" w14:textId="37DDA605" w:rsidR="000F07E3" w:rsidRDefault="000F07E3" w:rsidP="00C4288E">
      <w:pPr>
        <w:pStyle w:val="ListParagraph"/>
        <w:numPr>
          <w:ilvl w:val="0"/>
          <w:numId w:val="15"/>
        </w:numPr>
        <w:tabs>
          <w:tab w:val="left" w:pos="170"/>
        </w:tabs>
        <w:jc w:val="both"/>
        <w:rPr>
          <w:noProof/>
        </w:rPr>
      </w:pPr>
      <w:r>
        <w:rPr>
          <w:noProof/>
        </w:rPr>
        <w:t xml:space="preserve">Policy option 7b - </w:t>
      </w:r>
      <w:r w:rsidRPr="00926445">
        <w:rPr>
          <w:noProof/>
        </w:rPr>
        <w:t xml:space="preserve">Option </w:t>
      </w:r>
      <w:r>
        <w:rPr>
          <w:noProof/>
        </w:rPr>
        <w:t>7</w:t>
      </w:r>
      <w:r w:rsidRPr="00926445">
        <w:rPr>
          <w:noProof/>
        </w:rPr>
        <w:t xml:space="preserve">a + </w:t>
      </w:r>
      <w:r w:rsidRPr="000F07E3">
        <w:rPr>
          <w:noProof/>
        </w:rPr>
        <w:t>no requirement to involve intermediaries in share transfers of 28</w:t>
      </w:r>
      <w:r w:rsidRPr="0009552E">
        <w:rPr>
          <w:noProof/>
          <w:vertAlign w:val="superscript"/>
        </w:rPr>
        <w:t>th</w:t>
      </w:r>
      <w:r w:rsidRPr="000F07E3">
        <w:rPr>
          <w:noProof/>
        </w:rPr>
        <w:t xml:space="preserve"> regime companies</w:t>
      </w:r>
      <w:r w:rsidRPr="004C599B">
        <w:rPr>
          <w:noProof/>
        </w:rPr>
        <w:t>.</w:t>
      </w:r>
    </w:p>
    <w:p w14:paraId="313BC3C2" w14:textId="7EDB518F" w:rsidR="000F07E3" w:rsidRDefault="000F07E3" w:rsidP="00C4288E">
      <w:pPr>
        <w:pStyle w:val="ListParagraph"/>
        <w:numPr>
          <w:ilvl w:val="0"/>
          <w:numId w:val="15"/>
        </w:numPr>
        <w:tabs>
          <w:tab w:val="left" w:pos="170"/>
        </w:tabs>
        <w:spacing w:before="0"/>
        <w:ind w:left="714" w:hanging="357"/>
        <w:jc w:val="both"/>
        <w:rPr>
          <w:noProof/>
        </w:rPr>
      </w:pPr>
      <w:r>
        <w:rPr>
          <w:noProof/>
        </w:rPr>
        <w:t>Policy option 7c - O</w:t>
      </w:r>
      <w:r w:rsidRPr="004C599B">
        <w:rPr>
          <w:noProof/>
        </w:rPr>
        <w:t xml:space="preserve">ption </w:t>
      </w:r>
      <w:r>
        <w:rPr>
          <w:noProof/>
        </w:rPr>
        <w:t>7</w:t>
      </w:r>
      <w:r w:rsidRPr="004C599B">
        <w:rPr>
          <w:noProof/>
        </w:rPr>
        <w:t xml:space="preserve">b </w:t>
      </w:r>
      <w:r>
        <w:rPr>
          <w:noProof/>
        </w:rPr>
        <w:t>+</w:t>
      </w:r>
      <w:r w:rsidRPr="004C599B">
        <w:rPr>
          <w:noProof/>
        </w:rPr>
        <w:t xml:space="preserve"> </w:t>
      </w:r>
      <w:r w:rsidRPr="000F07E3">
        <w:rPr>
          <w:noProof/>
        </w:rPr>
        <w:t>possibility for Member States to grant access to public equity markets</w:t>
      </w:r>
      <w:r w:rsidR="00FC1FAC">
        <w:rPr>
          <w:noProof/>
        </w:rPr>
        <w:t xml:space="preserve"> to </w:t>
      </w:r>
      <w:r w:rsidR="00FC1FAC" w:rsidRPr="000F07E3">
        <w:rPr>
          <w:noProof/>
        </w:rPr>
        <w:t>28</w:t>
      </w:r>
      <w:r w:rsidR="00FC1FAC" w:rsidRPr="0009552E">
        <w:rPr>
          <w:noProof/>
          <w:vertAlign w:val="superscript"/>
        </w:rPr>
        <w:t>th</w:t>
      </w:r>
      <w:r w:rsidR="00FC1FAC" w:rsidRPr="000F07E3">
        <w:rPr>
          <w:noProof/>
        </w:rPr>
        <w:t xml:space="preserve"> regime companies</w:t>
      </w:r>
      <w:r w:rsidR="00983B20">
        <w:rPr>
          <w:noProof/>
        </w:rPr>
        <w:t>.</w:t>
      </w:r>
    </w:p>
    <w:p w14:paraId="3BF9B2E5" w14:textId="349A3391" w:rsidR="0032124A" w:rsidRDefault="005420D1" w:rsidP="00EC7F60">
      <w:pPr>
        <w:tabs>
          <w:tab w:val="left" w:pos="170"/>
        </w:tabs>
        <w:jc w:val="both"/>
        <w:rPr>
          <w:noProof/>
          <w:szCs w:val="20"/>
          <w:lang w:val="en-IE"/>
        </w:rPr>
      </w:pPr>
      <w:r w:rsidRPr="00EC7F60">
        <w:rPr>
          <w:noProof/>
          <w:szCs w:val="20"/>
          <w:lang w:val="en-IE"/>
        </w:rPr>
        <w:t>These policy options would address the following driver</w:t>
      </w:r>
      <w:r w:rsidR="000127D4">
        <w:rPr>
          <w:noProof/>
          <w:szCs w:val="20"/>
          <w:lang w:val="en-IE"/>
        </w:rPr>
        <w:t>s</w:t>
      </w:r>
      <w:r w:rsidRPr="00EC7F60">
        <w:rPr>
          <w:noProof/>
          <w:szCs w:val="20"/>
          <w:lang w:val="en-IE"/>
        </w:rPr>
        <w:t xml:space="preserve">: </w:t>
      </w:r>
    </w:p>
    <w:p w14:paraId="6F4345F1" w14:textId="739D217A" w:rsidR="00653D87" w:rsidRDefault="00653D87" w:rsidP="00C4288E">
      <w:pPr>
        <w:pStyle w:val="ListParagraph"/>
        <w:numPr>
          <w:ilvl w:val="0"/>
          <w:numId w:val="19"/>
        </w:numPr>
        <w:tabs>
          <w:tab w:val="left" w:pos="170"/>
        </w:tabs>
        <w:jc w:val="both"/>
        <w:rPr>
          <w:noProof/>
          <w:lang w:val="en-IE"/>
        </w:rPr>
      </w:pPr>
      <w:r w:rsidRPr="00A623E7">
        <w:rPr>
          <w:noProof/>
        </w:rPr>
        <w:t>Different national company legal forms and lack of an EU brand for startups</w:t>
      </w:r>
      <w:r>
        <w:rPr>
          <w:noProof/>
        </w:rPr>
        <w:t>, and</w:t>
      </w:r>
    </w:p>
    <w:p w14:paraId="0477F444" w14:textId="79BF179A" w:rsidR="00675982" w:rsidRDefault="00675982" w:rsidP="00675982">
      <w:pPr>
        <w:pStyle w:val="ListParagraph"/>
        <w:numPr>
          <w:ilvl w:val="0"/>
          <w:numId w:val="19"/>
        </w:numPr>
        <w:rPr>
          <w:noProof/>
        </w:rPr>
      </w:pPr>
      <w:r>
        <w:rPr>
          <w:noProof/>
        </w:rPr>
        <w:t>c</w:t>
      </w:r>
      <w:r w:rsidRPr="00A623E7">
        <w:rPr>
          <w:noProof/>
        </w:rPr>
        <w:t>omplex, uncertain or costly investor exit environment</w:t>
      </w:r>
      <w:r>
        <w:rPr>
          <w:noProof/>
        </w:rPr>
        <w:t>.</w:t>
      </w:r>
    </w:p>
    <w:p w14:paraId="5CD1BA66" w14:textId="77777777" w:rsidR="000F07E3" w:rsidRDefault="000F07E3" w:rsidP="000F07E3">
      <w:pPr>
        <w:pStyle w:val="ListParagraph"/>
        <w:tabs>
          <w:tab w:val="left" w:pos="170"/>
        </w:tabs>
        <w:spacing w:before="0" w:after="0"/>
        <w:jc w:val="both"/>
        <w:rPr>
          <w:noProof/>
        </w:rPr>
      </w:pPr>
    </w:p>
    <w:tbl>
      <w:tblPr>
        <w:tblStyle w:val="TableGrid"/>
        <w:tblW w:w="9781" w:type="dxa"/>
        <w:tblInd w:w="-147" w:type="dxa"/>
        <w:tblLayout w:type="fixed"/>
        <w:tblLook w:val="04A0" w:firstRow="1" w:lastRow="0" w:firstColumn="1" w:lastColumn="0" w:noHBand="0" w:noVBand="1"/>
      </w:tblPr>
      <w:tblGrid>
        <w:gridCol w:w="2528"/>
        <w:gridCol w:w="860"/>
        <w:gridCol w:w="856"/>
        <w:gridCol w:w="860"/>
        <w:gridCol w:w="4677"/>
      </w:tblGrid>
      <w:tr w:rsidR="00B12AD9" w14:paraId="0009392F" w14:textId="77777777" w:rsidTr="00597D21">
        <w:trPr>
          <w:trHeight w:val="299"/>
        </w:trPr>
        <w:tc>
          <w:tcPr>
            <w:tcW w:w="2528" w:type="dxa"/>
            <w:shd w:val="clear" w:color="auto" w:fill="B8CCE4" w:themeFill="accent1" w:themeFillTint="66"/>
          </w:tcPr>
          <w:p w14:paraId="74E8BB7C" w14:textId="77777777" w:rsidR="000F07E3" w:rsidRPr="005C4BC3" w:rsidRDefault="000F07E3">
            <w:pPr>
              <w:rPr>
                <w:noProof/>
              </w:rPr>
            </w:pPr>
          </w:p>
        </w:tc>
        <w:tc>
          <w:tcPr>
            <w:tcW w:w="860" w:type="dxa"/>
            <w:shd w:val="clear" w:color="auto" w:fill="B8CCE4" w:themeFill="accent1" w:themeFillTint="66"/>
          </w:tcPr>
          <w:p w14:paraId="1F6D7B7C" w14:textId="2576CCC7" w:rsidR="000F07E3" w:rsidRPr="005C4BC3" w:rsidRDefault="000F07E3">
            <w:pPr>
              <w:jc w:val="center"/>
              <w:rPr>
                <w:noProof/>
              </w:rPr>
            </w:pPr>
            <w:r w:rsidRPr="005C4BC3">
              <w:rPr>
                <w:noProof/>
              </w:rPr>
              <w:t>PO</w:t>
            </w:r>
            <w:r>
              <w:rPr>
                <w:noProof/>
              </w:rPr>
              <w:t>7</w:t>
            </w:r>
            <w:r w:rsidRPr="005C4BC3">
              <w:rPr>
                <w:noProof/>
              </w:rPr>
              <w:t>a</w:t>
            </w:r>
          </w:p>
        </w:tc>
        <w:tc>
          <w:tcPr>
            <w:tcW w:w="856" w:type="dxa"/>
            <w:shd w:val="clear" w:color="auto" w:fill="B8CCE4" w:themeFill="accent1" w:themeFillTint="66"/>
          </w:tcPr>
          <w:p w14:paraId="46270C34" w14:textId="1F89EE38" w:rsidR="000F07E3" w:rsidRPr="005C4BC3" w:rsidRDefault="000F07E3">
            <w:pPr>
              <w:jc w:val="center"/>
              <w:rPr>
                <w:noProof/>
              </w:rPr>
            </w:pPr>
            <w:r w:rsidRPr="005C4BC3">
              <w:rPr>
                <w:noProof/>
              </w:rPr>
              <w:t>PO</w:t>
            </w:r>
            <w:r>
              <w:rPr>
                <w:noProof/>
              </w:rPr>
              <w:t>7</w:t>
            </w:r>
            <w:r w:rsidRPr="005C4BC3">
              <w:rPr>
                <w:noProof/>
              </w:rPr>
              <w:t>b</w:t>
            </w:r>
          </w:p>
        </w:tc>
        <w:tc>
          <w:tcPr>
            <w:tcW w:w="860" w:type="dxa"/>
            <w:shd w:val="clear" w:color="auto" w:fill="B8CCE4" w:themeFill="accent1" w:themeFillTint="66"/>
          </w:tcPr>
          <w:p w14:paraId="630BFDA8" w14:textId="3F976810" w:rsidR="000F07E3" w:rsidRPr="005C4BC3" w:rsidRDefault="000F07E3">
            <w:pPr>
              <w:jc w:val="center"/>
              <w:rPr>
                <w:noProof/>
              </w:rPr>
            </w:pPr>
            <w:r w:rsidRPr="005C4BC3">
              <w:rPr>
                <w:noProof/>
              </w:rPr>
              <w:t>PO</w:t>
            </w:r>
            <w:r>
              <w:rPr>
                <w:noProof/>
              </w:rPr>
              <w:t>7</w:t>
            </w:r>
            <w:r w:rsidRPr="005C4BC3">
              <w:rPr>
                <w:noProof/>
              </w:rPr>
              <w:t>c</w:t>
            </w:r>
          </w:p>
        </w:tc>
        <w:tc>
          <w:tcPr>
            <w:tcW w:w="4677" w:type="dxa"/>
            <w:shd w:val="clear" w:color="auto" w:fill="B8CCE4" w:themeFill="accent1" w:themeFillTint="66"/>
          </w:tcPr>
          <w:p w14:paraId="5E0EFCE8" w14:textId="014C62E5" w:rsidR="000F07E3" w:rsidRPr="005C4BC3" w:rsidRDefault="000F07E3">
            <w:pPr>
              <w:rPr>
                <w:noProof/>
              </w:rPr>
            </w:pPr>
            <w:r w:rsidRPr="005C4BC3">
              <w:rPr>
                <w:noProof/>
              </w:rPr>
              <w:t>Motivation</w:t>
            </w:r>
          </w:p>
        </w:tc>
      </w:tr>
      <w:tr w:rsidR="000F07E3" w:rsidRPr="00423F8E" w14:paraId="3730D9A1" w14:textId="77777777" w:rsidTr="00597D21">
        <w:trPr>
          <w:trHeight w:val="539"/>
        </w:trPr>
        <w:tc>
          <w:tcPr>
            <w:tcW w:w="2528" w:type="dxa"/>
          </w:tcPr>
          <w:p w14:paraId="7CE37EF0" w14:textId="772ABA8A" w:rsidR="000F07E3" w:rsidRPr="005C4BC3" w:rsidRDefault="000F07E3">
            <w:pPr>
              <w:rPr>
                <w:noProof/>
              </w:rPr>
            </w:pPr>
            <w:r w:rsidRPr="05315A28">
              <w:rPr>
                <w:b/>
                <w:noProof/>
              </w:rPr>
              <w:t>Specific objective 1:</w:t>
            </w:r>
            <w:r w:rsidRPr="05315A28">
              <w:rPr>
                <w:noProof/>
              </w:rPr>
              <w:t xml:space="preserve">  </w:t>
            </w:r>
            <w:r w:rsidR="00330BC1" w:rsidRPr="05315A28">
              <w:rPr>
                <w:noProof/>
              </w:rPr>
              <w:t xml:space="preserve">Provide </w:t>
            </w:r>
            <w:r w:rsidRPr="05315A28">
              <w:rPr>
                <w:noProof/>
              </w:rPr>
              <w:t xml:space="preserve">a common corporate legal framework for </w:t>
            </w:r>
            <w:r>
              <w:rPr>
                <w:noProof/>
              </w:rPr>
              <w:t xml:space="preserve">companies, in particular </w:t>
            </w:r>
            <w:r w:rsidRPr="05315A28">
              <w:rPr>
                <w:noProof/>
              </w:rPr>
              <w:t>s</w:t>
            </w:r>
            <w:r w:rsidR="17B40FB4" w:rsidRPr="05315A28">
              <w:rPr>
                <w:noProof/>
              </w:rPr>
              <w:t>tartup</w:t>
            </w:r>
            <w:r w:rsidRPr="05315A28">
              <w:rPr>
                <w:noProof/>
              </w:rPr>
              <w:t xml:space="preserve">s and </w:t>
            </w:r>
            <w:r w:rsidRPr="64499400">
              <w:rPr>
                <w:noProof/>
              </w:rPr>
              <w:t>s</w:t>
            </w:r>
            <w:r w:rsidR="2E279583" w:rsidRPr="64499400">
              <w:rPr>
                <w:noProof/>
              </w:rPr>
              <w:t>caleup</w:t>
            </w:r>
            <w:r w:rsidRPr="64499400">
              <w:rPr>
                <w:noProof/>
              </w:rPr>
              <w:t>s</w:t>
            </w:r>
            <w:r w:rsidRPr="05315A28">
              <w:rPr>
                <w:noProof/>
              </w:rPr>
              <w:t xml:space="preserve"> in the EU</w:t>
            </w:r>
          </w:p>
        </w:tc>
        <w:tc>
          <w:tcPr>
            <w:tcW w:w="860" w:type="dxa"/>
          </w:tcPr>
          <w:p w14:paraId="3E89A63D" w14:textId="2EF4D5EF" w:rsidR="000F07E3" w:rsidRPr="005C4BC3" w:rsidRDefault="009A6797">
            <w:pPr>
              <w:jc w:val="center"/>
              <w:rPr>
                <w:rFonts w:cstheme="minorHAnsi"/>
                <w:noProof/>
                <w:szCs w:val="20"/>
              </w:rPr>
            </w:pPr>
            <w:r>
              <w:rPr>
                <w:rFonts w:cstheme="minorHAnsi"/>
                <w:noProof/>
                <w:szCs w:val="20"/>
              </w:rPr>
              <w:t>1</w:t>
            </w:r>
          </w:p>
        </w:tc>
        <w:tc>
          <w:tcPr>
            <w:tcW w:w="856" w:type="dxa"/>
          </w:tcPr>
          <w:p w14:paraId="41BB4CC0" w14:textId="0FC137A9" w:rsidR="000F07E3" w:rsidRPr="005C4BC3" w:rsidRDefault="009A6797">
            <w:pPr>
              <w:jc w:val="center"/>
              <w:rPr>
                <w:rFonts w:cstheme="minorHAnsi"/>
                <w:noProof/>
                <w:szCs w:val="20"/>
              </w:rPr>
            </w:pPr>
            <w:r>
              <w:rPr>
                <w:rFonts w:cstheme="minorHAnsi"/>
                <w:noProof/>
                <w:szCs w:val="20"/>
              </w:rPr>
              <w:t>2</w:t>
            </w:r>
          </w:p>
        </w:tc>
        <w:tc>
          <w:tcPr>
            <w:tcW w:w="860" w:type="dxa"/>
          </w:tcPr>
          <w:p w14:paraId="497C2C61" w14:textId="0173A53A" w:rsidR="000F07E3" w:rsidRPr="005C4BC3" w:rsidRDefault="009A6797">
            <w:pPr>
              <w:jc w:val="center"/>
              <w:rPr>
                <w:rFonts w:cstheme="minorHAnsi"/>
                <w:noProof/>
                <w:szCs w:val="20"/>
              </w:rPr>
            </w:pPr>
            <w:r>
              <w:rPr>
                <w:rFonts w:cstheme="minorHAnsi"/>
                <w:noProof/>
                <w:szCs w:val="20"/>
              </w:rPr>
              <w:t>3</w:t>
            </w:r>
          </w:p>
        </w:tc>
        <w:tc>
          <w:tcPr>
            <w:tcW w:w="4677" w:type="dxa"/>
          </w:tcPr>
          <w:p w14:paraId="3BBF5BC8" w14:textId="5AE8E0F4" w:rsidR="000F07E3" w:rsidRPr="003F5FB6" w:rsidRDefault="000F7E64" w:rsidP="00810855">
            <w:pPr>
              <w:spacing w:after="0"/>
              <w:jc w:val="both"/>
              <w:rPr>
                <w:noProof/>
              </w:rPr>
            </w:pPr>
            <w:r>
              <w:rPr>
                <w:noProof/>
              </w:rPr>
              <w:t xml:space="preserve">As </w:t>
            </w:r>
            <w:r w:rsidRPr="000F7E64">
              <w:rPr>
                <w:noProof/>
              </w:rPr>
              <w:t xml:space="preserve">obtaining funding through private investors or through public markets </w:t>
            </w:r>
            <w:r w:rsidR="004D46E4">
              <w:rPr>
                <w:noProof/>
              </w:rPr>
              <w:t xml:space="preserve">is </w:t>
            </w:r>
            <w:r w:rsidRPr="000F7E64">
              <w:rPr>
                <w:noProof/>
              </w:rPr>
              <w:t>a key mechanism for strengthening a company’s financial position and facilitating the exit of existing investors</w:t>
            </w:r>
            <w:r w:rsidR="004D46E4">
              <w:rPr>
                <w:noProof/>
              </w:rPr>
              <w:t xml:space="preserve">, these policy options are </w:t>
            </w:r>
            <w:r w:rsidR="00495A74">
              <w:rPr>
                <w:noProof/>
              </w:rPr>
              <w:t>important elements to create a common framework for 28</w:t>
            </w:r>
            <w:r w:rsidR="00495A74" w:rsidRPr="00495A74">
              <w:rPr>
                <w:noProof/>
                <w:vertAlign w:val="superscript"/>
              </w:rPr>
              <w:t>th</w:t>
            </w:r>
            <w:r w:rsidR="00495A74">
              <w:rPr>
                <w:noProof/>
              </w:rPr>
              <w:t xml:space="preserve"> regime companies. </w:t>
            </w:r>
            <w:r w:rsidR="00825623" w:rsidRPr="00825623">
              <w:rPr>
                <w:noProof/>
              </w:rPr>
              <w:t xml:space="preserve">All three options contribute to a more common corporate legal framework by reducing reliance on divergent national rules governing exits, particularly </w:t>
            </w:r>
            <w:r w:rsidR="00944168">
              <w:rPr>
                <w:noProof/>
              </w:rPr>
              <w:t>as regards</w:t>
            </w:r>
            <w:r w:rsidR="00825623" w:rsidRPr="00825623">
              <w:rPr>
                <w:noProof/>
              </w:rPr>
              <w:t xml:space="preserve"> share transfers. </w:t>
            </w:r>
            <w:r w:rsidR="00EB2403">
              <w:rPr>
                <w:noProof/>
              </w:rPr>
              <w:t>While p</w:t>
            </w:r>
            <w:r w:rsidR="004F2F10" w:rsidRPr="004F2F10">
              <w:rPr>
                <w:noProof/>
              </w:rPr>
              <w:t xml:space="preserve">olicy option </w:t>
            </w:r>
            <w:r w:rsidR="00825623" w:rsidRPr="004F2F10">
              <w:rPr>
                <w:noProof/>
              </w:rPr>
              <w:t>7a</w:t>
            </w:r>
            <w:r w:rsidR="00825623" w:rsidRPr="00825623">
              <w:rPr>
                <w:noProof/>
              </w:rPr>
              <w:t xml:space="preserve"> </w:t>
            </w:r>
            <w:r w:rsidR="00EB2403">
              <w:rPr>
                <w:noProof/>
              </w:rPr>
              <w:t>would</w:t>
            </w:r>
            <w:r w:rsidR="00825623" w:rsidRPr="00825623">
              <w:rPr>
                <w:noProof/>
              </w:rPr>
              <w:t xml:space="preserve"> improve legal convergence by ensuring that share transfers of 28</w:t>
            </w:r>
            <w:r w:rsidR="00825623" w:rsidRPr="00336638">
              <w:rPr>
                <w:noProof/>
              </w:rPr>
              <w:t>th</w:t>
            </w:r>
            <w:r w:rsidR="00825623" w:rsidRPr="00825623">
              <w:rPr>
                <w:noProof/>
              </w:rPr>
              <w:t xml:space="preserve"> regime companies can be carried out fully digitally across the EU, </w:t>
            </w:r>
            <w:r w:rsidR="00722CD5">
              <w:rPr>
                <w:noProof/>
              </w:rPr>
              <w:t>p</w:t>
            </w:r>
            <w:r w:rsidR="004F2F10" w:rsidRPr="004F2F10">
              <w:rPr>
                <w:noProof/>
              </w:rPr>
              <w:t xml:space="preserve">olicy option </w:t>
            </w:r>
            <w:r w:rsidR="00825623" w:rsidRPr="004F2F10">
              <w:rPr>
                <w:noProof/>
              </w:rPr>
              <w:t>7b</w:t>
            </w:r>
            <w:r w:rsidR="00825623" w:rsidRPr="00810855">
              <w:rPr>
                <w:b/>
                <w:bCs/>
                <w:noProof/>
              </w:rPr>
              <w:t xml:space="preserve"> </w:t>
            </w:r>
            <w:r w:rsidR="00825623" w:rsidRPr="00825623">
              <w:rPr>
                <w:noProof/>
              </w:rPr>
              <w:t xml:space="preserve">is more effective as it </w:t>
            </w:r>
            <w:r w:rsidR="0090502D">
              <w:rPr>
                <w:noProof/>
              </w:rPr>
              <w:t>would</w:t>
            </w:r>
            <w:r w:rsidR="00825623" w:rsidRPr="00825623">
              <w:rPr>
                <w:noProof/>
              </w:rPr>
              <w:t xml:space="preserve"> remove </w:t>
            </w:r>
            <w:r w:rsidR="002C0318">
              <w:rPr>
                <w:noProof/>
              </w:rPr>
              <w:t>any</w:t>
            </w:r>
            <w:r w:rsidR="00825623" w:rsidRPr="00825623">
              <w:rPr>
                <w:noProof/>
              </w:rPr>
              <w:t xml:space="preserve"> mandatory involvement of intermediaries</w:t>
            </w:r>
            <w:r>
              <w:rPr>
                <w:noProof/>
              </w:rPr>
              <w:t>, thereby</w:t>
            </w:r>
            <w:r w:rsidR="00825623" w:rsidRPr="00825623">
              <w:rPr>
                <w:noProof/>
              </w:rPr>
              <w:t xml:space="preserve"> </w:t>
            </w:r>
            <w:r w:rsidR="003279B6">
              <w:rPr>
                <w:noProof/>
              </w:rPr>
              <w:t>harmonising</w:t>
            </w:r>
            <w:r w:rsidR="00192A46">
              <w:rPr>
                <w:noProof/>
              </w:rPr>
              <w:t xml:space="preserve"> further </w:t>
            </w:r>
            <w:r w:rsidR="00CA1591">
              <w:rPr>
                <w:noProof/>
              </w:rPr>
              <w:t xml:space="preserve">the </w:t>
            </w:r>
            <w:r w:rsidR="002C0318">
              <w:rPr>
                <w:noProof/>
              </w:rPr>
              <w:t>rules on</w:t>
            </w:r>
            <w:r w:rsidR="00CA1591">
              <w:rPr>
                <w:noProof/>
              </w:rPr>
              <w:t xml:space="preserve"> </w:t>
            </w:r>
            <w:r w:rsidR="00825623" w:rsidRPr="00825623">
              <w:rPr>
                <w:noProof/>
              </w:rPr>
              <w:t>private share transfer</w:t>
            </w:r>
            <w:r w:rsidR="002C0318">
              <w:rPr>
                <w:noProof/>
              </w:rPr>
              <w:t>s</w:t>
            </w:r>
            <w:r w:rsidR="00825623" w:rsidRPr="00825623">
              <w:rPr>
                <w:noProof/>
              </w:rPr>
              <w:t xml:space="preserve"> </w:t>
            </w:r>
            <w:r w:rsidR="00192A46">
              <w:rPr>
                <w:noProof/>
              </w:rPr>
              <w:t>for 28</w:t>
            </w:r>
            <w:r w:rsidR="00192A46" w:rsidRPr="00192A46">
              <w:rPr>
                <w:noProof/>
                <w:vertAlign w:val="superscript"/>
              </w:rPr>
              <w:t>th</w:t>
            </w:r>
            <w:r w:rsidR="00192A46">
              <w:rPr>
                <w:noProof/>
              </w:rPr>
              <w:t xml:space="preserve"> regime companies</w:t>
            </w:r>
            <w:r w:rsidR="00825623" w:rsidRPr="00825623">
              <w:rPr>
                <w:noProof/>
              </w:rPr>
              <w:t xml:space="preserve">. </w:t>
            </w:r>
            <w:r w:rsidR="00825623" w:rsidRPr="004F2F10">
              <w:rPr>
                <w:noProof/>
              </w:rPr>
              <w:t>P</w:t>
            </w:r>
            <w:r w:rsidR="004F2F10" w:rsidRPr="004F2F10">
              <w:rPr>
                <w:noProof/>
              </w:rPr>
              <w:t xml:space="preserve">olicy option </w:t>
            </w:r>
            <w:r w:rsidR="00825623" w:rsidRPr="004F2F10">
              <w:rPr>
                <w:noProof/>
              </w:rPr>
              <w:t xml:space="preserve">7c is the most effective </w:t>
            </w:r>
            <w:r w:rsidR="00825623" w:rsidRPr="00825623">
              <w:rPr>
                <w:noProof/>
              </w:rPr>
              <w:t xml:space="preserve">as it </w:t>
            </w:r>
            <w:r w:rsidR="00AD1D04">
              <w:rPr>
                <w:noProof/>
              </w:rPr>
              <w:t>goes</w:t>
            </w:r>
            <w:r w:rsidR="00825623" w:rsidRPr="00825623">
              <w:rPr>
                <w:noProof/>
              </w:rPr>
              <w:t xml:space="preserve"> beyond private exits and </w:t>
            </w:r>
            <w:r w:rsidR="00CA391E">
              <w:rPr>
                <w:noProof/>
              </w:rPr>
              <w:t xml:space="preserve">also addresses exits via public equity markets </w:t>
            </w:r>
            <w:r w:rsidR="00220220">
              <w:rPr>
                <w:noProof/>
              </w:rPr>
              <w:t xml:space="preserve">but </w:t>
            </w:r>
            <w:r w:rsidR="002E77E9">
              <w:rPr>
                <w:noProof/>
              </w:rPr>
              <w:t xml:space="preserve">its effectiveness would be limited as </w:t>
            </w:r>
            <w:r w:rsidR="00F614EB">
              <w:rPr>
                <w:noProof/>
              </w:rPr>
              <w:t xml:space="preserve">it would </w:t>
            </w:r>
            <w:r w:rsidR="00825623" w:rsidRPr="00825623">
              <w:rPr>
                <w:noProof/>
              </w:rPr>
              <w:t>allow Member States to integrate 28</w:t>
            </w:r>
            <w:r w:rsidR="00825623" w:rsidRPr="00663CEF">
              <w:rPr>
                <w:noProof/>
                <w:vertAlign w:val="superscript"/>
              </w:rPr>
              <w:t>th</w:t>
            </w:r>
            <w:r w:rsidR="00825623" w:rsidRPr="00825623">
              <w:rPr>
                <w:noProof/>
              </w:rPr>
              <w:t xml:space="preserve"> regime companies into public equity markets without requiring a change of legal form, </w:t>
            </w:r>
            <w:r w:rsidR="009D26DE">
              <w:rPr>
                <w:noProof/>
              </w:rPr>
              <w:t>rather than providing common rules in this context</w:t>
            </w:r>
            <w:r w:rsidR="00825623" w:rsidRPr="00825623">
              <w:rPr>
                <w:noProof/>
              </w:rPr>
              <w:t>.</w:t>
            </w:r>
          </w:p>
        </w:tc>
      </w:tr>
      <w:tr w:rsidR="000F07E3" w:rsidRPr="00B97033" w14:paraId="7DC3A652" w14:textId="77777777" w:rsidTr="00597D21">
        <w:trPr>
          <w:trHeight w:val="582"/>
        </w:trPr>
        <w:tc>
          <w:tcPr>
            <w:tcW w:w="2528" w:type="dxa"/>
          </w:tcPr>
          <w:p w14:paraId="439DD0C5" w14:textId="37EB7729" w:rsidR="000F07E3" w:rsidRPr="005C4BC3" w:rsidRDefault="000F07E3">
            <w:pPr>
              <w:rPr>
                <w:b/>
                <w:noProof/>
              </w:rPr>
            </w:pPr>
            <w:r w:rsidRPr="469F4BC7">
              <w:rPr>
                <w:b/>
                <w:noProof/>
              </w:rPr>
              <w:t>Specific Objective 3:</w:t>
            </w:r>
            <w:r w:rsidRPr="469F4BC7">
              <w:rPr>
                <w:noProof/>
              </w:rPr>
              <w:t xml:space="preserve"> Ensure that corporate rules provide an enabling framework to invest </w:t>
            </w:r>
          </w:p>
        </w:tc>
        <w:tc>
          <w:tcPr>
            <w:tcW w:w="860" w:type="dxa"/>
          </w:tcPr>
          <w:p w14:paraId="185EE66B" w14:textId="50944ED0" w:rsidR="000F07E3" w:rsidRDefault="00EB16A4">
            <w:pPr>
              <w:jc w:val="center"/>
              <w:rPr>
                <w:rFonts w:cstheme="minorHAnsi"/>
                <w:noProof/>
                <w:szCs w:val="20"/>
              </w:rPr>
            </w:pPr>
            <w:r>
              <w:rPr>
                <w:rFonts w:cstheme="minorHAnsi"/>
                <w:noProof/>
                <w:szCs w:val="20"/>
              </w:rPr>
              <w:t>2</w:t>
            </w:r>
          </w:p>
        </w:tc>
        <w:tc>
          <w:tcPr>
            <w:tcW w:w="856" w:type="dxa"/>
          </w:tcPr>
          <w:p w14:paraId="0BBA49FA" w14:textId="1D07B167" w:rsidR="000F07E3" w:rsidRPr="005C4BC3" w:rsidRDefault="00EB16A4">
            <w:pPr>
              <w:jc w:val="center"/>
              <w:rPr>
                <w:rFonts w:cstheme="minorHAnsi"/>
                <w:noProof/>
                <w:szCs w:val="20"/>
              </w:rPr>
            </w:pPr>
            <w:r>
              <w:rPr>
                <w:rFonts w:cstheme="minorHAnsi"/>
                <w:noProof/>
                <w:szCs w:val="20"/>
              </w:rPr>
              <w:t>3</w:t>
            </w:r>
          </w:p>
        </w:tc>
        <w:tc>
          <w:tcPr>
            <w:tcW w:w="860" w:type="dxa"/>
          </w:tcPr>
          <w:p w14:paraId="04B4AAA8" w14:textId="1F222EB2" w:rsidR="000F07E3" w:rsidRDefault="001C3067">
            <w:pPr>
              <w:jc w:val="center"/>
              <w:rPr>
                <w:rFonts w:cstheme="minorHAnsi"/>
                <w:noProof/>
                <w:szCs w:val="20"/>
              </w:rPr>
            </w:pPr>
            <w:r>
              <w:rPr>
                <w:rFonts w:cstheme="minorHAnsi"/>
                <w:noProof/>
                <w:szCs w:val="20"/>
              </w:rPr>
              <w:t xml:space="preserve">4 </w:t>
            </w:r>
          </w:p>
        </w:tc>
        <w:tc>
          <w:tcPr>
            <w:tcW w:w="4677" w:type="dxa"/>
          </w:tcPr>
          <w:p w14:paraId="2203904D" w14:textId="7F17B11F" w:rsidR="000F07E3" w:rsidRPr="005C4BC3" w:rsidRDefault="00E54522" w:rsidP="00810855">
            <w:pPr>
              <w:jc w:val="both"/>
              <w:rPr>
                <w:rFonts w:cstheme="minorHAnsi"/>
                <w:noProof/>
                <w:szCs w:val="20"/>
              </w:rPr>
            </w:pPr>
            <w:r w:rsidRPr="00E54522">
              <w:rPr>
                <w:rFonts w:cstheme="minorHAnsi"/>
                <w:noProof/>
                <w:szCs w:val="20"/>
              </w:rPr>
              <w:t xml:space="preserve">Based on the input received during the dedicated workshop on attracting investment as well as bilateral interviews with </w:t>
            </w:r>
            <w:r w:rsidR="004572A1">
              <w:rPr>
                <w:rFonts w:cstheme="minorHAnsi"/>
                <w:noProof/>
                <w:szCs w:val="20"/>
              </w:rPr>
              <w:t>startups and scaleups</w:t>
            </w:r>
            <w:r w:rsidRPr="00E54522">
              <w:rPr>
                <w:rFonts w:cstheme="minorHAnsi"/>
                <w:noProof/>
                <w:szCs w:val="20"/>
              </w:rPr>
              <w:t xml:space="preserve">, </w:t>
            </w:r>
            <w:r w:rsidR="0028549F">
              <w:rPr>
                <w:rFonts w:cstheme="minorHAnsi"/>
                <w:noProof/>
                <w:szCs w:val="20"/>
              </w:rPr>
              <w:t>p</w:t>
            </w:r>
            <w:r w:rsidR="004F2F10" w:rsidRPr="004F2F10">
              <w:rPr>
                <w:rFonts w:cstheme="minorHAnsi"/>
                <w:noProof/>
                <w:szCs w:val="20"/>
              </w:rPr>
              <w:t xml:space="preserve">olicy option </w:t>
            </w:r>
            <w:r w:rsidR="00E83DB4" w:rsidRPr="004F2F10">
              <w:rPr>
                <w:rFonts w:cstheme="minorHAnsi"/>
                <w:noProof/>
                <w:szCs w:val="20"/>
              </w:rPr>
              <w:t>7a</w:t>
            </w:r>
            <w:r w:rsidR="00E83DB4" w:rsidRPr="00810855">
              <w:rPr>
                <w:rFonts w:cstheme="minorHAnsi"/>
                <w:b/>
                <w:bCs/>
                <w:noProof/>
                <w:szCs w:val="20"/>
              </w:rPr>
              <w:t xml:space="preserve"> </w:t>
            </w:r>
            <w:r w:rsidR="00240BE3" w:rsidRPr="007C185D">
              <w:rPr>
                <w:rFonts w:cstheme="minorHAnsi"/>
                <w:noProof/>
                <w:szCs w:val="20"/>
              </w:rPr>
              <w:t>provides a</w:t>
            </w:r>
            <w:r w:rsidR="00240BE3">
              <w:rPr>
                <w:rFonts w:cstheme="minorHAnsi"/>
                <w:noProof/>
                <w:szCs w:val="20"/>
              </w:rPr>
              <w:t>n important step towards</w:t>
            </w:r>
            <w:r w:rsidR="00DB67C5">
              <w:rPr>
                <w:rFonts w:cstheme="minorHAnsi"/>
                <w:noProof/>
                <w:szCs w:val="20"/>
              </w:rPr>
              <w:t xml:space="preserve"> </w:t>
            </w:r>
            <w:r w:rsidR="00E83DB4" w:rsidRPr="00E83DB4">
              <w:rPr>
                <w:rFonts w:cstheme="minorHAnsi"/>
                <w:noProof/>
                <w:szCs w:val="20"/>
              </w:rPr>
              <w:t>improv</w:t>
            </w:r>
            <w:r w:rsidR="00DB67C5">
              <w:rPr>
                <w:rFonts w:cstheme="minorHAnsi"/>
                <w:noProof/>
                <w:szCs w:val="20"/>
              </w:rPr>
              <w:t>ing</w:t>
            </w:r>
            <w:r w:rsidR="00E83DB4" w:rsidRPr="00E83DB4">
              <w:rPr>
                <w:rFonts w:cstheme="minorHAnsi"/>
                <w:noProof/>
                <w:szCs w:val="20"/>
              </w:rPr>
              <w:t xml:space="preserve"> the investment environment </w:t>
            </w:r>
            <w:r w:rsidR="00576D02">
              <w:rPr>
                <w:rFonts w:cstheme="minorHAnsi"/>
                <w:noProof/>
                <w:szCs w:val="20"/>
              </w:rPr>
              <w:t xml:space="preserve">by </w:t>
            </w:r>
            <w:r w:rsidR="00E83DB4" w:rsidRPr="00E83DB4">
              <w:rPr>
                <w:rFonts w:cstheme="minorHAnsi"/>
                <w:noProof/>
                <w:szCs w:val="20"/>
              </w:rPr>
              <w:t>enabl</w:t>
            </w:r>
            <w:r w:rsidR="00576D02">
              <w:rPr>
                <w:rFonts w:cstheme="minorHAnsi"/>
                <w:noProof/>
                <w:szCs w:val="20"/>
              </w:rPr>
              <w:t>ing</w:t>
            </w:r>
            <w:r w:rsidR="00E83DB4" w:rsidRPr="00E83DB4">
              <w:rPr>
                <w:rFonts w:cstheme="minorHAnsi"/>
                <w:noProof/>
                <w:szCs w:val="20"/>
              </w:rPr>
              <w:t xml:space="preserve"> fully digital share transfers</w:t>
            </w:r>
            <w:r w:rsidR="005930E7">
              <w:rPr>
                <w:rFonts w:cstheme="minorHAnsi"/>
                <w:noProof/>
                <w:szCs w:val="20"/>
              </w:rPr>
              <w:t xml:space="preserve"> and thus</w:t>
            </w:r>
            <w:r w:rsidR="00E83DB4" w:rsidRPr="00E83DB4">
              <w:rPr>
                <w:rFonts w:cstheme="minorHAnsi"/>
                <w:noProof/>
                <w:szCs w:val="20"/>
              </w:rPr>
              <w:t>, reduc</w:t>
            </w:r>
            <w:r w:rsidR="00576D02">
              <w:rPr>
                <w:rFonts w:cstheme="minorHAnsi"/>
                <w:noProof/>
                <w:szCs w:val="20"/>
              </w:rPr>
              <w:t>ing</w:t>
            </w:r>
            <w:r w:rsidR="00E83DB4" w:rsidRPr="00E83DB4">
              <w:rPr>
                <w:rFonts w:cstheme="minorHAnsi"/>
                <w:noProof/>
                <w:szCs w:val="20"/>
              </w:rPr>
              <w:t xml:space="preserve"> delays and transaction costs for exits and secondary transactions</w:t>
            </w:r>
            <w:r w:rsidR="00576D02">
              <w:rPr>
                <w:rFonts w:cstheme="minorHAnsi"/>
                <w:noProof/>
                <w:szCs w:val="20"/>
              </w:rPr>
              <w:t>,</w:t>
            </w:r>
            <w:r w:rsidR="006C7317">
              <w:rPr>
                <w:rFonts w:cstheme="minorHAnsi"/>
                <w:noProof/>
                <w:szCs w:val="20"/>
              </w:rPr>
              <w:t xml:space="preserve"> but p</w:t>
            </w:r>
            <w:r w:rsidR="004F2F10" w:rsidRPr="004F2F10">
              <w:rPr>
                <w:rFonts w:cstheme="minorHAnsi"/>
                <w:noProof/>
                <w:szCs w:val="20"/>
              </w:rPr>
              <w:t xml:space="preserve">olicy option </w:t>
            </w:r>
            <w:r w:rsidR="00E83DB4" w:rsidRPr="004F2F10">
              <w:rPr>
                <w:rFonts w:cstheme="minorHAnsi"/>
                <w:noProof/>
                <w:szCs w:val="20"/>
              </w:rPr>
              <w:t>7b</w:t>
            </w:r>
            <w:r w:rsidR="00E83DB4" w:rsidRPr="00994082">
              <w:rPr>
                <w:rFonts w:cstheme="minorHAnsi"/>
                <w:b/>
                <w:noProof/>
                <w:szCs w:val="20"/>
              </w:rPr>
              <w:t xml:space="preserve"> </w:t>
            </w:r>
            <w:r w:rsidR="006C7317" w:rsidRPr="006C7317">
              <w:rPr>
                <w:rFonts w:cstheme="minorHAnsi"/>
                <w:bCs/>
                <w:noProof/>
                <w:szCs w:val="20"/>
              </w:rPr>
              <w:t>would be more effective</w:t>
            </w:r>
            <w:r w:rsidR="001E2756">
              <w:rPr>
                <w:rFonts w:cstheme="minorHAnsi"/>
                <w:bCs/>
                <w:noProof/>
                <w:szCs w:val="20"/>
              </w:rPr>
              <w:t xml:space="preserve"> </w:t>
            </w:r>
            <w:r w:rsidR="00122D2D">
              <w:rPr>
                <w:rFonts w:cstheme="minorHAnsi"/>
                <w:bCs/>
                <w:noProof/>
                <w:szCs w:val="20"/>
              </w:rPr>
              <w:t xml:space="preserve">in </w:t>
            </w:r>
            <w:r w:rsidR="00F279B8">
              <w:rPr>
                <w:rFonts w:cstheme="minorHAnsi"/>
                <w:bCs/>
                <w:noProof/>
                <w:szCs w:val="20"/>
              </w:rPr>
              <w:t>mak</w:t>
            </w:r>
            <w:r w:rsidR="00122D2D">
              <w:rPr>
                <w:rFonts w:cstheme="minorHAnsi"/>
                <w:bCs/>
                <w:noProof/>
                <w:szCs w:val="20"/>
              </w:rPr>
              <w:t>ing it easier for 28</w:t>
            </w:r>
            <w:r w:rsidR="00122D2D" w:rsidRPr="00122D2D">
              <w:rPr>
                <w:rFonts w:cstheme="minorHAnsi"/>
                <w:bCs/>
                <w:noProof/>
                <w:szCs w:val="20"/>
                <w:vertAlign w:val="superscript"/>
              </w:rPr>
              <w:t>th</w:t>
            </w:r>
            <w:r w:rsidR="00122D2D">
              <w:rPr>
                <w:rFonts w:cstheme="minorHAnsi"/>
                <w:bCs/>
                <w:noProof/>
                <w:szCs w:val="20"/>
              </w:rPr>
              <w:t xml:space="preserve"> regime companies to </w:t>
            </w:r>
            <w:r w:rsidR="00F279B8">
              <w:rPr>
                <w:rFonts w:cstheme="minorHAnsi"/>
                <w:bCs/>
                <w:noProof/>
                <w:szCs w:val="20"/>
              </w:rPr>
              <w:t>attract</w:t>
            </w:r>
            <w:r w:rsidR="00E83DB4" w:rsidRPr="00E83DB4">
              <w:rPr>
                <w:rFonts w:cstheme="minorHAnsi"/>
                <w:noProof/>
                <w:szCs w:val="20"/>
              </w:rPr>
              <w:t xml:space="preserve"> </w:t>
            </w:r>
            <w:r w:rsidR="00EA6C79">
              <w:rPr>
                <w:rFonts w:cstheme="minorHAnsi"/>
                <w:noProof/>
                <w:szCs w:val="20"/>
              </w:rPr>
              <w:t>investment</w:t>
            </w:r>
            <w:r w:rsidR="00E83DB4" w:rsidRPr="00E83DB4">
              <w:rPr>
                <w:rFonts w:cstheme="minorHAnsi"/>
                <w:noProof/>
                <w:szCs w:val="20"/>
              </w:rPr>
              <w:t xml:space="preserve"> by </w:t>
            </w:r>
            <w:r w:rsidR="00122D2D">
              <w:rPr>
                <w:rFonts w:cstheme="minorHAnsi"/>
                <w:noProof/>
                <w:szCs w:val="20"/>
              </w:rPr>
              <w:t xml:space="preserve">also </w:t>
            </w:r>
            <w:r w:rsidR="00E83DB4" w:rsidRPr="00E83DB4">
              <w:rPr>
                <w:rFonts w:cstheme="minorHAnsi"/>
                <w:noProof/>
                <w:szCs w:val="20"/>
              </w:rPr>
              <w:t xml:space="preserve">removing mandatory </w:t>
            </w:r>
            <w:r w:rsidR="00122D2D">
              <w:rPr>
                <w:rFonts w:cstheme="minorHAnsi"/>
                <w:noProof/>
                <w:szCs w:val="20"/>
              </w:rPr>
              <w:t>involvement of</w:t>
            </w:r>
            <w:r w:rsidR="00E83DB4" w:rsidRPr="00E83DB4">
              <w:rPr>
                <w:rFonts w:cstheme="minorHAnsi"/>
                <w:noProof/>
                <w:szCs w:val="20"/>
              </w:rPr>
              <w:t xml:space="preserve"> intermediaries </w:t>
            </w:r>
            <w:r w:rsidR="00122D2D">
              <w:rPr>
                <w:rFonts w:cstheme="minorHAnsi"/>
                <w:noProof/>
                <w:szCs w:val="20"/>
              </w:rPr>
              <w:t xml:space="preserve">in case of </w:t>
            </w:r>
            <w:r w:rsidR="00E83DB4" w:rsidRPr="00E83DB4">
              <w:rPr>
                <w:rFonts w:cstheme="minorHAnsi"/>
                <w:noProof/>
                <w:szCs w:val="20"/>
              </w:rPr>
              <w:t>share transfers</w:t>
            </w:r>
            <w:r w:rsidR="00332B95">
              <w:rPr>
                <w:rFonts w:cstheme="minorHAnsi"/>
                <w:noProof/>
                <w:szCs w:val="20"/>
              </w:rPr>
              <w:t xml:space="preserve"> </w:t>
            </w:r>
            <w:r w:rsidR="007A0BCA">
              <w:rPr>
                <w:rFonts w:cstheme="minorHAnsi"/>
                <w:noProof/>
                <w:szCs w:val="20"/>
              </w:rPr>
              <w:t xml:space="preserve">and thus, </w:t>
            </w:r>
            <w:r w:rsidR="00A06C68">
              <w:rPr>
                <w:rFonts w:cstheme="minorHAnsi"/>
                <w:noProof/>
                <w:szCs w:val="20"/>
              </w:rPr>
              <w:t xml:space="preserve">further </w:t>
            </w:r>
            <w:r w:rsidR="00E83DB4" w:rsidRPr="00E83DB4">
              <w:rPr>
                <w:rFonts w:cstheme="minorHAnsi"/>
                <w:noProof/>
                <w:szCs w:val="20"/>
              </w:rPr>
              <w:t>reduc</w:t>
            </w:r>
            <w:r w:rsidR="007A0BCA">
              <w:rPr>
                <w:rFonts w:cstheme="minorHAnsi"/>
                <w:noProof/>
                <w:szCs w:val="20"/>
              </w:rPr>
              <w:t>ing</w:t>
            </w:r>
            <w:r w:rsidR="00E83DB4" w:rsidRPr="00E83DB4">
              <w:rPr>
                <w:rFonts w:cstheme="minorHAnsi"/>
                <w:noProof/>
                <w:szCs w:val="20"/>
              </w:rPr>
              <w:t xml:space="preserve"> costs for investors.</w:t>
            </w:r>
            <w:r w:rsidR="003818F8">
              <w:rPr>
                <w:rFonts w:cstheme="minorHAnsi"/>
                <w:noProof/>
                <w:szCs w:val="20"/>
              </w:rPr>
              <w:t xml:space="preserve"> </w:t>
            </w:r>
            <w:r w:rsidR="00BD3F4D" w:rsidRPr="004F2F10">
              <w:rPr>
                <w:rFonts w:cstheme="minorHAnsi"/>
                <w:noProof/>
                <w:szCs w:val="20"/>
              </w:rPr>
              <w:t>P</w:t>
            </w:r>
            <w:r w:rsidR="004F2F10" w:rsidRPr="004F2F10">
              <w:rPr>
                <w:rFonts w:cstheme="minorHAnsi"/>
                <w:noProof/>
                <w:szCs w:val="20"/>
              </w:rPr>
              <w:t>olicy option 7c</w:t>
            </w:r>
            <w:r w:rsidR="00E83DB4" w:rsidRPr="004F2F10">
              <w:rPr>
                <w:rFonts w:cstheme="minorHAnsi"/>
                <w:noProof/>
                <w:szCs w:val="20"/>
              </w:rPr>
              <w:t xml:space="preserve"> is</w:t>
            </w:r>
            <w:r w:rsidR="00E83DB4" w:rsidRPr="00E83DB4">
              <w:rPr>
                <w:rFonts w:cstheme="minorHAnsi"/>
                <w:noProof/>
                <w:szCs w:val="20"/>
              </w:rPr>
              <w:t xml:space="preserve"> the most effective option, as </w:t>
            </w:r>
            <w:r w:rsidR="00B06019">
              <w:rPr>
                <w:rFonts w:cstheme="minorHAnsi"/>
                <w:noProof/>
                <w:szCs w:val="20"/>
              </w:rPr>
              <w:t>in addition</w:t>
            </w:r>
            <w:r w:rsidR="007B170D">
              <w:rPr>
                <w:rFonts w:cstheme="minorHAnsi"/>
                <w:noProof/>
                <w:szCs w:val="20"/>
              </w:rPr>
              <w:t>,</w:t>
            </w:r>
            <w:r w:rsidR="00B06019">
              <w:rPr>
                <w:rFonts w:cstheme="minorHAnsi"/>
                <w:noProof/>
                <w:szCs w:val="20"/>
              </w:rPr>
              <w:t xml:space="preserve"> </w:t>
            </w:r>
            <w:r w:rsidR="00E83DB4" w:rsidRPr="00E83DB4">
              <w:rPr>
                <w:rFonts w:cstheme="minorHAnsi"/>
                <w:noProof/>
                <w:szCs w:val="20"/>
              </w:rPr>
              <w:t xml:space="preserve">it </w:t>
            </w:r>
            <w:r w:rsidR="00306428">
              <w:rPr>
                <w:rFonts w:cstheme="minorHAnsi"/>
                <w:noProof/>
                <w:szCs w:val="20"/>
              </w:rPr>
              <w:t xml:space="preserve">would </w:t>
            </w:r>
            <w:r w:rsidR="0090335F">
              <w:rPr>
                <w:rFonts w:cstheme="minorHAnsi"/>
                <w:noProof/>
                <w:szCs w:val="20"/>
              </w:rPr>
              <w:t xml:space="preserve">aim to </w:t>
            </w:r>
            <w:r w:rsidR="002D2068">
              <w:rPr>
                <w:rFonts w:cstheme="minorHAnsi"/>
                <w:noProof/>
                <w:szCs w:val="20"/>
              </w:rPr>
              <w:t xml:space="preserve">make it easier for </w:t>
            </w:r>
            <w:r w:rsidR="00A55686">
              <w:rPr>
                <w:rFonts w:cstheme="minorHAnsi"/>
                <w:noProof/>
                <w:szCs w:val="20"/>
              </w:rPr>
              <w:t>28</w:t>
            </w:r>
            <w:r w:rsidR="00A55686" w:rsidRPr="00BA2F4E">
              <w:rPr>
                <w:rFonts w:cstheme="minorHAnsi"/>
                <w:noProof/>
                <w:szCs w:val="20"/>
                <w:vertAlign w:val="superscript"/>
              </w:rPr>
              <w:t>th</w:t>
            </w:r>
            <w:r w:rsidR="00A55686">
              <w:rPr>
                <w:rFonts w:cstheme="minorHAnsi"/>
                <w:noProof/>
                <w:szCs w:val="20"/>
              </w:rPr>
              <w:t xml:space="preserve"> regime companies to</w:t>
            </w:r>
            <w:r w:rsidR="00E83DB4" w:rsidRPr="00E83DB4">
              <w:rPr>
                <w:rFonts w:cstheme="minorHAnsi"/>
                <w:noProof/>
                <w:szCs w:val="20"/>
              </w:rPr>
              <w:t xml:space="preserve"> </w:t>
            </w:r>
            <w:r w:rsidR="00DB656D">
              <w:rPr>
                <w:rFonts w:cstheme="minorHAnsi"/>
                <w:noProof/>
                <w:szCs w:val="20"/>
              </w:rPr>
              <w:t>attract</w:t>
            </w:r>
            <w:r w:rsidR="00DB656D" w:rsidRPr="00E83DB4">
              <w:rPr>
                <w:rFonts w:cstheme="minorHAnsi"/>
                <w:noProof/>
                <w:szCs w:val="20"/>
              </w:rPr>
              <w:t xml:space="preserve"> </w:t>
            </w:r>
            <w:r w:rsidR="00E83DB4" w:rsidRPr="00E83DB4">
              <w:rPr>
                <w:rFonts w:cstheme="minorHAnsi"/>
                <w:noProof/>
                <w:szCs w:val="20"/>
              </w:rPr>
              <w:t xml:space="preserve">financing </w:t>
            </w:r>
            <w:r w:rsidR="00DB656D">
              <w:rPr>
                <w:rFonts w:cstheme="minorHAnsi"/>
                <w:noProof/>
                <w:szCs w:val="20"/>
              </w:rPr>
              <w:t xml:space="preserve">through </w:t>
            </w:r>
            <w:r w:rsidR="00E83DB4" w:rsidRPr="00E83DB4">
              <w:rPr>
                <w:rFonts w:cstheme="minorHAnsi"/>
                <w:noProof/>
                <w:szCs w:val="20"/>
              </w:rPr>
              <w:t>access to public equity markets without mandatory conversion</w:t>
            </w:r>
            <w:r w:rsidR="002E4EB1">
              <w:rPr>
                <w:rFonts w:cstheme="minorHAnsi"/>
                <w:noProof/>
                <w:szCs w:val="20"/>
              </w:rPr>
              <w:t xml:space="preserve">, through encouraging Member States to allow such </w:t>
            </w:r>
            <w:r w:rsidR="00A00B3F">
              <w:rPr>
                <w:rFonts w:cstheme="minorHAnsi"/>
                <w:noProof/>
                <w:szCs w:val="20"/>
              </w:rPr>
              <w:t>access</w:t>
            </w:r>
            <w:r w:rsidR="00E83DB4" w:rsidRPr="00E83DB4">
              <w:rPr>
                <w:rFonts w:cstheme="minorHAnsi"/>
                <w:noProof/>
                <w:szCs w:val="20"/>
              </w:rPr>
              <w:t xml:space="preserve">. </w:t>
            </w:r>
          </w:p>
        </w:tc>
      </w:tr>
    </w:tbl>
    <w:p w14:paraId="55D09B83" w14:textId="77777777" w:rsidR="000F07E3" w:rsidRDefault="000F07E3" w:rsidP="000F07E3">
      <w:pPr>
        <w:spacing w:after="240"/>
        <w:jc w:val="both"/>
        <w:rPr>
          <w:rFonts w:eastAsia="Calibri" w:cs="Times New Roman"/>
          <w:noProof/>
          <w:szCs w:val="20"/>
        </w:rPr>
      </w:pPr>
    </w:p>
    <w:p w14:paraId="2847D4E2" w14:textId="77777777" w:rsidR="004B07E4" w:rsidRPr="008C545D" w:rsidRDefault="004B07E4" w:rsidP="00C4288E">
      <w:pPr>
        <w:pStyle w:val="Heading1"/>
        <w:numPr>
          <w:ilvl w:val="1"/>
          <w:numId w:val="14"/>
        </w:numPr>
        <w:tabs>
          <w:tab w:val="num" w:pos="1200"/>
        </w:tabs>
        <w:jc w:val="both"/>
        <w:rPr>
          <w:b w:val="0"/>
          <w:noProof/>
        </w:rPr>
      </w:pPr>
      <w:bookmarkStart w:id="47" w:name="_Toc126870453"/>
      <w:bookmarkStart w:id="48" w:name="_Toc126873036"/>
      <w:bookmarkStart w:id="49" w:name="_Toc126916122"/>
      <w:bookmarkStart w:id="50" w:name="_Toc126916937"/>
      <w:bookmarkStart w:id="51" w:name="_Toc126919383"/>
      <w:bookmarkStart w:id="52" w:name="_Toc126919838"/>
      <w:bookmarkStart w:id="53" w:name="_Toc126928431"/>
      <w:bookmarkStart w:id="54" w:name="_Toc126930808"/>
      <w:r w:rsidRPr="00111652">
        <w:rPr>
          <w:noProof/>
        </w:rPr>
        <w:t>Efficiency of the policy options</w:t>
      </w:r>
      <w:bookmarkEnd w:id="47"/>
      <w:bookmarkEnd w:id="48"/>
      <w:bookmarkEnd w:id="49"/>
      <w:bookmarkEnd w:id="50"/>
      <w:bookmarkEnd w:id="51"/>
      <w:bookmarkEnd w:id="52"/>
      <w:bookmarkEnd w:id="53"/>
      <w:bookmarkEnd w:id="54"/>
    </w:p>
    <w:p w14:paraId="66BEABC1" w14:textId="77777777" w:rsidR="004B07E4" w:rsidRDefault="004B07E4" w:rsidP="00B66741">
      <w:pPr>
        <w:jc w:val="both"/>
        <w:rPr>
          <w:noProof/>
        </w:rPr>
      </w:pPr>
      <w:r>
        <w:rPr>
          <w:noProof/>
        </w:rPr>
        <w:t>This section analyses the efficiency of the various policy options based on the mapping of the impacts. The text below details the approach followed for each of the impacts separately and tables below shows the overview of the scoring for the efficiency criterion.</w:t>
      </w:r>
    </w:p>
    <w:p w14:paraId="0E8DFA6A" w14:textId="7E247052" w:rsidR="00715FE4" w:rsidRPr="00BD1B7A" w:rsidRDefault="00715FE4" w:rsidP="00BD1B7A">
      <w:pPr>
        <w:pStyle w:val="NormalWeb"/>
        <w:jc w:val="both"/>
        <w:rPr>
          <w:rFonts w:ascii="Verdana" w:hAnsi="Verdana"/>
          <w:noProof/>
          <w:sz w:val="20"/>
          <w:szCs w:val="20"/>
          <w:lang w:val="en-GB"/>
        </w:rPr>
      </w:pPr>
      <w:r w:rsidRPr="00BD1B7A">
        <w:rPr>
          <w:rFonts w:ascii="Verdana" w:hAnsi="Verdana"/>
          <w:noProof/>
          <w:sz w:val="20"/>
          <w:szCs w:val="20"/>
          <w:lang w:val="en-GB"/>
        </w:rPr>
        <w:t>In the absence of historical or predictive data on the take-up of a new EU-level corporate legal form</w:t>
      </w:r>
      <w:r w:rsidR="00EE23A1">
        <w:rPr>
          <w:rFonts w:ascii="Verdana" w:hAnsi="Verdana"/>
          <w:noProof/>
          <w:sz w:val="20"/>
          <w:szCs w:val="20"/>
          <w:lang w:val="en-GB"/>
        </w:rPr>
        <w:t xml:space="preserve"> designed for startups and scaleups</w:t>
      </w:r>
      <w:r w:rsidRPr="00BD1B7A">
        <w:rPr>
          <w:rFonts w:ascii="Verdana" w:hAnsi="Verdana"/>
          <w:noProof/>
          <w:sz w:val="20"/>
          <w:szCs w:val="20"/>
          <w:lang w:val="en-GB"/>
        </w:rPr>
        <w:t>, the estimates on the expected number of 28</w:t>
      </w:r>
      <w:r w:rsidRPr="0009552E">
        <w:rPr>
          <w:rFonts w:ascii="Verdana" w:hAnsi="Verdana"/>
          <w:noProof/>
          <w:sz w:val="20"/>
          <w:szCs w:val="20"/>
          <w:vertAlign w:val="superscript"/>
          <w:lang w:val="en-GB"/>
        </w:rPr>
        <w:t>th</w:t>
      </w:r>
      <w:r w:rsidRPr="00BD1B7A">
        <w:rPr>
          <w:rFonts w:ascii="Verdana" w:hAnsi="Verdana"/>
          <w:noProof/>
          <w:sz w:val="20"/>
          <w:szCs w:val="20"/>
          <w:lang w:val="en-GB"/>
        </w:rPr>
        <w:t xml:space="preserve"> regime companies are based on a </w:t>
      </w:r>
      <w:r w:rsidRPr="00BD1B7A">
        <w:rPr>
          <w:rStyle w:val="Strong"/>
          <w:rFonts w:ascii="Verdana" w:hAnsi="Verdana"/>
          <w:noProof/>
          <w:sz w:val="20"/>
          <w:szCs w:val="20"/>
          <w:lang w:val="en-GB"/>
        </w:rPr>
        <w:t>scenario-based and conservative analytical approach</w:t>
      </w:r>
      <w:r w:rsidRPr="00BD1B7A">
        <w:rPr>
          <w:rFonts w:ascii="Verdana" w:hAnsi="Verdana"/>
          <w:noProof/>
          <w:sz w:val="20"/>
          <w:szCs w:val="20"/>
          <w:lang w:val="en-GB"/>
        </w:rPr>
        <w:t>, in line with the Better Regulation Toolbox.</w:t>
      </w:r>
    </w:p>
    <w:p w14:paraId="6A89C563" w14:textId="5105BAAB" w:rsidR="008E4B96" w:rsidRDefault="008E4B96" w:rsidP="008E4B96">
      <w:pPr>
        <w:pStyle w:val="NormalWeb"/>
        <w:jc w:val="both"/>
        <w:rPr>
          <w:rFonts w:ascii="Verdana" w:hAnsi="Verdana"/>
          <w:noProof/>
          <w:sz w:val="20"/>
          <w:szCs w:val="20"/>
          <w:lang w:val="en-GB"/>
        </w:rPr>
      </w:pPr>
      <w:r w:rsidRPr="00BD1B7A">
        <w:rPr>
          <w:rFonts w:ascii="Verdana" w:hAnsi="Verdana"/>
          <w:noProof/>
          <w:sz w:val="20"/>
          <w:szCs w:val="20"/>
          <w:lang w:val="en-GB"/>
        </w:rPr>
        <w:t xml:space="preserve">The take-up assumptions are intended to establish a </w:t>
      </w:r>
      <w:r w:rsidRPr="00BD1B7A">
        <w:rPr>
          <w:rStyle w:val="Strong"/>
          <w:rFonts w:ascii="Verdana" w:hAnsi="Verdana"/>
          <w:b w:val="0"/>
          <w:noProof/>
          <w:sz w:val="20"/>
          <w:szCs w:val="20"/>
          <w:lang w:val="en-GB"/>
        </w:rPr>
        <w:t>plausible and proportionate analytical scenario which allows for comparative assessment of the policy options</w:t>
      </w:r>
      <w:r w:rsidRPr="00BD1B7A">
        <w:rPr>
          <w:rFonts w:ascii="Verdana" w:hAnsi="Verdana"/>
          <w:noProof/>
          <w:sz w:val="20"/>
          <w:szCs w:val="20"/>
          <w:lang w:val="en-GB"/>
        </w:rPr>
        <w:t xml:space="preserve">. The assumptions were derived by triangulating several sources of evidence and considerations, including: (i) the observed annual number of newly created private limited liability companies in the EU, which represent the legal form most commonly used by </w:t>
      </w:r>
      <w:r w:rsidRPr="469F4BC7">
        <w:rPr>
          <w:rFonts w:ascii="Verdana" w:hAnsi="Verdana"/>
          <w:noProof/>
          <w:sz w:val="20"/>
          <w:szCs w:val="20"/>
          <w:lang w:val="en-GB"/>
        </w:rPr>
        <w:t>s</w:t>
      </w:r>
      <w:r w:rsidR="10956D52" w:rsidRPr="469F4BC7">
        <w:rPr>
          <w:rFonts w:ascii="Verdana" w:hAnsi="Verdana"/>
          <w:noProof/>
          <w:sz w:val="20"/>
          <w:szCs w:val="20"/>
          <w:lang w:val="en-GB"/>
        </w:rPr>
        <w:t>tartup</w:t>
      </w:r>
      <w:r w:rsidRPr="469F4BC7">
        <w:rPr>
          <w:rFonts w:ascii="Verdana" w:hAnsi="Verdana"/>
          <w:noProof/>
          <w:sz w:val="20"/>
          <w:szCs w:val="20"/>
          <w:lang w:val="en-GB"/>
        </w:rPr>
        <w:t>s</w:t>
      </w:r>
      <w:r w:rsidRPr="00BD1B7A">
        <w:rPr>
          <w:rFonts w:ascii="Verdana" w:hAnsi="Verdana"/>
          <w:noProof/>
          <w:sz w:val="20"/>
          <w:szCs w:val="20"/>
          <w:lang w:val="en-GB"/>
        </w:rPr>
        <w:t>; (ii) qualitative evidence from the public consultation, targeted workshops and stakeholder initiatives indicating interest in an optional EU-level company form; and (iii) expert judgement on likely behavioural responses to an optional and non-mandatory legal framework.</w:t>
      </w:r>
      <w:r w:rsidR="00EA528E">
        <w:rPr>
          <w:rFonts w:ascii="Verdana" w:hAnsi="Verdana"/>
          <w:noProof/>
          <w:sz w:val="20"/>
          <w:szCs w:val="20"/>
          <w:lang w:val="en-GB"/>
        </w:rPr>
        <w:t xml:space="preserve"> </w:t>
      </w:r>
    </w:p>
    <w:p w14:paraId="16BB9E0D" w14:textId="52C67A78" w:rsidR="00BA01ED" w:rsidRDefault="00EA528E" w:rsidP="00B729FB">
      <w:pPr>
        <w:tabs>
          <w:tab w:val="left" w:pos="170"/>
        </w:tabs>
        <w:jc w:val="both"/>
        <w:rPr>
          <w:noProof/>
        </w:rPr>
      </w:pPr>
      <w:r>
        <w:rPr>
          <w:noProof/>
        </w:rPr>
        <w:t xml:space="preserve">In addition, as a response to the needs of startups and </w:t>
      </w:r>
      <w:r w:rsidRPr="00444816">
        <w:rPr>
          <w:noProof/>
        </w:rPr>
        <w:t>to promote the</w:t>
      </w:r>
      <w:r>
        <w:rPr>
          <w:noProof/>
        </w:rPr>
        <w:t>ir</w:t>
      </w:r>
      <w:r w:rsidRPr="00444816">
        <w:rPr>
          <w:noProof/>
        </w:rPr>
        <w:t xml:space="preserve"> growth, </w:t>
      </w:r>
      <w:r>
        <w:rPr>
          <w:noProof/>
        </w:rPr>
        <w:t xml:space="preserve">some </w:t>
      </w:r>
      <w:r w:rsidRPr="00444816">
        <w:rPr>
          <w:noProof/>
        </w:rPr>
        <w:t xml:space="preserve">Member States have undertaken reforms of their legal forms </w:t>
      </w:r>
      <w:r>
        <w:rPr>
          <w:noProof/>
        </w:rPr>
        <w:t>to</w:t>
      </w:r>
      <w:r w:rsidRPr="00444816">
        <w:rPr>
          <w:noProof/>
        </w:rPr>
        <w:t xml:space="preserve"> allow greater flexibility</w:t>
      </w:r>
      <w:r w:rsidRPr="006A3B4D">
        <w:rPr>
          <w:noProof/>
        </w:rPr>
        <w:t xml:space="preserve"> </w:t>
      </w:r>
      <w:r>
        <w:rPr>
          <w:noProof/>
        </w:rPr>
        <w:t xml:space="preserve">or </w:t>
      </w:r>
      <w:r w:rsidRPr="00444816">
        <w:rPr>
          <w:noProof/>
        </w:rPr>
        <w:t>introduced new simplified</w:t>
      </w:r>
      <w:r>
        <w:rPr>
          <w:noProof/>
        </w:rPr>
        <w:t xml:space="preserve"> legal</w:t>
      </w:r>
      <w:r w:rsidRPr="00444816">
        <w:rPr>
          <w:noProof/>
        </w:rPr>
        <w:t xml:space="preserve"> forms</w:t>
      </w:r>
      <w:r>
        <w:rPr>
          <w:noProof/>
        </w:rPr>
        <w:t xml:space="preserve">. Therefore, the uptake of simplified national legal forms in France, Germany and Greece was also specifically looked at. </w:t>
      </w:r>
      <w:r w:rsidR="00BA01ED">
        <w:rPr>
          <w:noProof/>
        </w:rPr>
        <w:t xml:space="preserve">While the take-up of simplified legal forms in the specific Member States showed a significantly higher growth rate compared to the overall net-growth of private limited liability companies in the respective Member States, the figures also showed that growth rates for these forms have been very different between MS, making them unreliable for predicting the uptake of an EU-wide harmonised legal form. In addition, the number of companies with the simplified form is included in the overall number of private limited companies and in some other Member States, there are no specific simplified legal forms, but the legal form for private limited liability companies </w:t>
      </w:r>
      <w:r w:rsidR="008A7BF7">
        <w:rPr>
          <w:noProof/>
        </w:rPr>
        <w:t>has been</w:t>
      </w:r>
      <w:r w:rsidR="00BA01ED">
        <w:rPr>
          <w:noProof/>
        </w:rPr>
        <w:t xml:space="preserve"> modernised (e.g. Finland). Therefore, the reference point for the estimated up-take of 28</w:t>
      </w:r>
      <w:r w:rsidR="00BA01ED" w:rsidRPr="32F53989">
        <w:rPr>
          <w:noProof/>
          <w:vertAlign w:val="superscript"/>
        </w:rPr>
        <w:t>th</w:t>
      </w:r>
      <w:r w:rsidR="00BA01ED">
        <w:rPr>
          <w:noProof/>
        </w:rPr>
        <w:t xml:space="preserve"> regime companies is the annual net-growth of all private limited liability companies in the EU.</w:t>
      </w:r>
    </w:p>
    <w:p w14:paraId="04564D28" w14:textId="77777777" w:rsidR="00FE5F1B" w:rsidRDefault="00FE5F1B" w:rsidP="00FE5F1B">
      <w:pPr>
        <w:tabs>
          <w:tab w:val="left" w:pos="170"/>
        </w:tabs>
        <w:jc w:val="both"/>
        <w:rPr>
          <w:noProof/>
        </w:rPr>
      </w:pPr>
      <w:r>
        <w:rPr>
          <w:noProof/>
          <w:szCs w:val="20"/>
          <w:lang w:val="en-US"/>
        </w:rPr>
        <w:t xml:space="preserve">The starting point is the total number of private limited liability companies (LLCs) in the EU in 2022 and 2025, based on reliable business register data from the Business Registers Interconnection System (BRIS). Between 2022 and 2025, the average net growth of LLCs in the EU was approximately 668 000 companies per year. The estimated take-up of the 28th regime legal form is based on two assumptions: that the average net growth of LLCs remains stable over the next 10 years and that the share of new 28th regime companies (the take-up) will be very low in the beginning and gradually increase over time: from 0.25% of new LLCs in year 1 to 10% of new LLCs in year 10. </w:t>
      </w:r>
      <w:r>
        <w:rPr>
          <w:noProof/>
        </w:rPr>
        <w:t>The assumed take-up rate reflects the optional nature of the 28th regime and gradual adoption over time as awareness about this new legal form increases and the benefits of a common corporate legal framework become more widely recognised. Lower initial uptake is assumed in the early years due to learning effects and path dependency, followed by a progressive increase as legal certainty improves and the regime is expected to gain credibility among founders, investors and intermediaries.</w:t>
      </w:r>
    </w:p>
    <w:p w14:paraId="1A5D42FD" w14:textId="0BDC36EF" w:rsidR="00B729FB" w:rsidRDefault="00B729FB" w:rsidP="00B729FB">
      <w:pPr>
        <w:tabs>
          <w:tab w:val="left" w:pos="170"/>
        </w:tabs>
        <w:jc w:val="both"/>
        <w:rPr>
          <w:noProof/>
          <w:lang w:val="en-US"/>
        </w:rPr>
      </w:pPr>
      <w:r>
        <w:rPr>
          <w:noProof/>
        </w:rPr>
        <w:t>The following take-up rates refer to the share of new 28</w:t>
      </w:r>
      <w:r w:rsidRPr="0009552E">
        <w:rPr>
          <w:noProof/>
          <w:vertAlign w:val="superscript"/>
        </w:rPr>
        <w:t>th</w:t>
      </w:r>
      <w:r>
        <w:rPr>
          <w:noProof/>
        </w:rPr>
        <w:t xml:space="preserve"> regime companies. This average annual net increase is used as a simplifying assumption for the purpose of estimating potential uptake, in line with the proportionality principle and in the absence of evidence suggesting a structural break in company formation trends over the assessment horizon. T</w:t>
      </w:r>
      <w:r w:rsidRPr="0B26F01A">
        <w:rPr>
          <w:noProof/>
          <w:lang w:val="en-US"/>
        </w:rPr>
        <w:t>he cumulative total number of newly formed 28</w:t>
      </w:r>
      <w:r w:rsidRPr="0B26F01A">
        <w:rPr>
          <w:noProof/>
          <w:vertAlign w:val="superscript"/>
          <w:lang w:val="en-US"/>
        </w:rPr>
        <w:t>th</w:t>
      </w:r>
      <w:r w:rsidRPr="0B26F01A">
        <w:rPr>
          <w:noProof/>
          <w:lang w:val="en-US"/>
        </w:rPr>
        <w:t xml:space="preserve"> regime companies over a period of 10 years is estimated at 300,000 (308,843)</w:t>
      </w:r>
      <w:r w:rsidR="0039530B">
        <w:rPr>
          <w:noProof/>
          <w:lang w:val="en-US"/>
        </w:rPr>
        <w:t>.</w:t>
      </w:r>
    </w:p>
    <w:p w14:paraId="013E6972" w14:textId="77777777" w:rsidR="00B729FB" w:rsidRDefault="00B729FB" w:rsidP="00B729FB">
      <w:pPr>
        <w:tabs>
          <w:tab w:val="left" w:pos="170"/>
        </w:tabs>
        <w:jc w:val="both"/>
        <w:rPr>
          <w:noProof/>
        </w:rPr>
      </w:pPr>
    </w:p>
    <w:tbl>
      <w:tblPr>
        <w:tblW w:w="5103" w:type="dxa"/>
        <w:jc w:val="center"/>
        <w:tblLook w:val="04A0" w:firstRow="1" w:lastRow="0" w:firstColumn="1" w:lastColumn="0" w:noHBand="0" w:noVBand="1"/>
      </w:tblPr>
      <w:tblGrid>
        <w:gridCol w:w="1798"/>
        <w:gridCol w:w="1614"/>
        <w:gridCol w:w="1691"/>
      </w:tblGrid>
      <w:tr w:rsidR="00B729FB" w:rsidRPr="009C57DC" w14:paraId="1FB00080" w14:textId="77777777">
        <w:trPr>
          <w:trHeight w:val="843"/>
          <w:jc w:val="center"/>
        </w:trPr>
        <w:tc>
          <w:tcPr>
            <w:tcW w:w="1798" w:type="dxa"/>
            <w:tcBorders>
              <w:top w:val="single" w:sz="4" w:space="0" w:color="auto"/>
              <w:left w:val="single" w:sz="4" w:space="0" w:color="auto"/>
              <w:bottom w:val="single" w:sz="4" w:space="0" w:color="auto"/>
              <w:right w:val="single" w:sz="4" w:space="0" w:color="auto"/>
            </w:tcBorders>
            <w:vAlign w:val="center"/>
            <w:hideMark/>
          </w:tcPr>
          <w:p w14:paraId="06DFAC12" w14:textId="77777777" w:rsidR="00B729FB" w:rsidRPr="009C57DC" w:rsidRDefault="00B729FB">
            <w:pPr>
              <w:spacing w:after="0"/>
              <w:jc w:val="center"/>
              <w:rPr>
                <w:rFonts w:ascii="Aptos Narrow" w:eastAsia="Times New Roman" w:hAnsi="Aptos Narrow"/>
                <w:b/>
                <w:bCs/>
                <w:noProof/>
                <w:color w:val="000000"/>
                <w:sz w:val="22"/>
                <w:lang w:val="en-IE" w:eastAsia="en-IE"/>
              </w:rPr>
            </w:pPr>
            <w:r w:rsidRPr="009C57DC">
              <w:rPr>
                <w:rFonts w:ascii="Aptos Narrow" w:eastAsia="Times New Roman" w:hAnsi="Aptos Narrow"/>
                <w:b/>
                <w:bCs/>
                <w:noProof/>
                <w:color w:val="000000"/>
                <w:sz w:val="22"/>
                <w:lang w:val="en-IE" w:eastAsia="en-IE"/>
              </w:rPr>
              <w:t>Year</w:t>
            </w:r>
          </w:p>
        </w:tc>
        <w:tc>
          <w:tcPr>
            <w:tcW w:w="1614" w:type="dxa"/>
            <w:tcBorders>
              <w:top w:val="single" w:sz="4" w:space="0" w:color="auto"/>
              <w:left w:val="single" w:sz="4" w:space="0" w:color="auto"/>
              <w:bottom w:val="single" w:sz="4" w:space="0" w:color="auto"/>
              <w:right w:val="single" w:sz="4" w:space="0" w:color="auto"/>
            </w:tcBorders>
            <w:vAlign w:val="center"/>
            <w:hideMark/>
          </w:tcPr>
          <w:p w14:paraId="4DD8DEF1" w14:textId="77777777" w:rsidR="00B729FB" w:rsidRPr="009C57DC" w:rsidRDefault="00B729FB">
            <w:pPr>
              <w:spacing w:after="0"/>
              <w:jc w:val="center"/>
              <w:rPr>
                <w:rFonts w:ascii="Aptos Narrow" w:eastAsia="Times New Roman" w:hAnsi="Aptos Narrow"/>
                <w:b/>
                <w:bCs/>
                <w:noProof/>
                <w:color w:val="000000"/>
                <w:sz w:val="22"/>
                <w:lang w:val="en-IE" w:eastAsia="en-IE"/>
              </w:rPr>
            </w:pPr>
            <w:r w:rsidRPr="009C57DC">
              <w:rPr>
                <w:rFonts w:ascii="Aptos Narrow" w:eastAsia="Times New Roman" w:hAnsi="Aptos Narrow"/>
                <w:b/>
                <w:bCs/>
                <w:noProof/>
                <w:color w:val="000000"/>
                <w:sz w:val="22"/>
                <w:lang w:val="en-IE" w:eastAsia="en-IE"/>
              </w:rPr>
              <w:t>Take-up rate</w:t>
            </w:r>
            <w:r>
              <w:rPr>
                <w:rFonts w:ascii="Aptos Narrow" w:eastAsia="Times New Roman" w:hAnsi="Aptos Narrow"/>
                <w:b/>
                <w:bCs/>
                <w:noProof/>
                <w:color w:val="000000"/>
                <w:sz w:val="22"/>
                <w:lang w:val="en-IE" w:eastAsia="en-IE"/>
              </w:rPr>
              <w:t xml:space="preserve"> 28</w:t>
            </w:r>
            <w:r w:rsidRPr="00DF73A5">
              <w:rPr>
                <w:rFonts w:ascii="Aptos Narrow" w:eastAsia="Times New Roman" w:hAnsi="Aptos Narrow"/>
                <w:b/>
                <w:bCs/>
                <w:noProof/>
                <w:color w:val="000000"/>
                <w:sz w:val="22"/>
                <w:vertAlign w:val="superscript"/>
                <w:lang w:val="en-IE" w:eastAsia="en-IE"/>
              </w:rPr>
              <w:t>th</w:t>
            </w:r>
            <w:r>
              <w:rPr>
                <w:rFonts w:ascii="Aptos Narrow" w:eastAsia="Times New Roman" w:hAnsi="Aptos Narrow"/>
                <w:b/>
                <w:bCs/>
                <w:noProof/>
                <w:color w:val="000000"/>
                <w:sz w:val="22"/>
                <w:lang w:val="en-IE" w:eastAsia="en-IE"/>
              </w:rPr>
              <w:t xml:space="preserve"> regime legal form (out of 668,000 private LLCs created each year)  </w:t>
            </w:r>
          </w:p>
        </w:tc>
        <w:tc>
          <w:tcPr>
            <w:tcW w:w="1691" w:type="dxa"/>
            <w:tcBorders>
              <w:top w:val="single" w:sz="4" w:space="0" w:color="auto"/>
              <w:left w:val="single" w:sz="4" w:space="0" w:color="auto"/>
              <w:bottom w:val="single" w:sz="4" w:space="0" w:color="auto"/>
              <w:right w:val="single" w:sz="4" w:space="0" w:color="auto"/>
            </w:tcBorders>
            <w:vAlign w:val="center"/>
            <w:hideMark/>
          </w:tcPr>
          <w:p w14:paraId="13EDAA6E" w14:textId="77777777" w:rsidR="00B729FB" w:rsidRPr="00681384" w:rsidRDefault="00B729FB">
            <w:pPr>
              <w:spacing w:after="0"/>
              <w:jc w:val="center"/>
              <w:rPr>
                <w:rFonts w:ascii="Aptos Narrow" w:eastAsia="Times New Roman" w:hAnsi="Aptos Narrow"/>
                <w:b/>
                <w:bCs/>
                <w:noProof/>
                <w:color w:val="000000"/>
                <w:sz w:val="22"/>
                <w:lang w:val="en-IE" w:eastAsia="en-IE"/>
              </w:rPr>
            </w:pPr>
            <w:r w:rsidRPr="001C2842">
              <w:rPr>
                <w:rFonts w:ascii="Aptos Narrow" w:eastAsia="Times New Roman" w:hAnsi="Aptos Narrow"/>
                <w:b/>
                <w:bCs/>
                <w:noProof/>
                <w:color w:val="000000"/>
                <w:sz w:val="22"/>
                <w:lang w:val="en-IE" w:eastAsia="en-IE"/>
              </w:rPr>
              <w:t>New 28</w:t>
            </w:r>
            <w:r w:rsidRPr="001C2842">
              <w:rPr>
                <w:rFonts w:ascii="Aptos Narrow" w:eastAsia="Times New Roman" w:hAnsi="Aptos Narrow"/>
                <w:b/>
                <w:bCs/>
                <w:noProof/>
                <w:color w:val="000000"/>
                <w:sz w:val="22"/>
                <w:vertAlign w:val="superscript"/>
                <w:lang w:val="en-IE" w:eastAsia="en-IE"/>
              </w:rPr>
              <w:t>th</w:t>
            </w:r>
            <w:r w:rsidRPr="001C2842">
              <w:rPr>
                <w:rFonts w:ascii="Aptos Narrow" w:eastAsia="Times New Roman" w:hAnsi="Aptos Narrow"/>
                <w:b/>
                <w:bCs/>
                <w:noProof/>
                <w:color w:val="000000"/>
                <w:sz w:val="22"/>
                <w:lang w:val="en-IE" w:eastAsia="en-IE"/>
              </w:rPr>
              <w:t xml:space="preserve"> regime compan</w:t>
            </w:r>
            <w:r>
              <w:rPr>
                <w:rFonts w:ascii="Aptos Narrow" w:eastAsia="Times New Roman" w:hAnsi="Aptos Narrow"/>
                <w:b/>
                <w:bCs/>
                <w:noProof/>
                <w:color w:val="000000"/>
                <w:sz w:val="22"/>
                <w:lang w:val="en-IE" w:eastAsia="en-IE"/>
              </w:rPr>
              <w:t>ies</w:t>
            </w:r>
          </w:p>
        </w:tc>
      </w:tr>
      <w:tr w:rsidR="00B729FB" w:rsidRPr="009C57DC" w14:paraId="6365944D" w14:textId="77777777">
        <w:trPr>
          <w:trHeight w:val="300"/>
          <w:jc w:val="center"/>
        </w:trPr>
        <w:tc>
          <w:tcPr>
            <w:tcW w:w="1798" w:type="dxa"/>
            <w:tcBorders>
              <w:top w:val="single" w:sz="4" w:space="0" w:color="auto"/>
              <w:left w:val="single" w:sz="8" w:space="0" w:color="auto"/>
              <w:bottom w:val="single" w:sz="8" w:space="0" w:color="auto"/>
              <w:right w:val="single" w:sz="8" w:space="0" w:color="auto"/>
            </w:tcBorders>
            <w:vAlign w:val="center"/>
            <w:hideMark/>
          </w:tcPr>
          <w:p w14:paraId="3E0FED5E"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1</w:t>
            </w:r>
          </w:p>
        </w:tc>
        <w:tc>
          <w:tcPr>
            <w:tcW w:w="1614" w:type="dxa"/>
            <w:tcBorders>
              <w:top w:val="single" w:sz="4" w:space="0" w:color="auto"/>
              <w:left w:val="nil"/>
              <w:bottom w:val="single" w:sz="8" w:space="0" w:color="auto"/>
              <w:right w:val="single" w:sz="8" w:space="0" w:color="auto"/>
            </w:tcBorders>
            <w:vAlign w:val="center"/>
            <w:hideMark/>
          </w:tcPr>
          <w:p w14:paraId="0411F1D7"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0.25%</w:t>
            </w:r>
          </w:p>
        </w:tc>
        <w:tc>
          <w:tcPr>
            <w:tcW w:w="1691" w:type="dxa"/>
            <w:tcBorders>
              <w:top w:val="single" w:sz="4" w:space="0" w:color="auto"/>
              <w:left w:val="nil"/>
              <w:bottom w:val="single" w:sz="8" w:space="0" w:color="auto"/>
              <w:right w:val="single" w:sz="8" w:space="0" w:color="auto"/>
            </w:tcBorders>
            <w:noWrap/>
            <w:vAlign w:val="center"/>
            <w:hideMark/>
          </w:tcPr>
          <w:p w14:paraId="3F776B8B"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1,669</w:t>
            </w:r>
          </w:p>
        </w:tc>
      </w:tr>
      <w:tr w:rsidR="00B729FB" w:rsidRPr="009C57DC" w14:paraId="70488939" w14:textId="77777777">
        <w:trPr>
          <w:trHeight w:val="300"/>
          <w:jc w:val="center"/>
        </w:trPr>
        <w:tc>
          <w:tcPr>
            <w:tcW w:w="1798" w:type="dxa"/>
            <w:tcBorders>
              <w:top w:val="nil"/>
              <w:left w:val="single" w:sz="8" w:space="0" w:color="auto"/>
              <w:bottom w:val="single" w:sz="8" w:space="0" w:color="auto"/>
              <w:right w:val="single" w:sz="8" w:space="0" w:color="auto"/>
            </w:tcBorders>
            <w:vAlign w:val="center"/>
            <w:hideMark/>
          </w:tcPr>
          <w:p w14:paraId="4AF741E3"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2</w:t>
            </w:r>
          </w:p>
        </w:tc>
        <w:tc>
          <w:tcPr>
            <w:tcW w:w="1614" w:type="dxa"/>
            <w:tcBorders>
              <w:top w:val="nil"/>
              <w:left w:val="nil"/>
              <w:bottom w:val="single" w:sz="8" w:space="0" w:color="auto"/>
              <w:right w:val="single" w:sz="8" w:space="0" w:color="auto"/>
            </w:tcBorders>
            <w:vAlign w:val="center"/>
            <w:hideMark/>
          </w:tcPr>
          <w:p w14:paraId="0AA77B3C"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1.00%</w:t>
            </w:r>
          </w:p>
        </w:tc>
        <w:tc>
          <w:tcPr>
            <w:tcW w:w="1691" w:type="dxa"/>
            <w:tcBorders>
              <w:top w:val="nil"/>
              <w:left w:val="nil"/>
              <w:bottom w:val="single" w:sz="8" w:space="0" w:color="auto"/>
              <w:right w:val="single" w:sz="8" w:space="0" w:color="auto"/>
            </w:tcBorders>
            <w:noWrap/>
            <w:vAlign w:val="center"/>
            <w:hideMark/>
          </w:tcPr>
          <w:p w14:paraId="562F5123"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6,678</w:t>
            </w:r>
          </w:p>
        </w:tc>
      </w:tr>
      <w:tr w:rsidR="00B729FB" w:rsidRPr="009C57DC" w14:paraId="75151C99" w14:textId="77777777">
        <w:trPr>
          <w:trHeight w:val="300"/>
          <w:jc w:val="center"/>
        </w:trPr>
        <w:tc>
          <w:tcPr>
            <w:tcW w:w="1798" w:type="dxa"/>
            <w:tcBorders>
              <w:top w:val="nil"/>
              <w:left w:val="single" w:sz="8" w:space="0" w:color="auto"/>
              <w:bottom w:val="single" w:sz="8" w:space="0" w:color="auto"/>
              <w:right w:val="single" w:sz="8" w:space="0" w:color="auto"/>
            </w:tcBorders>
            <w:vAlign w:val="center"/>
            <w:hideMark/>
          </w:tcPr>
          <w:p w14:paraId="29C543EC"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3</w:t>
            </w:r>
          </w:p>
        </w:tc>
        <w:tc>
          <w:tcPr>
            <w:tcW w:w="1614" w:type="dxa"/>
            <w:tcBorders>
              <w:top w:val="nil"/>
              <w:left w:val="nil"/>
              <w:bottom w:val="single" w:sz="8" w:space="0" w:color="auto"/>
              <w:right w:val="single" w:sz="8" w:space="0" w:color="auto"/>
            </w:tcBorders>
            <w:vAlign w:val="center"/>
            <w:hideMark/>
          </w:tcPr>
          <w:p w14:paraId="0FCB8416"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2.00%</w:t>
            </w:r>
          </w:p>
        </w:tc>
        <w:tc>
          <w:tcPr>
            <w:tcW w:w="1691" w:type="dxa"/>
            <w:tcBorders>
              <w:top w:val="nil"/>
              <w:left w:val="nil"/>
              <w:bottom w:val="single" w:sz="8" w:space="0" w:color="auto"/>
              <w:right w:val="single" w:sz="8" w:space="0" w:color="auto"/>
            </w:tcBorders>
            <w:noWrap/>
            <w:vAlign w:val="center"/>
            <w:hideMark/>
          </w:tcPr>
          <w:p w14:paraId="0D97012F"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13,355</w:t>
            </w:r>
          </w:p>
        </w:tc>
      </w:tr>
      <w:tr w:rsidR="00B729FB" w:rsidRPr="009C57DC" w14:paraId="01914EFB" w14:textId="77777777">
        <w:trPr>
          <w:trHeight w:val="300"/>
          <w:jc w:val="center"/>
        </w:trPr>
        <w:tc>
          <w:tcPr>
            <w:tcW w:w="1798" w:type="dxa"/>
            <w:tcBorders>
              <w:top w:val="nil"/>
              <w:left w:val="single" w:sz="8" w:space="0" w:color="auto"/>
              <w:bottom w:val="single" w:sz="8" w:space="0" w:color="auto"/>
              <w:right w:val="single" w:sz="8" w:space="0" w:color="auto"/>
            </w:tcBorders>
            <w:vAlign w:val="center"/>
            <w:hideMark/>
          </w:tcPr>
          <w:p w14:paraId="45F70015"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4</w:t>
            </w:r>
          </w:p>
        </w:tc>
        <w:tc>
          <w:tcPr>
            <w:tcW w:w="1614" w:type="dxa"/>
            <w:tcBorders>
              <w:top w:val="nil"/>
              <w:left w:val="nil"/>
              <w:bottom w:val="single" w:sz="8" w:space="0" w:color="auto"/>
              <w:right w:val="single" w:sz="8" w:space="0" w:color="auto"/>
            </w:tcBorders>
            <w:vAlign w:val="center"/>
            <w:hideMark/>
          </w:tcPr>
          <w:p w14:paraId="2FCB120D"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3.00%</w:t>
            </w:r>
          </w:p>
        </w:tc>
        <w:tc>
          <w:tcPr>
            <w:tcW w:w="1691" w:type="dxa"/>
            <w:tcBorders>
              <w:top w:val="nil"/>
              <w:left w:val="nil"/>
              <w:bottom w:val="single" w:sz="8" w:space="0" w:color="auto"/>
              <w:right w:val="single" w:sz="8" w:space="0" w:color="auto"/>
            </w:tcBorders>
            <w:noWrap/>
            <w:vAlign w:val="center"/>
            <w:hideMark/>
          </w:tcPr>
          <w:p w14:paraId="1C805032"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20,033</w:t>
            </w:r>
          </w:p>
        </w:tc>
      </w:tr>
      <w:tr w:rsidR="00B729FB" w:rsidRPr="009C57DC" w14:paraId="5D616D7B" w14:textId="77777777">
        <w:trPr>
          <w:trHeight w:val="300"/>
          <w:jc w:val="center"/>
        </w:trPr>
        <w:tc>
          <w:tcPr>
            <w:tcW w:w="1798" w:type="dxa"/>
            <w:tcBorders>
              <w:top w:val="nil"/>
              <w:left w:val="single" w:sz="8" w:space="0" w:color="auto"/>
              <w:bottom w:val="single" w:sz="8" w:space="0" w:color="auto"/>
              <w:right w:val="single" w:sz="8" w:space="0" w:color="auto"/>
            </w:tcBorders>
            <w:vAlign w:val="center"/>
            <w:hideMark/>
          </w:tcPr>
          <w:p w14:paraId="3E8FAB3B"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5</w:t>
            </w:r>
          </w:p>
        </w:tc>
        <w:tc>
          <w:tcPr>
            <w:tcW w:w="1614" w:type="dxa"/>
            <w:tcBorders>
              <w:top w:val="nil"/>
              <w:left w:val="nil"/>
              <w:bottom w:val="single" w:sz="8" w:space="0" w:color="auto"/>
              <w:right w:val="single" w:sz="8" w:space="0" w:color="auto"/>
            </w:tcBorders>
            <w:vAlign w:val="center"/>
            <w:hideMark/>
          </w:tcPr>
          <w:p w14:paraId="28A8CB2E"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4.00%</w:t>
            </w:r>
          </w:p>
        </w:tc>
        <w:tc>
          <w:tcPr>
            <w:tcW w:w="1691" w:type="dxa"/>
            <w:tcBorders>
              <w:top w:val="nil"/>
              <w:left w:val="nil"/>
              <w:bottom w:val="single" w:sz="8" w:space="0" w:color="auto"/>
              <w:right w:val="single" w:sz="8" w:space="0" w:color="auto"/>
            </w:tcBorders>
            <w:noWrap/>
            <w:vAlign w:val="center"/>
            <w:hideMark/>
          </w:tcPr>
          <w:p w14:paraId="6E87735B"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26,711</w:t>
            </w:r>
          </w:p>
        </w:tc>
      </w:tr>
      <w:tr w:rsidR="00B729FB" w:rsidRPr="009C57DC" w14:paraId="641F9169" w14:textId="77777777">
        <w:trPr>
          <w:trHeight w:val="300"/>
          <w:jc w:val="center"/>
        </w:trPr>
        <w:tc>
          <w:tcPr>
            <w:tcW w:w="1798" w:type="dxa"/>
            <w:tcBorders>
              <w:top w:val="nil"/>
              <w:left w:val="single" w:sz="8" w:space="0" w:color="auto"/>
              <w:bottom w:val="single" w:sz="8" w:space="0" w:color="auto"/>
              <w:right w:val="single" w:sz="8" w:space="0" w:color="auto"/>
            </w:tcBorders>
            <w:vAlign w:val="center"/>
            <w:hideMark/>
          </w:tcPr>
          <w:p w14:paraId="7DB1F899"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6</w:t>
            </w:r>
          </w:p>
        </w:tc>
        <w:tc>
          <w:tcPr>
            <w:tcW w:w="1614" w:type="dxa"/>
            <w:tcBorders>
              <w:top w:val="nil"/>
              <w:left w:val="nil"/>
              <w:bottom w:val="single" w:sz="8" w:space="0" w:color="auto"/>
              <w:right w:val="single" w:sz="8" w:space="0" w:color="auto"/>
            </w:tcBorders>
            <w:vAlign w:val="center"/>
            <w:hideMark/>
          </w:tcPr>
          <w:p w14:paraId="2F9AFB85"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5.00%</w:t>
            </w:r>
          </w:p>
        </w:tc>
        <w:tc>
          <w:tcPr>
            <w:tcW w:w="1691" w:type="dxa"/>
            <w:tcBorders>
              <w:top w:val="nil"/>
              <w:left w:val="nil"/>
              <w:bottom w:val="single" w:sz="8" w:space="0" w:color="auto"/>
              <w:right w:val="single" w:sz="8" w:space="0" w:color="auto"/>
            </w:tcBorders>
            <w:noWrap/>
            <w:vAlign w:val="center"/>
            <w:hideMark/>
          </w:tcPr>
          <w:p w14:paraId="67AFF38F"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33,388</w:t>
            </w:r>
          </w:p>
        </w:tc>
      </w:tr>
      <w:tr w:rsidR="00B729FB" w:rsidRPr="009C57DC" w14:paraId="26C89987" w14:textId="77777777">
        <w:trPr>
          <w:trHeight w:val="300"/>
          <w:jc w:val="center"/>
        </w:trPr>
        <w:tc>
          <w:tcPr>
            <w:tcW w:w="1798" w:type="dxa"/>
            <w:tcBorders>
              <w:top w:val="nil"/>
              <w:left w:val="single" w:sz="8" w:space="0" w:color="auto"/>
              <w:bottom w:val="single" w:sz="8" w:space="0" w:color="auto"/>
              <w:right w:val="single" w:sz="8" w:space="0" w:color="auto"/>
            </w:tcBorders>
            <w:vAlign w:val="center"/>
            <w:hideMark/>
          </w:tcPr>
          <w:p w14:paraId="2A1A4888"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7</w:t>
            </w:r>
          </w:p>
        </w:tc>
        <w:tc>
          <w:tcPr>
            <w:tcW w:w="1614" w:type="dxa"/>
            <w:tcBorders>
              <w:top w:val="nil"/>
              <w:left w:val="nil"/>
              <w:bottom w:val="single" w:sz="8" w:space="0" w:color="auto"/>
              <w:right w:val="single" w:sz="8" w:space="0" w:color="auto"/>
            </w:tcBorders>
            <w:vAlign w:val="center"/>
            <w:hideMark/>
          </w:tcPr>
          <w:p w14:paraId="4D5D45A6"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6.00%</w:t>
            </w:r>
          </w:p>
        </w:tc>
        <w:tc>
          <w:tcPr>
            <w:tcW w:w="1691" w:type="dxa"/>
            <w:tcBorders>
              <w:top w:val="nil"/>
              <w:left w:val="nil"/>
              <w:bottom w:val="single" w:sz="8" w:space="0" w:color="auto"/>
              <w:right w:val="single" w:sz="8" w:space="0" w:color="auto"/>
            </w:tcBorders>
            <w:noWrap/>
            <w:vAlign w:val="center"/>
            <w:hideMark/>
          </w:tcPr>
          <w:p w14:paraId="0E45CCA5"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40,066</w:t>
            </w:r>
          </w:p>
        </w:tc>
      </w:tr>
      <w:tr w:rsidR="00B729FB" w:rsidRPr="009C57DC" w14:paraId="754B6C62" w14:textId="77777777">
        <w:trPr>
          <w:trHeight w:val="300"/>
          <w:jc w:val="center"/>
        </w:trPr>
        <w:tc>
          <w:tcPr>
            <w:tcW w:w="1798" w:type="dxa"/>
            <w:tcBorders>
              <w:top w:val="nil"/>
              <w:left w:val="single" w:sz="8" w:space="0" w:color="auto"/>
              <w:bottom w:val="single" w:sz="8" w:space="0" w:color="auto"/>
              <w:right w:val="single" w:sz="8" w:space="0" w:color="auto"/>
            </w:tcBorders>
            <w:vAlign w:val="center"/>
            <w:hideMark/>
          </w:tcPr>
          <w:p w14:paraId="78B6A3BC"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8</w:t>
            </w:r>
          </w:p>
        </w:tc>
        <w:tc>
          <w:tcPr>
            <w:tcW w:w="1614" w:type="dxa"/>
            <w:tcBorders>
              <w:top w:val="nil"/>
              <w:left w:val="nil"/>
              <w:bottom w:val="single" w:sz="8" w:space="0" w:color="auto"/>
              <w:right w:val="single" w:sz="8" w:space="0" w:color="auto"/>
            </w:tcBorders>
            <w:vAlign w:val="center"/>
            <w:hideMark/>
          </w:tcPr>
          <w:p w14:paraId="11B45F62"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7.00%</w:t>
            </w:r>
          </w:p>
        </w:tc>
        <w:tc>
          <w:tcPr>
            <w:tcW w:w="1691" w:type="dxa"/>
            <w:tcBorders>
              <w:top w:val="nil"/>
              <w:left w:val="nil"/>
              <w:bottom w:val="single" w:sz="8" w:space="0" w:color="auto"/>
              <w:right w:val="single" w:sz="8" w:space="0" w:color="auto"/>
            </w:tcBorders>
            <w:noWrap/>
            <w:vAlign w:val="center"/>
            <w:hideMark/>
          </w:tcPr>
          <w:p w14:paraId="4FBBDE49"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46,744</w:t>
            </w:r>
          </w:p>
        </w:tc>
      </w:tr>
      <w:tr w:rsidR="00B729FB" w:rsidRPr="009C57DC" w14:paraId="2599E125" w14:textId="77777777">
        <w:trPr>
          <w:trHeight w:val="300"/>
          <w:jc w:val="center"/>
        </w:trPr>
        <w:tc>
          <w:tcPr>
            <w:tcW w:w="1798" w:type="dxa"/>
            <w:tcBorders>
              <w:top w:val="nil"/>
              <w:left w:val="single" w:sz="8" w:space="0" w:color="auto"/>
              <w:bottom w:val="single" w:sz="8" w:space="0" w:color="auto"/>
              <w:right w:val="single" w:sz="8" w:space="0" w:color="auto"/>
            </w:tcBorders>
            <w:vAlign w:val="center"/>
            <w:hideMark/>
          </w:tcPr>
          <w:p w14:paraId="6989F1F2"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9</w:t>
            </w:r>
          </w:p>
        </w:tc>
        <w:tc>
          <w:tcPr>
            <w:tcW w:w="1614" w:type="dxa"/>
            <w:tcBorders>
              <w:top w:val="nil"/>
              <w:left w:val="nil"/>
              <w:bottom w:val="single" w:sz="8" w:space="0" w:color="auto"/>
              <w:right w:val="single" w:sz="8" w:space="0" w:color="auto"/>
            </w:tcBorders>
            <w:vAlign w:val="center"/>
            <w:hideMark/>
          </w:tcPr>
          <w:p w14:paraId="6C13C4FA"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8.00%</w:t>
            </w:r>
          </w:p>
        </w:tc>
        <w:tc>
          <w:tcPr>
            <w:tcW w:w="1691" w:type="dxa"/>
            <w:tcBorders>
              <w:top w:val="nil"/>
              <w:left w:val="nil"/>
              <w:bottom w:val="single" w:sz="8" w:space="0" w:color="auto"/>
              <w:right w:val="single" w:sz="8" w:space="0" w:color="auto"/>
            </w:tcBorders>
            <w:noWrap/>
            <w:vAlign w:val="center"/>
            <w:hideMark/>
          </w:tcPr>
          <w:p w14:paraId="4D789285"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53,421</w:t>
            </w:r>
          </w:p>
        </w:tc>
      </w:tr>
      <w:tr w:rsidR="00B729FB" w:rsidRPr="009C57DC" w14:paraId="7D1F3B26" w14:textId="77777777">
        <w:trPr>
          <w:trHeight w:val="300"/>
          <w:jc w:val="center"/>
        </w:trPr>
        <w:tc>
          <w:tcPr>
            <w:tcW w:w="1798" w:type="dxa"/>
            <w:tcBorders>
              <w:top w:val="single" w:sz="8" w:space="0" w:color="auto"/>
              <w:left w:val="single" w:sz="8" w:space="0" w:color="auto"/>
              <w:bottom w:val="single" w:sz="8" w:space="0" w:color="auto"/>
              <w:right w:val="single" w:sz="8" w:space="0" w:color="auto"/>
            </w:tcBorders>
            <w:vAlign w:val="center"/>
            <w:hideMark/>
          </w:tcPr>
          <w:p w14:paraId="1B5F0057"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10</w:t>
            </w:r>
          </w:p>
        </w:tc>
        <w:tc>
          <w:tcPr>
            <w:tcW w:w="1614" w:type="dxa"/>
            <w:tcBorders>
              <w:top w:val="single" w:sz="8" w:space="0" w:color="auto"/>
              <w:left w:val="nil"/>
              <w:bottom w:val="single" w:sz="8" w:space="0" w:color="auto"/>
              <w:right w:val="single" w:sz="8" w:space="0" w:color="auto"/>
            </w:tcBorders>
            <w:vAlign w:val="center"/>
            <w:hideMark/>
          </w:tcPr>
          <w:p w14:paraId="269CD06A"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10.00%</w:t>
            </w:r>
          </w:p>
        </w:tc>
        <w:tc>
          <w:tcPr>
            <w:tcW w:w="1691" w:type="dxa"/>
            <w:tcBorders>
              <w:top w:val="single" w:sz="8" w:space="0" w:color="auto"/>
              <w:left w:val="nil"/>
              <w:bottom w:val="single" w:sz="8" w:space="0" w:color="auto"/>
              <w:right w:val="single" w:sz="8" w:space="0" w:color="auto"/>
            </w:tcBorders>
            <w:noWrap/>
            <w:vAlign w:val="center"/>
            <w:hideMark/>
          </w:tcPr>
          <w:p w14:paraId="68F43EEF" w14:textId="77777777" w:rsidR="00B729FB" w:rsidRPr="009C57DC" w:rsidRDefault="00B729FB">
            <w:pPr>
              <w:spacing w:after="0"/>
              <w:jc w:val="center"/>
              <w:rPr>
                <w:rFonts w:ascii="Aptos Narrow" w:eastAsia="Times New Roman" w:hAnsi="Aptos Narrow"/>
                <w:noProof/>
                <w:color w:val="000000"/>
                <w:sz w:val="22"/>
                <w:lang w:val="en-IE" w:eastAsia="en-IE"/>
              </w:rPr>
            </w:pPr>
            <w:r w:rsidRPr="009C57DC">
              <w:rPr>
                <w:rFonts w:ascii="Aptos Narrow" w:eastAsia="Times New Roman" w:hAnsi="Aptos Narrow"/>
                <w:noProof/>
                <w:color w:val="000000"/>
                <w:sz w:val="22"/>
                <w:lang w:val="en-IE" w:eastAsia="en-IE"/>
              </w:rPr>
              <w:t>66,777</w:t>
            </w:r>
          </w:p>
        </w:tc>
      </w:tr>
      <w:tr w:rsidR="00B729FB" w:rsidRPr="009C57DC" w14:paraId="5855AD35" w14:textId="77777777" w:rsidTr="00B729FB">
        <w:trPr>
          <w:trHeight w:val="454"/>
          <w:jc w:val="center"/>
        </w:trPr>
        <w:tc>
          <w:tcPr>
            <w:tcW w:w="1798" w:type="dxa"/>
            <w:tcBorders>
              <w:top w:val="single" w:sz="8" w:space="0" w:color="auto"/>
              <w:left w:val="single" w:sz="8" w:space="0" w:color="auto"/>
              <w:bottom w:val="single" w:sz="8" w:space="0" w:color="auto"/>
              <w:right w:val="single" w:sz="8" w:space="0" w:color="auto"/>
            </w:tcBorders>
            <w:vAlign w:val="center"/>
          </w:tcPr>
          <w:p w14:paraId="0A75822A" w14:textId="77777777" w:rsidR="00B729FB" w:rsidRDefault="00B729FB">
            <w:pPr>
              <w:spacing w:after="0"/>
              <w:jc w:val="center"/>
              <w:rPr>
                <w:rFonts w:ascii="Aptos Narrow" w:eastAsia="Times New Roman" w:hAnsi="Aptos Narrow"/>
                <w:noProof/>
                <w:color w:val="000000"/>
                <w:sz w:val="22"/>
                <w:lang w:val="en-IE" w:eastAsia="en-IE"/>
              </w:rPr>
            </w:pPr>
          </w:p>
          <w:p w14:paraId="09972D32" w14:textId="41ADAC24" w:rsidR="00B729FB" w:rsidRDefault="00B729FB">
            <w:pPr>
              <w:spacing w:after="0"/>
              <w:jc w:val="center"/>
              <w:rPr>
                <w:rFonts w:ascii="Aptos Narrow" w:eastAsia="Times New Roman" w:hAnsi="Aptos Narrow"/>
                <w:noProof/>
                <w:color w:val="000000"/>
                <w:sz w:val="22"/>
                <w:lang w:val="en-IE" w:eastAsia="en-IE"/>
              </w:rPr>
            </w:pPr>
            <w:r>
              <w:rPr>
                <w:rFonts w:ascii="Aptos Narrow" w:eastAsia="Times New Roman" w:hAnsi="Aptos Narrow"/>
                <w:noProof/>
                <w:color w:val="000000"/>
                <w:sz w:val="22"/>
                <w:lang w:val="en-IE" w:eastAsia="en-IE"/>
              </w:rPr>
              <w:t xml:space="preserve">Cumulative total </w:t>
            </w:r>
          </w:p>
          <w:p w14:paraId="07AD9B0E" w14:textId="77777777" w:rsidR="00B729FB" w:rsidRPr="009C57DC" w:rsidRDefault="00B729FB" w:rsidP="00B729FB">
            <w:pPr>
              <w:spacing w:after="0"/>
              <w:jc w:val="center"/>
              <w:rPr>
                <w:rFonts w:ascii="Aptos Narrow" w:eastAsia="Times New Roman" w:hAnsi="Aptos Narrow"/>
                <w:noProof/>
                <w:color w:val="000000"/>
                <w:sz w:val="22"/>
                <w:lang w:val="en-IE" w:eastAsia="en-IE"/>
              </w:rPr>
            </w:pPr>
          </w:p>
        </w:tc>
        <w:tc>
          <w:tcPr>
            <w:tcW w:w="1614" w:type="dxa"/>
            <w:tcBorders>
              <w:top w:val="single" w:sz="8" w:space="0" w:color="auto"/>
              <w:left w:val="nil"/>
              <w:bottom w:val="single" w:sz="8" w:space="0" w:color="auto"/>
              <w:right w:val="single" w:sz="8" w:space="0" w:color="auto"/>
            </w:tcBorders>
            <w:vAlign w:val="center"/>
          </w:tcPr>
          <w:p w14:paraId="2A220AEE" w14:textId="77777777" w:rsidR="00B729FB" w:rsidRPr="009C57DC" w:rsidRDefault="00B729FB">
            <w:pPr>
              <w:spacing w:after="0"/>
              <w:jc w:val="center"/>
              <w:rPr>
                <w:rFonts w:ascii="Aptos Narrow" w:eastAsia="Times New Roman" w:hAnsi="Aptos Narrow"/>
                <w:noProof/>
                <w:color w:val="000000"/>
                <w:sz w:val="22"/>
                <w:lang w:val="en-IE" w:eastAsia="en-IE"/>
              </w:rPr>
            </w:pPr>
          </w:p>
        </w:tc>
        <w:tc>
          <w:tcPr>
            <w:tcW w:w="1691" w:type="dxa"/>
            <w:tcBorders>
              <w:top w:val="single" w:sz="8" w:space="0" w:color="auto"/>
              <w:left w:val="nil"/>
              <w:bottom w:val="single" w:sz="8" w:space="0" w:color="auto"/>
              <w:right w:val="single" w:sz="8" w:space="0" w:color="auto"/>
            </w:tcBorders>
            <w:noWrap/>
            <w:vAlign w:val="center"/>
          </w:tcPr>
          <w:p w14:paraId="770A11B1" w14:textId="77777777" w:rsidR="00B729FB" w:rsidRPr="009C57DC" w:rsidRDefault="00B729FB" w:rsidP="00B729FB">
            <w:pPr>
              <w:spacing w:before="0" w:after="0"/>
              <w:jc w:val="center"/>
              <w:rPr>
                <w:rFonts w:ascii="Aptos Narrow" w:eastAsia="Times New Roman" w:hAnsi="Aptos Narrow"/>
                <w:noProof/>
                <w:color w:val="000000"/>
                <w:sz w:val="22"/>
                <w:lang w:val="en-IE" w:eastAsia="en-IE"/>
              </w:rPr>
            </w:pPr>
            <w:r>
              <w:rPr>
                <w:rFonts w:ascii="Aptos Narrow" w:eastAsia="Times New Roman" w:hAnsi="Aptos Narrow"/>
                <w:noProof/>
                <w:color w:val="000000"/>
                <w:sz w:val="22"/>
                <w:lang w:val="en-IE" w:eastAsia="en-IE"/>
              </w:rPr>
              <w:t xml:space="preserve">308,843 </w:t>
            </w:r>
          </w:p>
        </w:tc>
      </w:tr>
    </w:tbl>
    <w:p w14:paraId="1549EE24" w14:textId="61600819" w:rsidR="00BA01ED" w:rsidRDefault="00BA01ED" w:rsidP="00F05561">
      <w:pPr>
        <w:tabs>
          <w:tab w:val="left" w:pos="170"/>
        </w:tabs>
        <w:jc w:val="both"/>
        <w:rPr>
          <w:noProof/>
          <w:szCs w:val="20"/>
          <w:lang w:val="en-US"/>
        </w:rPr>
      </w:pPr>
    </w:p>
    <w:p w14:paraId="42665F3A" w14:textId="46951390" w:rsidR="008E4B96" w:rsidRPr="00BD1B7A" w:rsidRDefault="002B2A4F" w:rsidP="008E4B96">
      <w:pPr>
        <w:pStyle w:val="NormalWeb"/>
        <w:jc w:val="both"/>
        <w:rPr>
          <w:rFonts w:ascii="Verdana" w:hAnsi="Verdana"/>
          <w:noProof/>
          <w:sz w:val="20"/>
          <w:szCs w:val="20"/>
          <w:lang w:val="en-GB"/>
        </w:rPr>
      </w:pPr>
      <w:r>
        <w:rPr>
          <w:rFonts w:ascii="Verdana" w:hAnsi="Verdana"/>
          <w:noProof/>
          <w:sz w:val="20"/>
          <w:szCs w:val="20"/>
          <w:lang w:val="en-GB"/>
        </w:rPr>
        <w:t>G</w:t>
      </w:r>
      <w:r w:rsidR="008E4B96" w:rsidRPr="00BD1B7A">
        <w:rPr>
          <w:rFonts w:ascii="Verdana" w:hAnsi="Verdana"/>
          <w:noProof/>
          <w:sz w:val="20"/>
          <w:szCs w:val="20"/>
          <w:lang w:val="en-GB"/>
        </w:rPr>
        <w:t>iven the voluntary nature of the 28</w:t>
      </w:r>
      <w:r w:rsidR="008E4B96" w:rsidRPr="00663CEF">
        <w:rPr>
          <w:rFonts w:ascii="Verdana" w:hAnsi="Verdana"/>
          <w:noProof/>
          <w:sz w:val="20"/>
          <w:szCs w:val="20"/>
          <w:vertAlign w:val="superscript"/>
          <w:lang w:val="en-GB"/>
        </w:rPr>
        <w:t>th</w:t>
      </w:r>
      <w:r w:rsidR="008E4B96" w:rsidRPr="00BD1B7A">
        <w:rPr>
          <w:rFonts w:ascii="Verdana" w:hAnsi="Verdana"/>
          <w:noProof/>
          <w:sz w:val="20"/>
          <w:szCs w:val="20"/>
          <w:lang w:val="en-GB"/>
        </w:rPr>
        <w:t xml:space="preserve"> regime and taking into account the persistence of national legal forms, the analysis assumes a </w:t>
      </w:r>
      <w:r w:rsidR="008E4B96" w:rsidRPr="00BD1B7A">
        <w:rPr>
          <w:rStyle w:val="Strong"/>
          <w:rFonts w:ascii="Verdana" w:hAnsi="Verdana"/>
          <w:noProof/>
          <w:sz w:val="20"/>
          <w:szCs w:val="20"/>
          <w:lang w:val="en-GB"/>
        </w:rPr>
        <w:t>limited and gradual take-up</w:t>
      </w:r>
      <w:r w:rsidR="008E4B96" w:rsidRPr="00BD1B7A">
        <w:rPr>
          <w:rFonts w:ascii="Verdana" w:hAnsi="Verdana"/>
          <w:noProof/>
          <w:sz w:val="20"/>
          <w:szCs w:val="20"/>
          <w:lang w:val="en-GB"/>
        </w:rPr>
        <w:t>, expressed as a small share of newly created private limited liability companies. The assumed take-up rate is deliberately conservative and reflects the expectation that only a subset of founders and companies with cross-border ambitions or specific needs would opt for the new legal form, particularly in the initial years following implementation.</w:t>
      </w:r>
    </w:p>
    <w:p w14:paraId="3974C264" w14:textId="6BA56170" w:rsidR="00715FE4" w:rsidRPr="00BD1B7A" w:rsidRDefault="00715FE4" w:rsidP="00BD1B7A">
      <w:pPr>
        <w:pStyle w:val="NormalWeb"/>
        <w:jc w:val="both"/>
        <w:rPr>
          <w:rFonts w:ascii="Verdana" w:hAnsi="Verdana"/>
          <w:noProof/>
          <w:sz w:val="20"/>
          <w:szCs w:val="20"/>
          <w:lang w:val="en-GB"/>
        </w:rPr>
      </w:pPr>
      <w:r w:rsidRPr="00BD1B7A">
        <w:rPr>
          <w:rFonts w:ascii="Verdana" w:hAnsi="Verdana"/>
          <w:noProof/>
          <w:sz w:val="20"/>
          <w:szCs w:val="20"/>
          <w:lang w:val="en-GB"/>
        </w:rPr>
        <w:t xml:space="preserve">The distinction between natural and legal persons as founders is based on feedback from consultation activities, which indicated that </w:t>
      </w:r>
      <w:r w:rsidRPr="469F4BC7">
        <w:rPr>
          <w:rFonts w:ascii="Verdana" w:hAnsi="Verdana"/>
          <w:noProof/>
          <w:sz w:val="20"/>
          <w:szCs w:val="20"/>
          <w:lang w:val="en-GB"/>
        </w:rPr>
        <w:t>s</w:t>
      </w:r>
      <w:r w:rsidR="2E04EFFC" w:rsidRPr="469F4BC7">
        <w:rPr>
          <w:rFonts w:ascii="Verdana" w:hAnsi="Verdana"/>
          <w:noProof/>
          <w:sz w:val="20"/>
          <w:szCs w:val="20"/>
          <w:lang w:val="en-GB"/>
        </w:rPr>
        <w:t>tartup</w:t>
      </w:r>
      <w:r w:rsidRPr="469F4BC7">
        <w:rPr>
          <w:rFonts w:ascii="Verdana" w:hAnsi="Verdana"/>
          <w:noProof/>
          <w:sz w:val="20"/>
          <w:szCs w:val="20"/>
          <w:lang w:val="en-GB"/>
        </w:rPr>
        <w:t>s</w:t>
      </w:r>
      <w:r w:rsidRPr="00BD1B7A">
        <w:rPr>
          <w:rFonts w:ascii="Verdana" w:hAnsi="Verdana"/>
          <w:noProof/>
          <w:sz w:val="20"/>
          <w:szCs w:val="20"/>
          <w:lang w:val="en-GB"/>
        </w:rPr>
        <w:t xml:space="preserve"> and early-stage companies are predominantly founded by natural persons, while a smaller share of 28</w:t>
      </w:r>
      <w:r w:rsidRPr="00663CEF">
        <w:rPr>
          <w:rFonts w:ascii="Verdana" w:hAnsi="Verdana"/>
          <w:noProof/>
          <w:sz w:val="20"/>
          <w:szCs w:val="20"/>
          <w:vertAlign w:val="superscript"/>
          <w:lang w:val="en-GB"/>
        </w:rPr>
        <w:t>th</w:t>
      </w:r>
      <w:r w:rsidRPr="00BD1B7A">
        <w:rPr>
          <w:rFonts w:ascii="Verdana" w:hAnsi="Verdana"/>
          <w:noProof/>
          <w:sz w:val="20"/>
          <w:szCs w:val="20"/>
          <w:lang w:val="en-GB"/>
        </w:rPr>
        <w:t xml:space="preserve"> regime companies is expected to be created by existing companies establishing subsidiaries or reorganising their corporate structure. Similarly, assumptions on domestic conversions of existing companies are kept deliberately low, reflecting both the inertia associated with changing legal form and the fact that conversion would only be attractive to a limited subset of companies for which the benefits outweigh the transition costs.</w:t>
      </w:r>
    </w:p>
    <w:p w14:paraId="4F524261" w14:textId="6B354848" w:rsidR="00715FE4" w:rsidRPr="00BD1B7A" w:rsidRDefault="00715FE4" w:rsidP="00BD1B7A">
      <w:pPr>
        <w:pStyle w:val="NormalWeb"/>
        <w:jc w:val="both"/>
        <w:rPr>
          <w:rFonts w:ascii="Verdana" w:hAnsi="Verdana"/>
          <w:noProof/>
          <w:sz w:val="20"/>
          <w:szCs w:val="20"/>
          <w:lang w:val="en-GB"/>
        </w:rPr>
      </w:pPr>
      <w:r w:rsidRPr="00BD1B7A">
        <w:rPr>
          <w:rFonts w:ascii="Verdana" w:hAnsi="Verdana"/>
          <w:noProof/>
          <w:sz w:val="20"/>
          <w:szCs w:val="20"/>
          <w:lang w:val="en-GB"/>
        </w:rPr>
        <w:t xml:space="preserve">For cross-border mergers, divisions and conversions, take-up is assumed to be marginal. This reflects the complexity, duration and cost of such procedures under the existing EU framework, as well as qualitative evidence from stakeholders that these instruments are generally not suited to the needs of </w:t>
      </w:r>
      <w:r w:rsidRPr="469F4BC7">
        <w:rPr>
          <w:rFonts w:ascii="Verdana" w:hAnsi="Verdana"/>
          <w:noProof/>
          <w:sz w:val="20"/>
          <w:szCs w:val="20"/>
          <w:lang w:val="en-GB"/>
        </w:rPr>
        <w:t>s</w:t>
      </w:r>
      <w:r w:rsidR="48FCAB1E" w:rsidRPr="469F4BC7">
        <w:rPr>
          <w:rFonts w:ascii="Verdana" w:hAnsi="Verdana"/>
          <w:noProof/>
          <w:sz w:val="20"/>
          <w:szCs w:val="20"/>
          <w:lang w:val="en-GB"/>
        </w:rPr>
        <w:t>tartup</w:t>
      </w:r>
      <w:r w:rsidRPr="469F4BC7">
        <w:rPr>
          <w:rFonts w:ascii="Verdana" w:hAnsi="Verdana"/>
          <w:noProof/>
          <w:sz w:val="20"/>
          <w:szCs w:val="20"/>
          <w:lang w:val="en-GB"/>
        </w:rPr>
        <w:t>s</w:t>
      </w:r>
      <w:r w:rsidRPr="00BD1B7A">
        <w:rPr>
          <w:rFonts w:ascii="Verdana" w:hAnsi="Verdana"/>
          <w:noProof/>
          <w:sz w:val="20"/>
          <w:szCs w:val="20"/>
          <w:lang w:val="en-GB"/>
        </w:rPr>
        <w:t xml:space="preserve"> seeking a quick and cost-efficient set-up</w:t>
      </w:r>
      <w:r w:rsidR="005174B0">
        <w:rPr>
          <w:rFonts w:ascii="Verdana" w:hAnsi="Verdana"/>
          <w:noProof/>
          <w:sz w:val="20"/>
          <w:szCs w:val="20"/>
          <w:lang w:val="en-GB"/>
        </w:rPr>
        <w:t xml:space="preserve">, </w:t>
      </w:r>
      <w:r w:rsidR="009128BC">
        <w:rPr>
          <w:rFonts w:ascii="Verdana" w:hAnsi="Verdana"/>
          <w:noProof/>
          <w:sz w:val="20"/>
          <w:szCs w:val="20"/>
          <w:lang w:val="en-GB"/>
        </w:rPr>
        <w:t xml:space="preserve">albeit </w:t>
      </w:r>
      <w:r w:rsidR="00996835">
        <w:rPr>
          <w:rFonts w:ascii="Verdana" w:hAnsi="Verdana"/>
          <w:noProof/>
          <w:sz w:val="20"/>
          <w:szCs w:val="20"/>
          <w:lang w:val="en-GB"/>
        </w:rPr>
        <w:t xml:space="preserve">attractive to </w:t>
      </w:r>
      <w:r w:rsidR="00AC049C">
        <w:rPr>
          <w:rFonts w:ascii="Verdana" w:hAnsi="Verdana"/>
          <w:noProof/>
          <w:sz w:val="20"/>
          <w:szCs w:val="20"/>
          <w:lang w:val="en-GB"/>
        </w:rPr>
        <w:t>a</w:t>
      </w:r>
      <w:r w:rsidR="00996835">
        <w:rPr>
          <w:rFonts w:ascii="Verdana" w:hAnsi="Verdana"/>
          <w:noProof/>
          <w:sz w:val="20"/>
          <w:szCs w:val="20"/>
          <w:lang w:val="en-GB"/>
        </w:rPr>
        <w:t xml:space="preserve"> small group of scaleups</w:t>
      </w:r>
      <w:r w:rsidR="004D6BA9">
        <w:rPr>
          <w:rFonts w:ascii="Verdana" w:hAnsi="Verdana"/>
          <w:noProof/>
          <w:sz w:val="20"/>
          <w:szCs w:val="20"/>
          <w:lang w:val="en-GB"/>
        </w:rPr>
        <w:t xml:space="preserve"> who</w:t>
      </w:r>
      <w:r w:rsidR="005D4F53">
        <w:rPr>
          <w:rFonts w:ascii="Verdana" w:hAnsi="Verdana"/>
          <w:noProof/>
          <w:sz w:val="20"/>
          <w:szCs w:val="20"/>
          <w:lang w:val="en-GB"/>
        </w:rPr>
        <w:t xml:space="preserve"> </w:t>
      </w:r>
      <w:r w:rsidR="004D6BA9">
        <w:rPr>
          <w:rFonts w:ascii="Verdana" w:hAnsi="Verdana"/>
          <w:noProof/>
          <w:sz w:val="20"/>
          <w:szCs w:val="20"/>
          <w:lang w:val="en-GB"/>
        </w:rPr>
        <w:t>might wish</w:t>
      </w:r>
      <w:r w:rsidR="00724075">
        <w:rPr>
          <w:rFonts w:ascii="Verdana" w:hAnsi="Verdana"/>
          <w:noProof/>
          <w:sz w:val="20"/>
          <w:szCs w:val="20"/>
          <w:lang w:val="en-GB"/>
        </w:rPr>
        <w:t xml:space="preserve"> to opt into the 28</w:t>
      </w:r>
      <w:r w:rsidR="00724075" w:rsidRPr="00663CEF">
        <w:rPr>
          <w:rFonts w:ascii="Verdana" w:hAnsi="Verdana"/>
          <w:noProof/>
          <w:sz w:val="20"/>
          <w:szCs w:val="20"/>
          <w:vertAlign w:val="superscript"/>
          <w:lang w:val="en-GB"/>
        </w:rPr>
        <w:t>th</w:t>
      </w:r>
      <w:r w:rsidR="00724075">
        <w:rPr>
          <w:rFonts w:ascii="Verdana" w:hAnsi="Verdana"/>
          <w:noProof/>
          <w:sz w:val="20"/>
          <w:szCs w:val="20"/>
          <w:lang w:val="en-GB"/>
        </w:rPr>
        <w:t xml:space="preserve"> regime</w:t>
      </w:r>
      <w:r w:rsidR="00AC049C">
        <w:rPr>
          <w:rFonts w:ascii="Verdana" w:hAnsi="Verdana"/>
          <w:noProof/>
          <w:sz w:val="20"/>
          <w:szCs w:val="20"/>
          <w:lang w:val="en-GB"/>
        </w:rPr>
        <w:t xml:space="preserve"> </w:t>
      </w:r>
      <w:r w:rsidR="005D4F53">
        <w:rPr>
          <w:rFonts w:ascii="Verdana" w:hAnsi="Verdana"/>
          <w:noProof/>
          <w:sz w:val="20"/>
          <w:szCs w:val="20"/>
          <w:lang w:val="en-GB"/>
        </w:rPr>
        <w:t>at a more mature stage</w:t>
      </w:r>
      <w:r w:rsidRPr="00BD1B7A">
        <w:rPr>
          <w:rFonts w:ascii="Verdana" w:hAnsi="Verdana"/>
          <w:noProof/>
          <w:sz w:val="20"/>
          <w:szCs w:val="20"/>
          <w:lang w:val="en-GB"/>
        </w:rPr>
        <w:t>.</w:t>
      </w:r>
    </w:p>
    <w:p w14:paraId="21C96B17" w14:textId="77777777" w:rsidR="00715FE4" w:rsidRPr="00BD1B7A" w:rsidRDefault="00715FE4" w:rsidP="00BD1B7A">
      <w:pPr>
        <w:pStyle w:val="NormalWeb"/>
        <w:jc w:val="both"/>
        <w:rPr>
          <w:rFonts w:ascii="Verdana" w:hAnsi="Verdana"/>
          <w:noProof/>
          <w:sz w:val="20"/>
          <w:szCs w:val="20"/>
          <w:lang w:val="en-GB"/>
        </w:rPr>
      </w:pPr>
      <w:r w:rsidRPr="00BD1B7A">
        <w:rPr>
          <w:rFonts w:ascii="Verdana" w:hAnsi="Verdana"/>
          <w:noProof/>
          <w:sz w:val="20"/>
          <w:szCs w:val="20"/>
          <w:lang w:val="en-GB"/>
        </w:rPr>
        <w:t xml:space="preserve">Overall, the assumptions are designed to represent a </w:t>
      </w:r>
      <w:r w:rsidRPr="00BD1B7A">
        <w:rPr>
          <w:rStyle w:val="Strong"/>
          <w:rFonts w:ascii="Verdana" w:hAnsi="Verdana"/>
          <w:noProof/>
          <w:sz w:val="20"/>
          <w:szCs w:val="20"/>
          <w:lang w:val="en-GB"/>
        </w:rPr>
        <w:t>lower-end estimate of potential take-up</w:t>
      </w:r>
      <w:r w:rsidRPr="00BD1B7A">
        <w:rPr>
          <w:rFonts w:ascii="Verdana" w:hAnsi="Verdana"/>
          <w:noProof/>
          <w:sz w:val="20"/>
          <w:szCs w:val="20"/>
          <w:lang w:val="en-GB"/>
        </w:rPr>
        <w:t>, ensuring that the resulting efficiency and impact calculations do not overstate the benefits of the policy options. Sensitivity to higher take-up scenarios is discussed qualitatively, but no alternative quantitative scenarios are developed, as the available evidence does not allow for a robust differentiation. This approach is consistent with the principle of proportionality and with Better Regulation guidance for situations characterised by high uncertainty and limited data availability.</w:t>
      </w:r>
    </w:p>
    <w:p w14:paraId="471E21C1" w14:textId="77777777" w:rsidR="00715FE4" w:rsidRPr="00BD1B7A" w:rsidRDefault="00715FE4" w:rsidP="00BD1B7A">
      <w:pPr>
        <w:pStyle w:val="NormalWeb"/>
        <w:jc w:val="both"/>
        <w:rPr>
          <w:rFonts w:ascii="Verdana" w:hAnsi="Verdana"/>
          <w:noProof/>
          <w:sz w:val="20"/>
          <w:szCs w:val="20"/>
          <w:lang w:val="en-GB"/>
        </w:rPr>
      </w:pPr>
      <w:r w:rsidRPr="00BD1B7A">
        <w:rPr>
          <w:rFonts w:ascii="Verdana" w:hAnsi="Verdana"/>
          <w:noProof/>
          <w:sz w:val="20"/>
          <w:szCs w:val="20"/>
          <w:lang w:val="en-GB"/>
        </w:rPr>
        <w:t xml:space="preserve">Across the policy options assessed, the analysis indicates that </w:t>
      </w:r>
      <w:r w:rsidRPr="00BD1B7A">
        <w:rPr>
          <w:rStyle w:val="Strong"/>
          <w:rFonts w:ascii="Verdana" w:hAnsi="Verdana"/>
          <w:noProof/>
          <w:sz w:val="20"/>
          <w:szCs w:val="20"/>
          <w:lang w:val="en-GB"/>
        </w:rPr>
        <w:t>the expected benefits primarily take the form of cost savings for companies and, to a lesser extent, efficiency gains for public authorities</w:t>
      </w:r>
      <w:r w:rsidRPr="00BD1B7A">
        <w:rPr>
          <w:rFonts w:ascii="Verdana" w:hAnsi="Verdana"/>
          <w:noProof/>
          <w:sz w:val="20"/>
          <w:szCs w:val="20"/>
          <w:lang w:val="en-GB"/>
        </w:rPr>
        <w:t xml:space="preserve">, while </w:t>
      </w:r>
      <w:r w:rsidRPr="00BD1B7A">
        <w:rPr>
          <w:rStyle w:val="Strong"/>
          <w:rFonts w:ascii="Verdana" w:hAnsi="Verdana"/>
          <w:noProof/>
          <w:sz w:val="20"/>
          <w:szCs w:val="20"/>
          <w:lang w:val="en-GB"/>
        </w:rPr>
        <w:t>the introduction of new additional costs is limited and largely one-off in nature</w:t>
      </w:r>
      <w:r w:rsidRPr="00BD1B7A">
        <w:rPr>
          <w:rFonts w:ascii="Verdana" w:hAnsi="Verdana"/>
          <w:noProof/>
          <w:sz w:val="20"/>
          <w:szCs w:val="20"/>
          <w:lang w:val="en-GB"/>
        </w:rPr>
        <w:t>. In particular, most options build on existing digital infrastructures, procedural frameworks and administrative capacities, and do not introduce recurring compliance obligations for companies beyond those already required under national company law.</w:t>
      </w:r>
    </w:p>
    <w:p w14:paraId="6A01BF21" w14:textId="77777777" w:rsidR="00715FE4" w:rsidRPr="00BD1B7A" w:rsidRDefault="00715FE4" w:rsidP="00BD1B7A">
      <w:pPr>
        <w:pStyle w:val="NormalWeb"/>
        <w:jc w:val="both"/>
        <w:rPr>
          <w:rFonts w:ascii="Verdana" w:hAnsi="Verdana"/>
          <w:noProof/>
          <w:sz w:val="20"/>
          <w:szCs w:val="20"/>
          <w:lang w:val="en-GB"/>
        </w:rPr>
      </w:pPr>
      <w:r w:rsidRPr="00BD1B7A">
        <w:rPr>
          <w:rFonts w:ascii="Verdana" w:hAnsi="Verdana"/>
          <w:noProof/>
          <w:sz w:val="20"/>
          <w:szCs w:val="20"/>
          <w:lang w:val="en-GB"/>
        </w:rPr>
        <w:t xml:space="preserve">As a result, for the policy options retained for assessment, the analysis consistently points towards a </w:t>
      </w:r>
      <w:r w:rsidRPr="00BD1B7A">
        <w:rPr>
          <w:rStyle w:val="Strong"/>
          <w:rFonts w:ascii="Verdana" w:hAnsi="Verdana"/>
          <w:noProof/>
          <w:sz w:val="20"/>
          <w:szCs w:val="20"/>
          <w:lang w:val="en-GB"/>
        </w:rPr>
        <w:t>positive net benefit at the level of the individual company</w:t>
      </w:r>
      <w:r w:rsidRPr="00BD1B7A">
        <w:rPr>
          <w:rFonts w:ascii="Verdana" w:hAnsi="Verdana"/>
          <w:noProof/>
          <w:sz w:val="20"/>
          <w:szCs w:val="20"/>
          <w:lang w:val="en-GB"/>
        </w:rPr>
        <w:t>, as the reduction in administrative burden and transaction costs outweighs any additional adjustment or transition costs associated with the use of the 28th regime. This conclusion is robust across options and does not depend on high take-up assumptions.</w:t>
      </w:r>
    </w:p>
    <w:p w14:paraId="600E42E8" w14:textId="77777777" w:rsidR="00715FE4" w:rsidRPr="00BD1B7A" w:rsidRDefault="00715FE4" w:rsidP="00BD1B7A">
      <w:pPr>
        <w:pStyle w:val="NormalWeb"/>
        <w:jc w:val="both"/>
        <w:rPr>
          <w:rFonts w:ascii="Verdana" w:hAnsi="Verdana"/>
          <w:noProof/>
          <w:sz w:val="20"/>
          <w:szCs w:val="20"/>
          <w:lang w:val="en-GB"/>
        </w:rPr>
      </w:pPr>
      <w:r w:rsidRPr="00BD1B7A">
        <w:rPr>
          <w:rFonts w:ascii="Verdana" w:hAnsi="Verdana"/>
          <w:noProof/>
          <w:sz w:val="20"/>
          <w:szCs w:val="20"/>
          <w:lang w:val="en-GB"/>
        </w:rPr>
        <w:t xml:space="preserve">However, while the </w:t>
      </w:r>
      <w:r w:rsidRPr="00BD1B7A">
        <w:rPr>
          <w:rStyle w:val="Strong"/>
          <w:rFonts w:ascii="Verdana" w:hAnsi="Verdana"/>
          <w:b w:val="0"/>
          <w:noProof/>
          <w:sz w:val="20"/>
          <w:szCs w:val="20"/>
          <w:lang w:val="en-GB"/>
        </w:rPr>
        <w:t>direction of the net impact is positive irrespective of uptake</w:t>
      </w:r>
      <w:r w:rsidRPr="00BD1B7A">
        <w:rPr>
          <w:rFonts w:ascii="Verdana" w:hAnsi="Verdana"/>
          <w:b/>
          <w:noProof/>
          <w:sz w:val="20"/>
          <w:szCs w:val="20"/>
          <w:lang w:val="en-GB"/>
        </w:rPr>
        <w:t xml:space="preserve">, </w:t>
      </w:r>
      <w:r w:rsidRPr="00BD1B7A">
        <w:rPr>
          <w:rFonts w:ascii="Verdana" w:hAnsi="Verdana"/>
          <w:noProof/>
          <w:sz w:val="20"/>
          <w:szCs w:val="20"/>
          <w:lang w:val="en-GB"/>
        </w:rPr>
        <w:t>the</w:t>
      </w:r>
      <w:r w:rsidRPr="00BD1B7A">
        <w:rPr>
          <w:rFonts w:ascii="Verdana" w:hAnsi="Verdana"/>
          <w:b/>
          <w:noProof/>
          <w:sz w:val="20"/>
          <w:szCs w:val="20"/>
          <w:lang w:val="en-GB"/>
        </w:rPr>
        <w:t xml:space="preserve"> </w:t>
      </w:r>
      <w:r w:rsidRPr="00BD1B7A">
        <w:rPr>
          <w:rStyle w:val="Strong"/>
          <w:rFonts w:ascii="Verdana" w:hAnsi="Verdana"/>
          <w:b w:val="0"/>
          <w:noProof/>
          <w:sz w:val="20"/>
          <w:szCs w:val="20"/>
          <w:lang w:val="en-GB"/>
        </w:rPr>
        <w:t>magnitude of the aggregate net benefits at EU level is directly linked to the actual take-up of the 28th regime</w:t>
      </w:r>
      <w:r w:rsidRPr="00BD1B7A">
        <w:rPr>
          <w:rFonts w:ascii="Verdana" w:hAnsi="Verdana"/>
          <w:noProof/>
          <w:sz w:val="20"/>
          <w:szCs w:val="20"/>
          <w:lang w:val="en-GB"/>
        </w:rPr>
        <w:t>. Higher uptake would translate into proportionally larger cumulative cost savings and efficiency gains, whereas lower uptake would reduce the overall magnitude of benefits without reversing their positive sign. For this reason, take-up assumptions are used in the analysis as a scaling parameter rather than as a determinant of whether the policy options generate net benefits.</w:t>
      </w:r>
    </w:p>
    <w:p w14:paraId="1C26A72B" w14:textId="175D47EB" w:rsidR="00715FE4" w:rsidRPr="00466A1F" w:rsidRDefault="00715FE4" w:rsidP="002B0FF7">
      <w:pPr>
        <w:pStyle w:val="NormalWeb"/>
        <w:jc w:val="both"/>
        <w:rPr>
          <w:noProof/>
          <w:lang w:val="en-IE"/>
        </w:rPr>
      </w:pPr>
      <w:r w:rsidRPr="00BD1B7A">
        <w:rPr>
          <w:rFonts w:ascii="Verdana" w:hAnsi="Verdana"/>
          <w:noProof/>
          <w:sz w:val="20"/>
          <w:szCs w:val="20"/>
          <w:lang w:val="en-GB"/>
        </w:rPr>
        <w:t xml:space="preserve">This approach is consistent with the Better Regulation Toolbox, which recognises that, in cases of optional legal instruments and limited ex ante data, it may be more robust to focus on the </w:t>
      </w:r>
      <w:r w:rsidRPr="00BD1B7A">
        <w:rPr>
          <w:rStyle w:val="Strong"/>
          <w:rFonts w:ascii="Verdana" w:hAnsi="Verdana"/>
          <w:b w:val="0"/>
          <w:noProof/>
          <w:sz w:val="20"/>
          <w:szCs w:val="20"/>
          <w:lang w:val="en-GB"/>
        </w:rPr>
        <w:t>sign and relative size of impacts</w:t>
      </w:r>
      <w:r w:rsidRPr="00BD1B7A">
        <w:rPr>
          <w:rFonts w:ascii="Verdana" w:hAnsi="Verdana"/>
          <w:noProof/>
          <w:sz w:val="20"/>
          <w:szCs w:val="20"/>
          <w:lang w:val="en-GB"/>
        </w:rPr>
        <w:t xml:space="preserve"> rather than on precise point estimates. Accordingly, the efficiency assessment emphasises the</w:t>
      </w:r>
      <w:r w:rsidRPr="00BD1B7A">
        <w:rPr>
          <w:rFonts w:ascii="Verdana" w:hAnsi="Verdana"/>
          <w:b/>
          <w:noProof/>
          <w:sz w:val="20"/>
          <w:szCs w:val="20"/>
          <w:lang w:val="en-GB"/>
        </w:rPr>
        <w:t xml:space="preserve"> </w:t>
      </w:r>
      <w:r w:rsidRPr="00BD1B7A">
        <w:rPr>
          <w:rStyle w:val="Strong"/>
          <w:rFonts w:ascii="Verdana" w:hAnsi="Verdana"/>
          <w:b w:val="0"/>
          <w:noProof/>
          <w:sz w:val="20"/>
          <w:szCs w:val="20"/>
          <w:lang w:val="en-GB"/>
        </w:rPr>
        <w:t>comparative performance of the policy options under conservative uptake assumptions</w:t>
      </w:r>
      <w:r w:rsidRPr="00BD1B7A">
        <w:rPr>
          <w:rFonts w:ascii="Verdana" w:hAnsi="Verdana"/>
          <w:b/>
          <w:noProof/>
          <w:sz w:val="20"/>
          <w:szCs w:val="20"/>
          <w:lang w:val="en-GB"/>
        </w:rPr>
        <w:t>,</w:t>
      </w:r>
      <w:r w:rsidRPr="00BD1B7A">
        <w:rPr>
          <w:rFonts w:ascii="Verdana" w:hAnsi="Verdana"/>
          <w:noProof/>
          <w:sz w:val="20"/>
          <w:szCs w:val="20"/>
          <w:lang w:val="en-GB"/>
        </w:rPr>
        <w:t xml:space="preserve"> while avoiding overreliance on speculative projections of future behaviour.</w:t>
      </w:r>
    </w:p>
    <w:p w14:paraId="3BCFFA28" w14:textId="28030837" w:rsidR="004B07E4" w:rsidRPr="00C457EC" w:rsidRDefault="004B07E4" w:rsidP="00B66741">
      <w:pPr>
        <w:ind w:firstLine="720"/>
        <w:jc w:val="both"/>
        <w:rPr>
          <w:b/>
          <w:noProof/>
          <w:szCs w:val="20"/>
        </w:rPr>
      </w:pPr>
      <w:r>
        <w:rPr>
          <w:b/>
          <w:noProof/>
          <w:szCs w:val="20"/>
        </w:rPr>
        <w:t xml:space="preserve">2.3.1 </w:t>
      </w:r>
      <w:r w:rsidRPr="00C457EC">
        <w:rPr>
          <w:b/>
          <w:noProof/>
          <w:szCs w:val="20"/>
        </w:rPr>
        <w:t xml:space="preserve">Methodology of the efficiency scoring </w:t>
      </w:r>
    </w:p>
    <w:p w14:paraId="34BCB1B7" w14:textId="1F45E135" w:rsidR="004B07E4" w:rsidRDefault="004B07E4" w:rsidP="00B66741">
      <w:pPr>
        <w:tabs>
          <w:tab w:val="left" w:pos="170"/>
        </w:tabs>
        <w:jc w:val="both"/>
        <w:rPr>
          <w:noProof/>
          <w:szCs w:val="20"/>
          <w:lang w:val="en-US"/>
        </w:rPr>
      </w:pPr>
      <w:r w:rsidRPr="00C125EC">
        <w:rPr>
          <w:noProof/>
          <w:szCs w:val="20"/>
          <w:lang w:val="en-US"/>
        </w:rPr>
        <w:t xml:space="preserve">For </w:t>
      </w:r>
      <w:r>
        <w:rPr>
          <w:noProof/>
          <w:szCs w:val="20"/>
          <w:lang w:val="en-US"/>
        </w:rPr>
        <w:t xml:space="preserve">the efficiency scoring, </w:t>
      </w:r>
      <w:r w:rsidRPr="00C125EC">
        <w:rPr>
          <w:noProof/>
          <w:szCs w:val="20"/>
          <w:lang w:val="en-US"/>
        </w:rPr>
        <w:t xml:space="preserve">the standard cost model </w:t>
      </w:r>
      <w:r>
        <w:rPr>
          <w:noProof/>
          <w:szCs w:val="20"/>
          <w:lang w:val="en-US"/>
        </w:rPr>
        <w:t>(see Tool #</w:t>
      </w:r>
      <w:r w:rsidR="00917DF2">
        <w:rPr>
          <w:noProof/>
          <w:szCs w:val="20"/>
          <w:lang w:val="en-US"/>
        </w:rPr>
        <w:t>58</w:t>
      </w:r>
      <w:r>
        <w:rPr>
          <w:noProof/>
          <w:szCs w:val="20"/>
          <w:lang w:val="en-US"/>
        </w:rPr>
        <w:t>)</w:t>
      </w:r>
      <w:r w:rsidRPr="00C125EC">
        <w:rPr>
          <w:noProof/>
          <w:szCs w:val="20"/>
          <w:lang w:val="en-US"/>
        </w:rPr>
        <w:t xml:space="preserve"> </w:t>
      </w:r>
      <w:r>
        <w:rPr>
          <w:noProof/>
          <w:szCs w:val="20"/>
          <w:lang w:val="en-US"/>
        </w:rPr>
        <w:t xml:space="preserve">is </w:t>
      </w:r>
      <w:r w:rsidR="00B53AF4">
        <w:rPr>
          <w:noProof/>
          <w:szCs w:val="20"/>
          <w:lang w:val="en-US"/>
        </w:rPr>
        <w:t xml:space="preserve">used for </w:t>
      </w:r>
      <w:r w:rsidR="00734C25">
        <w:rPr>
          <w:noProof/>
          <w:szCs w:val="20"/>
          <w:lang w:val="en-US"/>
        </w:rPr>
        <w:t>assessing the administrative burden.</w:t>
      </w:r>
    </w:p>
    <w:p w14:paraId="3693FDC0" w14:textId="7E1E0CA3" w:rsidR="004B07E4" w:rsidRPr="00E442DF" w:rsidRDefault="004B07E4" w:rsidP="00B66741">
      <w:pPr>
        <w:tabs>
          <w:tab w:val="left" w:pos="170"/>
        </w:tabs>
        <w:jc w:val="both"/>
        <w:rPr>
          <w:b/>
          <w:smallCaps/>
          <w:noProof/>
          <w:szCs w:val="20"/>
          <w:u w:val="single"/>
          <w:lang w:val="en-US"/>
        </w:rPr>
      </w:pPr>
      <w:r w:rsidRPr="00E442DF">
        <w:rPr>
          <w:b/>
          <w:smallCaps/>
          <w:noProof/>
          <w:szCs w:val="20"/>
          <w:u w:val="single"/>
          <w:lang w:val="hu-HU"/>
        </w:rPr>
        <w:t xml:space="preserve">Policy options </w:t>
      </w:r>
      <w:r w:rsidR="00326CAA" w:rsidRPr="00E442DF">
        <w:rPr>
          <w:b/>
          <w:smallCaps/>
          <w:noProof/>
          <w:szCs w:val="20"/>
          <w:u w:val="single"/>
          <w:lang w:val="en-US"/>
        </w:rPr>
        <w:t>1 to provide a harmonised company legal form for entrepreneurs</w:t>
      </w:r>
    </w:p>
    <w:p w14:paraId="03DA116C" w14:textId="5D3AE408" w:rsidR="004B07E4" w:rsidRPr="003B14BB" w:rsidRDefault="004B07E4" w:rsidP="00B66741">
      <w:pPr>
        <w:tabs>
          <w:tab w:val="left" w:pos="170"/>
        </w:tabs>
        <w:spacing w:after="0"/>
        <w:jc w:val="both"/>
        <w:rPr>
          <w:b/>
          <w:noProof/>
          <w:szCs w:val="20"/>
          <w:lang w:val="en-US"/>
        </w:rPr>
      </w:pPr>
      <w:r w:rsidRPr="003B14BB">
        <w:rPr>
          <w:b/>
          <w:noProof/>
          <w:szCs w:val="20"/>
          <w:lang w:val="hu-HU"/>
        </w:rPr>
        <w:t>Policy option 1a</w:t>
      </w:r>
      <w:r>
        <w:rPr>
          <w:b/>
          <w:noProof/>
          <w:szCs w:val="20"/>
          <w:lang w:val="hu-HU"/>
        </w:rPr>
        <w:t>:</w:t>
      </w:r>
      <w:r w:rsidRPr="003B14BB">
        <w:rPr>
          <w:b/>
          <w:noProof/>
          <w:szCs w:val="20"/>
          <w:lang w:val="en-US"/>
        </w:rPr>
        <w:t xml:space="preserve"> </w:t>
      </w:r>
      <w:r w:rsidR="00326CAA" w:rsidRPr="00326CAA">
        <w:rPr>
          <w:b/>
          <w:noProof/>
          <w:szCs w:val="20"/>
          <w:lang w:val="en-US"/>
        </w:rPr>
        <w:t>Introduce a new harmonised legal form for a 28th regime company with a recognisable EU brand</w:t>
      </w:r>
      <w:r w:rsidR="000813BB">
        <w:rPr>
          <w:b/>
          <w:noProof/>
          <w:szCs w:val="20"/>
          <w:lang w:val="en-US"/>
        </w:rPr>
        <w:t>, to be set up by</w:t>
      </w:r>
      <w:r w:rsidR="00326CAA" w:rsidRPr="00326CAA">
        <w:rPr>
          <w:b/>
          <w:noProof/>
          <w:szCs w:val="20"/>
          <w:lang w:val="en-US"/>
        </w:rPr>
        <w:t xml:space="preserve"> </w:t>
      </w:r>
      <w:r w:rsidR="000813BB">
        <w:rPr>
          <w:b/>
          <w:noProof/>
          <w:szCs w:val="20"/>
          <w:lang w:val="en-US"/>
        </w:rPr>
        <w:t>n</w:t>
      </w:r>
      <w:r w:rsidR="00326CAA" w:rsidRPr="00326CAA">
        <w:rPr>
          <w:b/>
          <w:noProof/>
          <w:szCs w:val="20"/>
          <w:lang w:val="en-US"/>
        </w:rPr>
        <w:t>atural persons as founders.</w:t>
      </w:r>
    </w:p>
    <w:p w14:paraId="652FB69C" w14:textId="4372FB05" w:rsidR="008825A6" w:rsidRPr="008825A6" w:rsidRDefault="008825A6" w:rsidP="008825A6">
      <w:pPr>
        <w:jc w:val="both"/>
        <w:rPr>
          <w:rFonts w:eastAsia="Calibri"/>
          <w:noProof/>
          <w:lang w:val="en-IE"/>
        </w:rPr>
      </w:pPr>
      <w:r>
        <w:rPr>
          <w:bCs/>
          <w:noProof/>
          <w:szCs w:val="20"/>
        </w:rPr>
        <w:t>T</w:t>
      </w:r>
      <w:r w:rsidR="00D010D8" w:rsidRPr="002D49D2">
        <w:rPr>
          <w:bCs/>
          <w:noProof/>
          <w:szCs w:val="20"/>
        </w:rPr>
        <w:t>h</w:t>
      </w:r>
      <w:r w:rsidR="002D49D2">
        <w:rPr>
          <w:bCs/>
          <w:noProof/>
          <w:szCs w:val="20"/>
        </w:rPr>
        <w:t xml:space="preserve">ese policy options address a potential </w:t>
      </w:r>
      <w:r w:rsidR="0027094E">
        <w:rPr>
          <w:bCs/>
          <w:noProof/>
          <w:szCs w:val="20"/>
        </w:rPr>
        <w:t>take</w:t>
      </w:r>
      <w:r w:rsidR="00437710">
        <w:rPr>
          <w:bCs/>
          <w:noProof/>
          <w:szCs w:val="20"/>
        </w:rPr>
        <w:t>-up</w:t>
      </w:r>
      <w:r w:rsidR="0027094E">
        <w:rPr>
          <w:bCs/>
          <w:noProof/>
          <w:szCs w:val="20"/>
        </w:rPr>
        <w:t xml:space="preserve"> of the 28</w:t>
      </w:r>
      <w:r w:rsidR="0027094E" w:rsidRPr="0027094E">
        <w:rPr>
          <w:bCs/>
          <w:noProof/>
          <w:szCs w:val="20"/>
          <w:vertAlign w:val="superscript"/>
        </w:rPr>
        <w:t>th</w:t>
      </w:r>
      <w:r w:rsidR="0027094E">
        <w:rPr>
          <w:bCs/>
          <w:noProof/>
          <w:szCs w:val="20"/>
        </w:rPr>
        <w:t xml:space="preserve"> regime company legal form</w:t>
      </w:r>
      <w:r w:rsidR="000C0A77">
        <w:rPr>
          <w:rFonts w:eastAsia="Calibri"/>
          <w:noProof/>
        </w:rPr>
        <w:t xml:space="preserve"> i.e. </w:t>
      </w:r>
      <w:r w:rsidR="00467DE0" w:rsidRPr="00CE13C5">
        <w:rPr>
          <w:rFonts w:eastAsia="Calibri"/>
          <w:noProof/>
        </w:rPr>
        <w:t>who could set up such a 28</w:t>
      </w:r>
      <w:r w:rsidR="00467DE0" w:rsidRPr="00CE13C5">
        <w:rPr>
          <w:rFonts w:eastAsia="Calibri"/>
          <w:noProof/>
          <w:vertAlign w:val="superscript"/>
        </w:rPr>
        <w:t>th</w:t>
      </w:r>
      <w:r w:rsidR="00467DE0" w:rsidRPr="00CE13C5">
        <w:rPr>
          <w:rFonts w:eastAsia="Calibri"/>
          <w:noProof/>
        </w:rPr>
        <w:t xml:space="preserve"> regime company </w:t>
      </w:r>
      <w:r w:rsidR="00467DE0">
        <w:rPr>
          <w:rFonts w:eastAsia="Calibri"/>
          <w:noProof/>
        </w:rPr>
        <w:t xml:space="preserve">under the harmonised legal form </w:t>
      </w:r>
      <w:r w:rsidR="00467DE0" w:rsidRPr="00CE13C5">
        <w:rPr>
          <w:rFonts w:eastAsia="Calibri"/>
          <w:noProof/>
        </w:rPr>
        <w:t>and how such a company could be set up.</w:t>
      </w:r>
      <w:r w:rsidRPr="008825A6">
        <w:rPr>
          <w:rFonts w:ascii="Segoe UI" w:eastAsia="Times New Roman" w:hAnsi="Segoe UI" w:cs="Segoe UI"/>
          <w:noProof/>
          <w:color w:val="auto"/>
          <w:sz w:val="18"/>
          <w:szCs w:val="18"/>
          <w:lang w:val="en-IE" w:eastAsia="en-IE"/>
        </w:rPr>
        <w:t xml:space="preserve"> </w:t>
      </w:r>
      <w:r w:rsidRPr="002F3B29">
        <w:rPr>
          <w:rFonts w:ascii="Segoe UI" w:eastAsia="Times New Roman" w:hAnsi="Segoe UI" w:cs="Segoe UI"/>
          <w:noProof/>
          <w:color w:val="auto"/>
          <w:sz w:val="18"/>
          <w:szCs w:val="18"/>
          <w:lang w:val="en-IE" w:eastAsia="en-IE"/>
        </w:rPr>
        <w:t>T</w:t>
      </w:r>
      <w:r w:rsidRPr="002F3B29">
        <w:rPr>
          <w:rFonts w:eastAsia="Calibri"/>
          <w:noProof/>
          <w:lang w:val="en-IE"/>
        </w:rPr>
        <w:t>he cost savings are linked to the other policy options and that the main outcome of these policy options is the uptake of the 28</w:t>
      </w:r>
      <w:r w:rsidRPr="002F3B29">
        <w:rPr>
          <w:rFonts w:eastAsia="Calibri"/>
          <w:noProof/>
          <w:vertAlign w:val="superscript"/>
          <w:lang w:val="en-IE"/>
        </w:rPr>
        <w:t>th</w:t>
      </w:r>
      <w:r w:rsidRPr="002F3B29">
        <w:rPr>
          <w:rFonts w:eastAsia="Calibri"/>
          <w:noProof/>
          <w:lang w:val="en-IE"/>
        </w:rPr>
        <w:t xml:space="preserve"> regime</w:t>
      </w:r>
      <w:r w:rsidR="002F3B29" w:rsidRPr="002F3B29">
        <w:rPr>
          <w:rFonts w:eastAsia="Calibri"/>
          <w:noProof/>
          <w:lang w:val="en-IE"/>
        </w:rPr>
        <w:t xml:space="preserve"> companies.</w:t>
      </w:r>
      <w:r w:rsidR="002F3B29">
        <w:rPr>
          <w:rFonts w:eastAsia="Calibri"/>
          <w:noProof/>
          <w:lang w:val="en-IE"/>
        </w:rPr>
        <w:t xml:space="preserve"> </w:t>
      </w:r>
    </w:p>
    <w:p w14:paraId="4877351F" w14:textId="6E5E521F" w:rsidR="00D010D8" w:rsidRPr="00C0526A" w:rsidRDefault="00A65674" w:rsidP="000259ED">
      <w:pPr>
        <w:jc w:val="both"/>
        <w:rPr>
          <w:rFonts w:eastAsia="Calibri"/>
          <w:noProof/>
        </w:rPr>
      </w:pPr>
      <w:r>
        <w:rPr>
          <w:rFonts w:eastAsia="Calibri"/>
          <w:noProof/>
        </w:rPr>
        <w:t>In option</w:t>
      </w:r>
      <w:r w:rsidR="00C8539B">
        <w:rPr>
          <w:rFonts w:eastAsia="Calibri"/>
          <w:noProof/>
        </w:rPr>
        <w:t xml:space="preserve"> 1a</w:t>
      </w:r>
      <w:r>
        <w:rPr>
          <w:rFonts w:eastAsia="Calibri"/>
          <w:noProof/>
        </w:rPr>
        <w:t xml:space="preserve">, </w:t>
      </w:r>
      <w:r w:rsidR="00C8539B">
        <w:rPr>
          <w:rFonts w:eastAsia="Calibri"/>
          <w:noProof/>
        </w:rPr>
        <w:t>only</w:t>
      </w:r>
      <w:r>
        <w:rPr>
          <w:rFonts w:eastAsia="Calibri"/>
          <w:noProof/>
        </w:rPr>
        <w:t xml:space="preserve"> founders as natural persons can create a 28</w:t>
      </w:r>
      <w:r w:rsidRPr="00E442DF">
        <w:rPr>
          <w:rFonts w:eastAsia="Calibri"/>
          <w:noProof/>
          <w:vertAlign w:val="superscript"/>
        </w:rPr>
        <w:t>th</w:t>
      </w:r>
      <w:r>
        <w:rPr>
          <w:rFonts w:eastAsia="Calibri"/>
          <w:noProof/>
        </w:rPr>
        <w:t xml:space="preserve"> regime company and</w:t>
      </w:r>
      <w:r w:rsidR="00922D1E">
        <w:rPr>
          <w:rFonts w:eastAsia="Calibri"/>
          <w:noProof/>
        </w:rPr>
        <w:t xml:space="preserve"> </w:t>
      </w:r>
      <w:r w:rsidR="00894302">
        <w:rPr>
          <w:rFonts w:eastAsia="Calibri"/>
          <w:noProof/>
        </w:rPr>
        <w:t>base</w:t>
      </w:r>
      <w:r w:rsidR="0008594D">
        <w:rPr>
          <w:rFonts w:eastAsia="Calibri"/>
          <w:noProof/>
        </w:rPr>
        <w:t xml:space="preserve">d </w:t>
      </w:r>
      <w:r w:rsidR="00894302">
        <w:rPr>
          <w:rFonts w:eastAsia="Calibri"/>
          <w:noProof/>
        </w:rPr>
        <w:t xml:space="preserve">on calls from the </w:t>
      </w:r>
      <w:r w:rsidR="001A3593">
        <w:rPr>
          <w:rFonts w:eastAsia="Calibri"/>
          <w:noProof/>
        </w:rPr>
        <w:t>founders and small companies in particular in the public consultation</w:t>
      </w:r>
      <w:r w:rsidR="0008594D">
        <w:rPr>
          <w:rFonts w:eastAsia="Calibri"/>
          <w:noProof/>
        </w:rPr>
        <w:t>,</w:t>
      </w:r>
      <w:r w:rsidR="00922D1E">
        <w:rPr>
          <w:rFonts w:eastAsia="Calibri"/>
          <w:noProof/>
        </w:rPr>
        <w:t xml:space="preserve"> </w:t>
      </w:r>
      <w:r w:rsidR="00CD64BF">
        <w:rPr>
          <w:rFonts w:eastAsia="Calibri"/>
          <w:noProof/>
        </w:rPr>
        <w:t xml:space="preserve">it is </w:t>
      </w:r>
      <w:r w:rsidR="00922D1E">
        <w:rPr>
          <w:rFonts w:eastAsia="Calibri"/>
          <w:noProof/>
        </w:rPr>
        <w:t>estimated</w:t>
      </w:r>
      <w:r>
        <w:rPr>
          <w:rFonts w:eastAsia="Calibri"/>
          <w:noProof/>
        </w:rPr>
        <w:t xml:space="preserve"> that </w:t>
      </w:r>
      <w:r w:rsidR="00600941">
        <w:rPr>
          <w:rFonts w:eastAsia="Calibri"/>
          <w:noProof/>
        </w:rPr>
        <w:t>90% of new 28</w:t>
      </w:r>
      <w:r w:rsidR="00600941" w:rsidRPr="0079351A">
        <w:rPr>
          <w:rFonts w:eastAsia="Calibri"/>
          <w:noProof/>
          <w:vertAlign w:val="superscript"/>
        </w:rPr>
        <w:t>th</w:t>
      </w:r>
      <w:r w:rsidR="00600941">
        <w:rPr>
          <w:rFonts w:eastAsia="Calibri"/>
          <w:noProof/>
        </w:rPr>
        <w:t xml:space="preserve"> regime companies would be founded by natural persons. This would equal to </w:t>
      </w:r>
      <w:r w:rsidR="007448BA">
        <w:rPr>
          <w:rFonts w:eastAsia="Calibri"/>
          <w:noProof/>
        </w:rPr>
        <w:t>1</w:t>
      </w:r>
      <w:r w:rsidR="00600941">
        <w:rPr>
          <w:rFonts w:eastAsia="Calibri"/>
          <w:noProof/>
        </w:rPr>
        <w:t>.</w:t>
      </w:r>
      <w:r w:rsidR="007448BA">
        <w:rPr>
          <w:rFonts w:eastAsia="Calibri"/>
          <w:noProof/>
        </w:rPr>
        <w:t>502</w:t>
      </w:r>
      <w:r w:rsidR="00600941">
        <w:rPr>
          <w:rFonts w:eastAsia="Calibri"/>
          <w:noProof/>
        </w:rPr>
        <w:t xml:space="preserve"> new 28</w:t>
      </w:r>
      <w:r w:rsidR="00600941" w:rsidRPr="00312763">
        <w:rPr>
          <w:rFonts w:eastAsia="Calibri"/>
          <w:noProof/>
          <w:vertAlign w:val="superscript"/>
        </w:rPr>
        <w:t>th</w:t>
      </w:r>
      <w:r w:rsidR="00600941">
        <w:rPr>
          <w:rFonts w:eastAsia="Calibri"/>
          <w:noProof/>
        </w:rPr>
        <w:t xml:space="preserve"> regime companies founded by natural persons in the 1st year and </w:t>
      </w:r>
      <w:r w:rsidR="006C4BFB">
        <w:rPr>
          <w:rFonts w:eastAsia="Calibri"/>
          <w:noProof/>
        </w:rPr>
        <w:t>277</w:t>
      </w:r>
      <w:r w:rsidR="000508D9">
        <w:rPr>
          <w:rFonts w:eastAsia="Calibri"/>
          <w:noProof/>
        </w:rPr>
        <w:t> </w:t>
      </w:r>
      <w:r w:rsidR="00F74C0E">
        <w:rPr>
          <w:rFonts w:eastAsia="Calibri"/>
          <w:noProof/>
        </w:rPr>
        <w:t>958</w:t>
      </w:r>
      <w:r w:rsidR="00600941">
        <w:rPr>
          <w:rFonts w:eastAsia="Calibri"/>
          <w:noProof/>
        </w:rPr>
        <w:t xml:space="preserve"> over 10 years. </w:t>
      </w:r>
    </w:p>
    <w:p w14:paraId="087DAAAB" w14:textId="663F6D5B" w:rsidR="004B07E4" w:rsidRDefault="004B07E4" w:rsidP="00B66741">
      <w:pPr>
        <w:spacing w:after="0"/>
        <w:jc w:val="both"/>
        <w:rPr>
          <w:b/>
          <w:noProof/>
          <w:szCs w:val="20"/>
          <w:lang w:val="en-US"/>
        </w:rPr>
      </w:pPr>
      <w:r w:rsidRPr="008C70FB">
        <w:rPr>
          <w:b/>
          <w:noProof/>
          <w:szCs w:val="20"/>
          <w:lang w:val="hu-HU"/>
        </w:rPr>
        <w:t>Policy option 1b</w:t>
      </w:r>
      <w:r>
        <w:rPr>
          <w:b/>
          <w:noProof/>
          <w:szCs w:val="20"/>
          <w:lang w:val="hu-HU"/>
        </w:rPr>
        <w:t xml:space="preserve">: </w:t>
      </w:r>
      <w:r w:rsidR="00326CAA" w:rsidRPr="00326CAA">
        <w:rPr>
          <w:b/>
          <w:noProof/>
          <w:szCs w:val="20"/>
          <w:lang w:val="en-US"/>
        </w:rPr>
        <w:t xml:space="preserve">Option 1a + </w:t>
      </w:r>
      <w:r w:rsidR="00B06E2E">
        <w:rPr>
          <w:b/>
          <w:noProof/>
          <w:szCs w:val="20"/>
          <w:lang w:val="en-US"/>
        </w:rPr>
        <w:t xml:space="preserve">to be set up </w:t>
      </w:r>
      <w:r w:rsidR="00326CAA" w:rsidRPr="00326CAA">
        <w:rPr>
          <w:b/>
          <w:noProof/>
          <w:szCs w:val="20"/>
          <w:lang w:val="en-US"/>
        </w:rPr>
        <w:t xml:space="preserve">also </w:t>
      </w:r>
      <w:r w:rsidR="00B06E2E">
        <w:rPr>
          <w:b/>
          <w:noProof/>
          <w:szCs w:val="20"/>
          <w:lang w:val="en-US"/>
        </w:rPr>
        <w:t>by</w:t>
      </w:r>
      <w:r w:rsidR="00326CAA" w:rsidRPr="00326CAA">
        <w:rPr>
          <w:b/>
          <w:noProof/>
          <w:szCs w:val="20"/>
          <w:lang w:val="en-US"/>
        </w:rPr>
        <w:t xml:space="preserve"> legal persons (28th regime subsidiaries)</w:t>
      </w:r>
      <w:r w:rsidR="00DB5A09">
        <w:rPr>
          <w:b/>
          <w:noProof/>
          <w:szCs w:val="20"/>
          <w:lang w:val="en-US"/>
        </w:rPr>
        <w:t>, with a possibility for e</w:t>
      </w:r>
      <w:r w:rsidR="00326CAA" w:rsidRPr="00326CAA">
        <w:rPr>
          <w:b/>
          <w:noProof/>
          <w:szCs w:val="20"/>
          <w:lang w:val="en-US"/>
        </w:rPr>
        <w:t xml:space="preserve">xisting companies </w:t>
      </w:r>
      <w:r w:rsidR="00DB5A09">
        <w:rPr>
          <w:b/>
          <w:noProof/>
          <w:szCs w:val="20"/>
          <w:lang w:val="en-US"/>
        </w:rPr>
        <w:t xml:space="preserve">to </w:t>
      </w:r>
      <w:r w:rsidR="00326CAA" w:rsidRPr="00326CAA">
        <w:rPr>
          <w:b/>
          <w:noProof/>
          <w:szCs w:val="20"/>
          <w:lang w:val="en-US"/>
        </w:rPr>
        <w:t>convert through domestic conversion</w:t>
      </w:r>
      <w:r w:rsidR="00DB5A09">
        <w:rPr>
          <w:b/>
          <w:noProof/>
          <w:szCs w:val="20"/>
          <w:lang w:val="en-US"/>
        </w:rPr>
        <w:t xml:space="preserve">s, with </w:t>
      </w:r>
      <w:r w:rsidR="00326CAA" w:rsidRPr="00326CAA">
        <w:rPr>
          <w:b/>
          <w:noProof/>
          <w:szCs w:val="20"/>
          <w:lang w:val="en-US"/>
        </w:rPr>
        <w:t>harmonised rules for setting up of branches of 28th regime companies.</w:t>
      </w:r>
    </w:p>
    <w:p w14:paraId="12092BAA" w14:textId="7E7C985E" w:rsidR="00E3622F" w:rsidRPr="00796F30" w:rsidRDefault="00783644" w:rsidP="00E3622F">
      <w:pPr>
        <w:spacing w:after="0"/>
        <w:jc w:val="both"/>
        <w:rPr>
          <w:noProof/>
          <w:szCs w:val="20"/>
          <w:lang w:val="en-US"/>
        </w:rPr>
      </w:pPr>
      <w:r>
        <w:rPr>
          <w:bCs/>
          <w:noProof/>
          <w:szCs w:val="20"/>
        </w:rPr>
        <w:t>In this option, in addition</w:t>
      </w:r>
      <w:r w:rsidR="00BB102D">
        <w:rPr>
          <w:bCs/>
          <w:noProof/>
          <w:szCs w:val="20"/>
        </w:rPr>
        <w:t>,</w:t>
      </w:r>
      <w:r>
        <w:rPr>
          <w:bCs/>
          <w:noProof/>
          <w:szCs w:val="20"/>
        </w:rPr>
        <w:t xml:space="preserve"> legal persons could set up a 28</w:t>
      </w:r>
      <w:r w:rsidRPr="004C3C87">
        <w:rPr>
          <w:noProof/>
          <w:szCs w:val="20"/>
          <w:vertAlign w:val="superscript"/>
        </w:rPr>
        <w:t>th</w:t>
      </w:r>
      <w:r>
        <w:rPr>
          <w:bCs/>
          <w:noProof/>
          <w:szCs w:val="20"/>
        </w:rPr>
        <w:t xml:space="preserve"> regime company. </w:t>
      </w:r>
      <w:r w:rsidR="00064525">
        <w:rPr>
          <w:bCs/>
          <w:noProof/>
          <w:szCs w:val="20"/>
        </w:rPr>
        <w:t>It is estimated that t</w:t>
      </w:r>
      <w:r>
        <w:rPr>
          <w:bCs/>
          <w:noProof/>
          <w:szCs w:val="20"/>
        </w:rPr>
        <w:t xml:space="preserve">his would </w:t>
      </w:r>
      <w:r w:rsidRPr="00796F30">
        <w:rPr>
          <w:noProof/>
          <w:szCs w:val="20"/>
        </w:rPr>
        <w:t xml:space="preserve">correspond to </w:t>
      </w:r>
      <w:r w:rsidR="00597EE3" w:rsidRPr="00796F30">
        <w:rPr>
          <w:bCs/>
          <w:noProof/>
          <w:szCs w:val="20"/>
        </w:rPr>
        <w:t>8</w:t>
      </w:r>
      <w:r w:rsidRPr="00796F30">
        <w:rPr>
          <w:noProof/>
          <w:szCs w:val="20"/>
        </w:rPr>
        <w:t xml:space="preserve">% of </w:t>
      </w:r>
      <w:r w:rsidR="009328EE" w:rsidRPr="00796F30">
        <w:rPr>
          <w:noProof/>
          <w:szCs w:val="20"/>
        </w:rPr>
        <w:t>newly</w:t>
      </w:r>
      <w:r w:rsidR="0096541B" w:rsidRPr="00796F30">
        <w:rPr>
          <w:noProof/>
          <w:szCs w:val="20"/>
        </w:rPr>
        <w:t xml:space="preserve"> created 28</w:t>
      </w:r>
      <w:r w:rsidR="0096541B" w:rsidRPr="00796F30">
        <w:rPr>
          <w:noProof/>
          <w:szCs w:val="20"/>
          <w:vertAlign w:val="superscript"/>
        </w:rPr>
        <w:t>th</w:t>
      </w:r>
      <w:r w:rsidR="0096541B" w:rsidRPr="00796F30">
        <w:rPr>
          <w:noProof/>
          <w:szCs w:val="20"/>
        </w:rPr>
        <w:t xml:space="preserve"> regime companies</w:t>
      </w:r>
      <w:r w:rsidR="0039288F">
        <w:rPr>
          <w:noProof/>
          <w:szCs w:val="20"/>
        </w:rPr>
        <w:t>,</w:t>
      </w:r>
      <w:r w:rsidR="00EC6F8F" w:rsidRPr="00796F30">
        <w:rPr>
          <w:noProof/>
          <w:szCs w:val="20"/>
        </w:rPr>
        <w:t xml:space="preserve"> i.e.</w:t>
      </w:r>
      <w:r w:rsidR="0039288F">
        <w:rPr>
          <w:noProof/>
          <w:szCs w:val="20"/>
        </w:rPr>
        <w:t>,</w:t>
      </w:r>
      <w:r w:rsidR="00EC6F8F" w:rsidRPr="00796F30">
        <w:rPr>
          <w:noProof/>
          <w:szCs w:val="20"/>
        </w:rPr>
        <w:t xml:space="preserve"> </w:t>
      </w:r>
      <w:r w:rsidR="00F9134A" w:rsidRPr="00796F30">
        <w:rPr>
          <w:noProof/>
          <w:szCs w:val="20"/>
        </w:rPr>
        <w:t>13</w:t>
      </w:r>
      <w:r w:rsidR="00926EE4">
        <w:rPr>
          <w:noProof/>
          <w:szCs w:val="20"/>
        </w:rPr>
        <w:t>4</w:t>
      </w:r>
      <w:r w:rsidR="00A65139">
        <w:rPr>
          <w:noProof/>
          <w:szCs w:val="20"/>
        </w:rPr>
        <w:t xml:space="preserve"> </w:t>
      </w:r>
      <w:r w:rsidR="008016A6" w:rsidRPr="00796F30">
        <w:rPr>
          <w:noProof/>
          <w:szCs w:val="20"/>
        </w:rPr>
        <w:t>companies</w:t>
      </w:r>
      <w:r w:rsidR="009F793D" w:rsidRPr="00796F30">
        <w:rPr>
          <w:noProof/>
          <w:szCs w:val="20"/>
        </w:rPr>
        <w:t xml:space="preserve"> in the first year</w:t>
      </w:r>
      <w:r w:rsidR="000D51CC" w:rsidRPr="00796F30">
        <w:rPr>
          <w:noProof/>
          <w:szCs w:val="20"/>
        </w:rPr>
        <w:t xml:space="preserve"> and </w:t>
      </w:r>
      <w:r w:rsidR="00013F24" w:rsidRPr="00796F30">
        <w:rPr>
          <w:noProof/>
          <w:szCs w:val="20"/>
        </w:rPr>
        <w:t>24</w:t>
      </w:r>
      <w:r w:rsidR="000508D9">
        <w:rPr>
          <w:noProof/>
          <w:szCs w:val="20"/>
        </w:rPr>
        <w:t> </w:t>
      </w:r>
      <w:r w:rsidR="00013F24" w:rsidRPr="00796F30">
        <w:rPr>
          <w:noProof/>
          <w:szCs w:val="20"/>
        </w:rPr>
        <w:t>707 over 10 years</w:t>
      </w:r>
      <w:r w:rsidR="004C3C87" w:rsidRPr="00796F30">
        <w:rPr>
          <w:noProof/>
          <w:szCs w:val="20"/>
        </w:rPr>
        <w:t xml:space="preserve">. </w:t>
      </w:r>
    </w:p>
    <w:p w14:paraId="0392B9EE" w14:textId="16ED0DD5" w:rsidR="001D3CE0" w:rsidRDefault="009328EE" w:rsidP="00B66741">
      <w:pPr>
        <w:spacing w:after="0"/>
        <w:jc w:val="both"/>
        <w:rPr>
          <w:noProof/>
        </w:rPr>
      </w:pPr>
      <w:r w:rsidRPr="00796F30">
        <w:rPr>
          <w:noProof/>
        </w:rPr>
        <w:t>In addition,</w:t>
      </w:r>
      <w:r w:rsidR="008A5E7E" w:rsidRPr="00796F30">
        <w:rPr>
          <w:noProof/>
        </w:rPr>
        <w:t xml:space="preserve"> 28</w:t>
      </w:r>
      <w:r w:rsidR="008A5E7E" w:rsidRPr="00796F30">
        <w:rPr>
          <w:noProof/>
          <w:vertAlign w:val="superscript"/>
        </w:rPr>
        <w:t>th</w:t>
      </w:r>
      <w:r w:rsidR="008A5E7E" w:rsidRPr="00796F30">
        <w:rPr>
          <w:noProof/>
        </w:rPr>
        <w:t xml:space="preserve"> regime company </w:t>
      </w:r>
      <w:r w:rsidRPr="00796F30">
        <w:rPr>
          <w:noProof/>
        </w:rPr>
        <w:t xml:space="preserve">could be created </w:t>
      </w:r>
      <w:r w:rsidR="008A5E7E" w:rsidRPr="00796F30">
        <w:rPr>
          <w:noProof/>
        </w:rPr>
        <w:t>through a domestic</w:t>
      </w:r>
      <w:r w:rsidR="008A5E7E">
        <w:rPr>
          <w:noProof/>
        </w:rPr>
        <w:t xml:space="preserve"> conversion</w:t>
      </w:r>
      <w:r>
        <w:rPr>
          <w:noProof/>
        </w:rPr>
        <w:t xml:space="preserve"> of an existing </w:t>
      </w:r>
      <w:r w:rsidR="008125AC">
        <w:rPr>
          <w:noProof/>
        </w:rPr>
        <w:t xml:space="preserve">limited </w:t>
      </w:r>
      <w:r w:rsidR="002479B5">
        <w:rPr>
          <w:noProof/>
        </w:rPr>
        <w:t>liability</w:t>
      </w:r>
      <w:r w:rsidR="008125AC">
        <w:rPr>
          <w:noProof/>
        </w:rPr>
        <w:t xml:space="preserve"> company. </w:t>
      </w:r>
      <w:r w:rsidR="004B2C7B">
        <w:rPr>
          <w:noProof/>
        </w:rPr>
        <w:t xml:space="preserve">Given </w:t>
      </w:r>
      <w:r w:rsidR="00015380">
        <w:rPr>
          <w:noProof/>
        </w:rPr>
        <w:t xml:space="preserve">the </w:t>
      </w:r>
      <w:r w:rsidR="004B2C7B">
        <w:rPr>
          <w:noProof/>
        </w:rPr>
        <w:t xml:space="preserve">interest of the </w:t>
      </w:r>
      <w:r w:rsidR="00600690">
        <w:rPr>
          <w:noProof/>
        </w:rPr>
        <w:t>s</w:t>
      </w:r>
      <w:r w:rsidR="097CC195">
        <w:rPr>
          <w:noProof/>
        </w:rPr>
        <w:t>tartup</w:t>
      </w:r>
      <w:r w:rsidR="00600690">
        <w:rPr>
          <w:noProof/>
        </w:rPr>
        <w:t xml:space="preserve"> community </w:t>
      </w:r>
      <w:r w:rsidR="002678EA">
        <w:rPr>
          <w:noProof/>
        </w:rPr>
        <w:t>(</w:t>
      </w:r>
      <w:r w:rsidR="00B30B7D">
        <w:rPr>
          <w:noProof/>
        </w:rPr>
        <w:t xml:space="preserve">including </w:t>
      </w:r>
      <w:r w:rsidR="002678EA">
        <w:rPr>
          <w:noProof/>
        </w:rPr>
        <w:t>existing companies)</w:t>
      </w:r>
      <w:r w:rsidR="00600690">
        <w:rPr>
          <w:noProof/>
        </w:rPr>
        <w:t xml:space="preserve"> </w:t>
      </w:r>
      <w:r w:rsidR="002678EA">
        <w:rPr>
          <w:noProof/>
        </w:rPr>
        <w:t>in</w:t>
      </w:r>
      <w:r w:rsidR="00064525">
        <w:rPr>
          <w:noProof/>
        </w:rPr>
        <w:t xml:space="preserve"> calling for</w:t>
      </w:r>
      <w:r w:rsidR="002678EA">
        <w:rPr>
          <w:noProof/>
        </w:rPr>
        <w:t xml:space="preserve"> the 28</w:t>
      </w:r>
      <w:r w:rsidR="002678EA" w:rsidRPr="13E455CC">
        <w:rPr>
          <w:noProof/>
          <w:vertAlign w:val="superscript"/>
        </w:rPr>
        <w:t>th</w:t>
      </w:r>
      <w:r w:rsidR="002678EA">
        <w:rPr>
          <w:noProof/>
        </w:rPr>
        <w:t xml:space="preserve"> regime </w:t>
      </w:r>
      <w:r w:rsidR="00174DBE">
        <w:rPr>
          <w:noProof/>
        </w:rPr>
        <w:t>legal framework, i</w:t>
      </w:r>
      <w:r w:rsidR="001E6DDC">
        <w:rPr>
          <w:noProof/>
        </w:rPr>
        <w:t xml:space="preserve">t is estimated that </w:t>
      </w:r>
      <w:r w:rsidR="00CD1B9A" w:rsidRPr="00663CEF">
        <w:rPr>
          <w:noProof/>
        </w:rPr>
        <w:t>1.9</w:t>
      </w:r>
      <w:r w:rsidR="004F16AD" w:rsidRPr="00663CEF">
        <w:rPr>
          <w:noProof/>
        </w:rPr>
        <w:t>%</w:t>
      </w:r>
      <w:r w:rsidR="004F16AD">
        <w:rPr>
          <w:noProof/>
        </w:rPr>
        <w:t xml:space="preserve"> </w:t>
      </w:r>
      <w:r w:rsidR="00F67CD9">
        <w:rPr>
          <w:noProof/>
        </w:rPr>
        <w:t xml:space="preserve">of </w:t>
      </w:r>
      <w:r w:rsidR="003F13C4">
        <w:rPr>
          <w:noProof/>
        </w:rPr>
        <w:t xml:space="preserve">the </w:t>
      </w:r>
      <w:r w:rsidR="00187906">
        <w:rPr>
          <w:noProof/>
        </w:rPr>
        <w:t xml:space="preserve">existing companies interested in setting </w:t>
      </w:r>
      <w:r w:rsidR="003F13C4">
        <w:rPr>
          <w:noProof/>
        </w:rPr>
        <w:t>28</w:t>
      </w:r>
      <w:r w:rsidR="003F13C4" w:rsidRPr="00796F30">
        <w:rPr>
          <w:noProof/>
          <w:vertAlign w:val="superscript"/>
        </w:rPr>
        <w:t>th</w:t>
      </w:r>
      <w:r w:rsidR="003F13C4">
        <w:rPr>
          <w:noProof/>
        </w:rPr>
        <w:t xml:space="preserve"> regime companies</w:t>
      </w:r>
      <w:r w:rsidR="00A12FBC">
        <w:rPr>
          <w:noProof/>
        </w:rPr>
        <w:t xml:space="preserve"> </w:t>
      </w:r>
      <w:r w:rsidR="003F13C4">
        <w:rPr>
          <w:noProof/>
        </w:rPr>
        <w:t>could be created through domestic conversion</w:t>
      </w:r>
      <w:r w:rsidR="00FE7EAF">
        <w:rPr>
          <w:noProof/>
        </w:rPr>
        <w:t>. In the 1</w:t>
      </w:r>
      <w:r w:rsidR="00FE7EAF" w:rsidRPr="13E455CC">
        <w:rPr>
          <w:noProof/>
          <w:vertAlign w:val="superscript"/>
        </w:rPr>
        <w:t>st</w:t>
      </w:r>
      <w:r w:rsidR="00FE7EAF">
        <w:rPr>
          <w:noProof/>
        </w:rPr>
        <w:t xml:space="preserve"> year, this would amount to </w:t>
      </w:r>
      <w:r w:rsidR="00454327">
        <w:rPr>
          <w:noProof/>
        </w:rPr>
        <w:t>32</w:t>
      </w:r>
      <w:r w:rsidR="00804FF0">
        <w:rPr>
          <w:noProof/>
        </w:rPr>
        <w:t xml:space="preserve"> </w:t>
      </w:r>
      <w:r w:rsidR="00156D4E">
        <w:rPr>
          <w:noProof/>
        </w:rPr>
        <w:t xml:space="preserve">conversions and over the </w:t>
      </w:r>
      <w:r w:rsidR="005F68DF">
        <w:rPr>
          <w:noProof/>
        </w:rPr>
        <w:t>period</w:t>
      </w:r>
      <w:r w:rsidR="00156D4E">
        <w:rPr>
          <w:noProof/>
        </w:rPr>
        <w:t xml:space="preserve"> of 10 years, the</w:t>
      </w:r>
      <w:r w:rsidR="005F68DF">
        <w:rPr>
          <w:noProof/>
        </w:rPr>
        <w:t xml:space="preserve">re would be </w:t>
      </w:r>
      <w:r w:rsidR="00F07AFA">
        <w:rPr>
          <w:noProof/>
        </w:rPr>
        <w:t>5</w:t>
      </w:r>
      <w:r w:rsidR="000508D9">
        <w:rPr>
          <w:noProof/>
        </w:rPr>
        <w:t> </w:t>
      </w:r>
      <w:r w:rsidR="00F07AFA">
        <w:rPr>
          <w:noProof/>
        </w:rPr>
        <w:t>8</w:t>
      </w:r>
      <w:r w:rsidR="001D531C">
        <w:rPr>
          <w:noProof/>
        </w:rPr>
        <w:t>68</w:t>
      </w:r>
      <w:r w:rsidR="008712FE">
        <w:rPr>
          <w:noProof/>
        </w:rPr>
        <w:t xml:space="preserve"> companies created through</w:t>
      </w:r>
      <w:r w:rsidR="001A74C7">
        <w:rPr>
          <w:noProof/>
        </w:rPr>
        <w:t xml:space="preserve"> </w:t>
      </w:r>
      <w:r w:rsidR="00203948">
        <w:rPr>
          <w:noProof/>
        </w:rPr>
        <w:t xml:space="preserve">conversions. </w:t>
      </w:r>
    </w:p>
    <w:p w14:paraId="181E5AE4" w14:textId="1F843E58" w:rsidR="001D3CE0" w:rsidRPr="000673DE" w:rsidRDefault="001D3CE0" w:rsidP="00B66741">
      <w:pPr>
        <w:spacing w:after="0"/>
        <w:jc w:val="both"/>
        <w:rPr>
          <w:b/>
          <w:noProof/>
          <w:szCs w:val="20"/>
          <w:lang w:val="en-US"/>
        </w:rPr>
      </w:pPr>
      <w:r w:rsidRPr="008C70FB">
        <w:rPr>
          <w:b/>
          <w:noProof/>
          <w:szCs w:val="20"/>
          <w:lang w:val="hu-HU"/>
        </w:rPr>
        <w:t>Policy option 1</w:t>
      </w:r>
      <w:r>
        <w:rPr>
          <w:b/>
          <w:noProof/>
          <w:szCs w:val="20"/>
          <w:lang w:val="hu-HU"/>
        </w:rPr>
        <w:t xml:space="preserve">c: </w:t>
      </w:r>
      <w:r w:rsidR="00326CAA" w:rsidRPr="00326CAA">
        <w:rPr>
          <w:b/>
          <w:noProof/>
          <w:szCs w:val="20"/>
          <w:lang w:val="en-US"/>
        </w:rPr>
        <w:t xml:space="preserve">Option 1b + </w:t>
      </w:r>
      <w:r w:rsidR="00A8690D">
        <w:rPr>
          <w:b/>
          <w:noProof/>
          <w:szCs w:val="20"/>
          <w:lang w:val="en-US"/>
        </w:rPr>
        <w:t xml:space="preserve">a possibility for </w:t>
      </w:r>
      <w:r w:rsidR="00326CAA" w:rsidRPr="00326CAA">
        <w:rPr>
          <w:b/>
          <w:noProof/>
          <w:szCs w:val="20"/>
          <w:lang w:val="en-US"/>
        </w:rPr>
        <w:t xml:space="preserve">existing companies </w:t>
      </w:r>
      <w:r w:rsidR="00A8690D">
        <w:rPr>
          <w:b/>
          <w:noProof/>
          <w:szCs w:val="20"/>
          <w:lang w:val="en-US"/>
        </w:rPr>
        <w:t>to</w:t>
      </w:r>
      <w:r w:rsidR="00326CAA" w:rsidRPr="00326CAA">
        <w:rPr>
          <w:b/>
          <w:noProof/>
          <w:szCs w:val="20"/>
          <w:lang w:val="en-US"/>
        </w:rPr>
        <w:t xml:space="preserve"> create a 28th regime company through a cross-border conversion, division or merger in accordance with Directive 2019/2121.</w:t>
      </w:r>
    </w:p>
    <w:p w14:paraId="39CB19B7" w14:textId="0752830B" w:rsidR="00F44C92" w:rsidRDefault="00066B8A" w:rsidP="00F44C92">
      <w:pPr>
        <w:spacing w:after="0"/>
        <w:jc w:val="both"/>
        <w:rPr>
          <w:noProof/>
        </w:rPr>
      </w:pPr>
      <w:r w:rsidRPr="469F4BC7">
        <w:rPr>
          <w:noProof/>
          <w:lang w:val="en-US"/>
        </w:rPr>
        <w:t xml:space="preserve">There </w:t>
      </w:r>
      <w:r w:rsidR="00A0522B" w:rsidRPr="469F4BC7">
        <w:rPr>
          <w:noProof/>
          <w:lang w:val="en-US"/>
        </w:rPr>
        <w:t>are around 400-500 cross-border merger</w:t>
      </w:r>
      <w:r w:rsidR="00AD18CF" w:rsidRPr="469F4BC7">
        <w:rPr>
          <w:noProof/>
          <w:lang w:val="en-US"/>
        </w:rPr>
        <w:t>s</w:t>
      </w:r>
      <w:r w:rsidR="00A0522B" w:rsidRPr="469F4BC7">
        <w:rPr>
          <w:noProof/>
          <w:lang w:val="en-US"/>
        </w:rPr>
        <w:t xml:space="preserve"> annually</w:t>
      </w:r>
      <w:r w:rsidR="00566FAF" w:rsidRPr="469F4BC7">
        <w:rPr>
          <w:noProof/>
          <w:lang w:val="en-US"/>
        </w:rPr>
        <w:t xml:space="preserve"> in the EU</w:t>
      </w:r>
      <w:r w:rsidR="00A0522B" w:rsidRPr="469F4BC7">
        <w:rPr>
          <w:rStyle w:val="FootnoteReference"/>
          <w:noProof/>
          <w:lang w:val="en-US"/>
        </w:rPr>
        <w:footnoteReference w:id="2"/>
      </w:r>
      <w:r w:rsidR="00A0522B" w:rsidRPr="469F4BC7">
        <w:rPr>
          <w:noProof/>
          <w:lang w:val="en-US"/>
        </w:rPr>
        <w:t xml:space="preserve">. Given </w:t>
      </w:r>
      <w:r w:rsidR="00E37790" w:rsidRPr="469F4BC7">
        <w:rPr>
          <w:noProof/>
          <w:lang w:val="en-US"/>
        </w:rPr>
        <w:t>th</w:t>
      </w:r>
      <w:r w:rsidR="00B255EB" w:rsidRPr="469F4BC7">
        <w:rPr>
          <w:noProof/>
          <w:lang w:val="en-US"/>
        </w:rPr>
        <w:t>e recent transposition of</w:t>
      </w:r>
      <w:r w:rsidR="00E37790" w:rsidRPr="469F4BC7">
        <w:rPr>
          <w:noProof/>
          <w:lang w:val="en-US"/>
        </w:rPr>
        <w:t xml:space="preserve"> the </w:t>
      </w:r>
      <w:r w:rsidR="00641D7F" w:rsidRPr="469F4BC7">
        <w:rPr>
          <w:noProof/>
          <w:lang w:val="en-US"/>
        </w:rPr>
        <w:t>Cross-Border Mobility D</w:t>
      </w:r>
      <w:r w:rsidR="00E37790" w:rsidRPr="469F4BC7">
        <w:rPr>
          <w:noProof/>
          <w:lang w:val="en-US"/>
        </w:rPr>
        <w:t xml:space="preserve">irective </w:t>
      </w:r>
      <w:r w:rsidR="00B255EB" w:rsidRPr="469F4BC7">
        <w:rPr>
          <w:noProof/>
          <w:lang w:val="en-US"/>
        </w:rPr>
        <w:t xml:space="preserve">harmonizing </w:t>
      </w:r>
      <w:r w:rsidR="00641D7F" w:rsidRPr="469F4BC7">
        <w:rPr>
          <w:noProof/>
          <w:lang w:val="en-US"/>
        </w:rPr>
        <w:t>also</w:t>
      </w:r>
      <w:r w:rsidR="00B255EB" w:rsidRPr="469F4BC7">
        <w:rPr>
          <w:noProof/>
          <w:lang w:val="en-US"/>
        </w:rPr>
        <w:t xml:space="preserve"> cross-border divisions and conversions</w:t>
      </w:r>
      <w:r w:rsidR="00B255EB" w:rsidRPr="469F4BC7">
        <w:rPr>
          <w:rStyle w:val="FootnoteReference"/>
          <w:noProof/>
          <w:lang w:val="en-US"/>
        </w:rPr>
        <w:footnoteReference w:id="3"/>
      </w:r>
      <w:r w:rsidR="00B255EB" w:rsidRPr="469F4BC7">
        <w:rPr>
          <w:noProof/>
          <w:lang w:val="en-US"/>
        </w:rPr>
        <w:t>, the number</w:t>
      </w:r>
      <w:r w:rsidR="007B607F" w:rsidRPr="469F4BC7">
        <w:rPr>
          <w:noProof/>
          <w:lang w:val="en-US"/>
        </w:rPr>
        <w:t>s</w:t>
      </w:r>
      <w:r w:rsidR="00B255EB" w:rsidRPr="469F4BC7">
        <w:rPr>
          <w:noProof/>
          <w:lang w:val="en-US"/>
        </w:rPr>
        <w:t xml:space="preserve"> of those cross-border operations are not yet available. </w:t>
      </w:r>
      <w:r w:rsidR="000C0DE4" w:rsidRPr="469F4BC7">
        <w:rPr>
          <w:noProof/>
          <w:lang w:val="en-US"/>
        </w:rPr>
        <w:t>In any event</w:t>
      </w:r>
      <w:r w:rsidR="00CD5F41" w:rsidRPr="469F4BC7">
        <w:rPr>
          <w:noProof/>
          <w:lang w:val="en-US"/>
        </w:rPr>
        <w:t>, given that</w:t>
      </w:r>
      <w:r w:rsidR="00DE0330" w:rsidRPr="469F4BC7">
        <w:rPr>
          <w:noProof/>
          <w:lang w:val="en-US"/>
        </w:rPr>
        <w:t xml:space="preserve"> </w:t>
      </w:r>
      <w:r w:rsidR="00B3258D" w:rsidRPr="469F4BC7">
        <w:rPr>
          <w:noProof/>
          <w:lang w:val="en-US"/>
        </w:rPr>
        <w:t>these operations</w:t>
      </w:r>
      <w:r w:rsidR="00D3163C" w:rsidRPr="469F4BC7">
        <w:rPr>
          <w:noProof/>
          <w:lang w:val="en-US"/>
        </w:rPr>
        <w:t xml:space="preserve"> </w:t>
      </w:r>
      <w:r w:rsidR="00750976" w:rsidRPr="469F4BC7">
        <w:rPr>
          <w:noProof/>
          <w:lang w:val="en-US"/>
        </w:rPr>
        <w:t xml:space="preserve">consist of many </w:t>
      </w:r>
      <w:r w:rsidR="00DE3B04" w:rsidRPr="469F4BC7">
        <w:rPr>
          <w:noProof/>
          <w:lang w:val="en-US"/>
        </w:rPr>
        <w:t xml:space="preserve">steps, are </w:t>
      </w:r>
      <w:r w:rsidR="00EE63E9" w:rsidRPr="469F4BC7">
        <w:rPr>
          <w:noProof/>
          <w:lang w:val="en-US"/>
        </w:rPr>
        <w:t>time</w:t>
      </w:r>
      <w:r w:rsidR="004B1455">
        <w:rPr>
          <w:noProof/>
          <w:lang w:val="en-US"/>
        </w:rPr>
        <w:t>-consuming</w:t>
      </w:r>
      <w:r w:rsidR="00EE63E9" w:rsidRPr="469F4BC7">
        <w:rPr>
          <w:noProof/>
          <w:lang w:val="en-US"/>
        </w:rPr>
        <w:t xml:space="preserve"> and costly and therefore </w:t>
      </w:r>
      <w:r w:rsidR="00B3258D" w:rsidRPr="469F4BC7">
        <w:rPr>
          <w:noProof/>
          <w:lang w:val="en-US"/>
        </w:rPr>
        <w:t>would</w:t>
      </w:r>
      <w:r w:rsidR="002479B5" w:rsidRPr="469F4BC7">
        <w:rPr>
          <w:noProof/>
          <w:lang w:val="en-US"/>
        </w:rPr>
        <w:t xml:space="preserve"> </w:t>
      </w:r>
      <w:r w:rsidR="00EE63E9" w:rsidRPr="469F4BC7">
        <w:rPr>
          <w:noProof/>
          <w:lang w:val="en-US"/>
        </w:rPr>
        <w:t xml:space="preserve">not meet the needs of the </w:t>
      </w:r>
      <w:r w:rsidR="003C1CB1" w:rsidRPr="469F4BC7">
        <w:rPr>
          <w:noProof/>
          <w:lang w:val="en-US"/>
        </w:rPr>
        <w:t>s</w:t>
      </w:r>
      <w:r w:rsidR="469BA5D4" w:rsidRPr="469F4BC7">
        <w:rPr>
          <w:noProof/>
          <w:lang w:val="en-US"/>
        </w:rPr>
        <w:t>tartup</w:t>
      </w:r>
      <w:r w:rsidR="003C1CB1" w:rsidRPr="469F4BC7">
        <w:rPr>
          <w:noProof/>
          <w:lang w:val="en-US"/>
        </w:rPr>
        <w:t>s</w:t>
      </w:r>
      <w:r w:rsidR="008D38F6">
        <w:rPr>
          <w:noProof/>
          <w:lang w:val="en-US"/>
        </w:rPr>
        <w:t xml:space="preserve"> (with limited financial resources) </w:t>
      </w:r>
      <w:r w:rsidR="003C1CB1" w:rsidRPr="469F4BC7">
        <w:rPr>
          <w:noProof/>
          <w:lang w:val="en-US"/>
        </w:rPr>
        <w:t>in terms of quick and efficient setting-up</w:t>
      </w:r>
      <w:r w:rsidR="00CD5F41" w:rsidRPr="469F4BC7">
        <w:rPr>
          <w:noProof/>
          <w:lang w:val="en-US"/>
        </w:rPr>
        <w:t xml:space="preserve">, it is estimated that </w:t>
      </w:r>
      <w:r w:rsidR="00B66E8B" w:rsidRPr="469F4BC7">
        <w:rPr>
          <w:noProof/>
          <w:lang w:val="en-US"/>
        </w:rPr>
        <w:t>only</w:t>
      </w:r>
      <w:r w:rsidR="0057270C" w:rsidRPr="469F4BC7" w:rsidDel="00501B85">
        <w:rPr>
          <w:noProof/>
          <w:lang w:val="en-US"/>
        </w:rPr>
        <w:t xml:space="preserve"> </w:t>
      </w:r>
      <w:r w:rsidR="00501B85" w:rsidRPr="00663CEF">
        <w:rPr>
          <w:noProof/>
          <w:lang w:val="en-US"/>
        </w:rPr>
        <w:t>0.1%</w:t>
      </w:r>
      <w:r w:rsidR="00501B85" w:rsidRPr="00A61ABC">
        <w:rPr>
          <w:noProof/>
          <w:lang w:val="en-US"/>
        </w:rPr>
        <w:t xml:space="preserve"> </w:t>
      </w:r>
      <w:r w:rsidR="00EC6A56">
        <w:rPr>
          <w:noProof/>
          <w:lang w:val="en-US"/>
        </w:rPr>
        <w:t xml:space="preserve">of </w:t>
      </w:r>
      <w:r w:rsidR="00B66E8B" w:rsidRPr="469F4BC7">
        <w:rPr>
          <w:noProof/>
          <w:lang w:val="en-US"/>
        </w:rPr>
        <w:t>28</w:t>
      </w:r>
      <w:r w:rsidR="00B66E8B" w:rsidRPr="469F4BC7">
        <w:rPr>
          <w:noProof/>
          <w:vertAlign w:val="superscript"/>
          <w:lang w:val="en-US"/>
        </w:rPr>
        <w:t>th</w:t>
      </w:r>
      <w:r w:rsidR="00B66E8B" w:rsidRPr="469F4BC7">
        <w:rPr>
          <w:noProof/>
          <w:lang w:val="en-US"/>
        </w:rPr>
        <w:t xml:space="preserve"> regime compan</w:t>
      </w:r>
      <w:r w:rsidR="00EC6A56">
        <w:rPr>
          <w:noProof/>
          <w:lang w:val="en-US"/>
        </w:rPr>
        <w:t xml:space="preserve">ies </w:t>
      </w:r>
      <w:r w:rsidR="006A7B77">
        <w:rPr>
          <w:noProof/>
          <w:lang w:val="en-US"/>
        </w:rPr>
        <w:t>would be created this way</w:t>
      </w:r>
      <w:r w:rsidR="00B43624" w:rsidRPr="469F4BC7">
        <w:rPr>
          <w:noProof/>
          <w:lang w:val="en-US"/>
        </w:rPr>
        <w:t xml:space="preserve">. </w:t>
      </w:r>
      <w:r w:rsidR="00F44C92">
        <w:rPr>
          <w:noProof/>
        </w:rPr>
        <w:t>In the 1</w:t>
      </w:r>
      <w:r w:rsidR="00F44C92" w:rsidRPr="13E455CC">
        <w:rPr>
          <w:noProof/>
          <w:vertAlign w:val="superscript"/>
        </w:rPr>
        <w:t>st</w:t>
      </w:r>
      <w:r w:rsidR="00F44C92">
        <w:rPr>
          <w:noProof/>
        </w:rPr>
        <w:t xml:space="preserve"> year, this would amount to </w:t>
      </w:r>
      <w:r w:rsidR="00234E91">
        <w:rPr>
          <w:noProof/>
        </w:rPr>
        <w:t>2 28</w:t>
      </w:r>
      <w:r w:rsidR="00234E91" w:rsidRPr="00A61ABC">
        <w:rPr>
          <w:noProof/>
          <w:vertAlign w:val="superscript"/>
        </w:rPr>
        <w:t>th</w:t>
      </w:r>
      <w:r w:rsidR="00234E91">
        <w:rPr>
          <w:noProof/>
        </w:rPr>
        <w:t xml:space="preserve"> regime companies created through cross-border operations</w:t>
      </w:r>
      <w:r w:rsidR="00F44C92">
        <w:rPr>
          <w:noProof/>
        </w:rPr>
        <w:t xml:space="preserve"> and over the period of 10 years</w:t>
      </w:r>
      <w:r w:rsidR="001743AB">
        <w:rPr>
          <w:noProof/>
        </w:rPr>
        <w:t>,</w:t>
      </w:r>
      <w:r w:rsidR="00D05B83">
        <w:rPr>
          <w:noProof/>
        </w:rPr>
        <w:t xml:space="preserve"> </w:t>
      </w:r>
      <w:r w:rsidR="001B7788">
        <w:rPr>
          <w:noProof/>
        </w:rPr>
        <w:t>30</w:t>
      </w:r>
      <w:r w:rsidR="00001A54">
        <w:rPr>
          <w:noProof/>
        </w:rPr>
        <w:t>9</w:t>
      </w:r>
      <w:r w:rsidR="00F44C92">
        <w:rPr>
          <w:noProof/>
        </w:rPr>
        <w:t xml:space="preserve"> 28</w:t>
      </w:r>
      <w:r w:rsidR="00F44C92" w:rsidRPr="008712FE">
        <w:rPr>
          <w:noProof/>
          <w:vertAlign w:val="superscript"/>
        </w:rPr>
        <w:t>th</w:t>
      </w:r>
      <w:r w:rsidR="00F44C92">
        <w:rPr>
          <w:noProof/>
        </w:rPr>
        <w:t xml:space="preserve"> regime companies </w:t>
      </w:r>
      <w:r w:rsidR="001743AB">
        <w:rPr>
          <w:noProof/>
        </w:rPr>
        <w:t xml:space="preserve">would be </w:t>
      </w:r>
      <w:r w:rsidR="00F44C92">
        <w:rPr>
          <w:noProof/>
        </w:rPr>
        <w:t>created</w:t>
      </w:r>
      <w:r w:rsidR="001B7788">
        <w:rPr>
          <w:noProof/>
        </w:rPr>
        <w:t xml:space="preserve"> in this way</w:t>
      </w:r>
      <w:r w:rsidR="00F44C92">
        <w:rPr>
          <w:noProof/>
        </w:rPr>
        <w:t xml:space="preserve">. </w:t>
      </w:r>
    </w:p>
    <w:p w14:paraId="6E04B3E8" w14:textId="77777777" w:rsidR="00F44C92" w:rsidRDefault="00F44C92" w:rsidP="00B66741">
      <w:pPr>
        <w:tabs>
          <w:tab w:val="left" w:pos="170"/>
        </w:tabs>
        <w:jc w:val="both"/>
        <w:rPr>
          <w:noProof/>
        </w:rPr>
      </w:pPr>
    </w:p>
    <w:p w14:paraId="07A93C80" w14:textId="0969ED4E" w:rsidR="00087568" w:rsidRPr="00C705A7" w:rsidRDefault="00087568" w:rsidP="00B66741">
      <w:pPr>
        <w:tabs>
          <w:tab w:val="left" w:pos="170"/>
        </w:tabs>
        <w:jc w:val="both"/>
        <w:rPr>
          <w:b/>
          <w:smallCaps/>
          <w:noProof/>
          <w:u w:val="single"/>
          <w:lang w:val="en-US"/>
        </w:rPr>
      </w:pPr>
      <w:r w:rsidRPr="469F4BC7">
        <w:rPr>
          <w:b/>
          <w:smallCaps/>
          <w:noProof/>
          <w:u w:val="single"/>
          <w:lang w:val="hu-HU"/>
        </w:rPr>
        <w:t xml:space="preserve">Policy options </w:t>
      </w:r>
      <w:r w:rsidRPr="469F4BC7">
        <w:rPr>
          <w:b/>
          <w:smallCaps/>
          <w:noProof/>
          <w:u w:val="single"/>
          <w:lang w:val="en-US"/>
        </w:rPr>
        <w:t xml:space="preserve">2 </w:t>
      </w:r>
      <w:r w:rsidR="00A374EB" w:rsidRPr="469F4BC7">
        <w:rPr>
          <w:b/>
          <w:smallCaps/>
          <w:noProof/>
          <w:u w:val="single"/>
        </w:rPr>
        <w:t xml:space="preserve">to make registration of </w:t>
      </w:r>
      <w:r>
        <w:rPr>
          <w:b/>
          <w:smallCaps/>
          <w:noProof/>
          <w:u w:val="single"/>
        </w:rPr>
        <w:t xml:space="preserve">companies, in particular </w:t>
      </w:r>
      <w:r w:rsidR="00A374EB" w:rsidRPr="469F4BC7">
        <w:rPr>
          <w:b/>
          <w:bCs/>
          <w:smallCaps/>
          <w:noProof/>
          <w:u w:val="single"/>
        </w:rPr>
        <w:t>s</w:t>
      </w:r>
      <w:r w:rsidR="055DA515" w:rsidRPr="469F4BC7">
        <w:rPr>
          <w:b/>
          <w:bCs/>
          <w:smallCaps/>
          <w:noProof/>
          <w:u w:val="single"/>
        </w:rPr>
        <w:t>tartup</w:t>
      </w:r>
      <w:r w:rsidR="00A374EB" w:rsidRPr="469F4BC7">
        <w:rPr>
          <w:b/>
          <w:bCs/>
          <w:smallCaps/>
          <w:noProof/>
          <w:u w:val="single"/>
        </w:rPr>
        <w:t>s</w:t>
      </w:r>
      <w:r w:rsidR="00A374EB" w:rsidRPr="469F4BC7">
        <w:rPr>
          <w:b/>
          <w:smallCaps/>
          <w:noProof/>
          <w:u w:val="single"/>
        </w:rPr>
        <w:t xml:space="preserve"> quicker and simpler</w:t>
      </w:r>
    </w:p>
    <w:p w14:paraId="4F6A08B5" w14:textId="7E1609BF" w:rsidR="004B07E4" w:rsidRPr="003B14BB" w:rsidRDefault="004B07E4" w:rsidP="00B66741">
      <w:pPr>
        <w:spacing w:after="0"/>
        <w:jc w:val="both"/>
        <w:rPr>
          <w:b/>
          <w:noProof/>
          <w:szCs w:val="20"/>
          <w:lang w:val="en-US"/>
        </w:rPr>
      </w:pPr>
      <w:r w:rsidRPr="003B14BB">
        <w:rPr>
          <w:b/>
          <w:noProof/>
          <w:szCs w:val="20"/>
        </w:rPr>
        <w:t>Policy Option 2a</w:t>
      </w:r>
      <w:r>
        <w:rPr>
          <w:b/>
          <w:noProof/>
          <w:szCs w:val="20"/>
        </w:rPr>
        <w:t>:</w:t>
      </w:r>
      <w:r w:rsidR="00326CAA">
        <w:rPr>
          <w:b/>
          <w:noProof/>
          <w:szCs w:val="20"/>
        </w:rPr>
        <w:t xml:space="preserve"> </w:t>
      </w:r>
      <w:r w:rsidR="00326CAA" w:rsidRPr="00326CAA">
        <w:rPr>
          <w:b/>
          <w:noProof/>
          <w:szCs w:val="20"/>
        </w:rPr>
        <w:t>Create an EU single interface based on BRIS for the registration of 28th regime companies with harmonised bilingual templates (EN/national language) and preventive administrative, judicial or notarial control.</w:t>
      </w:r>
    </w:p>
    <w:p w14:paraId="067F58B6" w14:textId="77777777" w:rsidR="00975DA6" w:rsidRDefault="00972548" w:rsidP="00491C52">
      <w:pPr>
        <w:spacing w:after="0"/>
        <w:jc w:val="both"/>
        <w:rPr>
          <w:bCs/>
          <w:noProof/>
          <w:szCs w:val="20"/>
        </w:rPr>
      </w:pPr>
      <w:r>
        <w:rPr>
          <w:bCs/>
          <w:noProof/>
          <w:szCs w:val="20"/>
        </w:rPr>
        <w:t xml:space="preserve">Under this option, founders would be able to set </w:t>
      </w:r>
      <w:r w:rsidR="00E04012">
        <w:rPr>
          <w:bCs/>
          <w:noProof/>
          <w:szCs w:val="20"/>
        </w:rPr>
        <w:t>up</w:t>
      </w:r>
      <w:r>
        <w:rPr>
          <w:bCs/>
          <w:noProof/>
          <w:szCs w:val="20"/>
        </w:rPr>
        <w:t xml:space="preserve"> a company </w:t>
      </w:r>
      <w:r w:rsidRPr="00492758">
        <w:rPr>
          <w:bCs/>
          <w:noProof/>
          <w:szCs w:val="20"/>
        </w:rPr>
        <w:t xml:space="preserve">directly </w:t>
      </w:r>
      <w:r>
        <w:rPr>
          <w:bCs/>
          <w:noProof/>
          <w:szCs w:val="20"/>
        </w:rPr>
        <w:t>through a single interface and by using a bilingual template</w:t>
      </w:r>
      <w:r w:rsidR="00E50675">
        <w:rPr>
          <w:bCs/>
          <w:noProof/>
          <w:szCs w:val="20"/>
        </w:rPr>
        <w:t xml:space="preserve"> i.e</w:t>
      </w:r>
      <w:r w:rsidR="00931974">
        <w:rPr>
          <w:bCs/>
          <w:noProof/>
          <w:szCs w:val="20"/>
        </w:rPr>
        <w:t>.</w:t>
      </w:r>
      <w:r w:rsidR="00E50675">
        <w:rPr>
          <w:bCs/>
          <w:noProof/>
          <w:szCs w:val="20"/>
        </w:rPr>
        <w:t xml:space="preserve"> </w:t>
      </w:r>
      <w:r w:rsidR="00931974">
        <w:rPr>
          <w:bCs/>
          <w:noProof/>
          <w:szCs w:val="20"/>
        </w:rPr>
        <w:t>standardised</w:t>
      </w:r>
      <w:r w:rsidR="00E50675">
        <w:rPr>
          <w:bCs/>
          <w:noProof/>
          <w:szCs w:val="20"/>
        </w:rPr>
        <w:t xml:space="preserve"> </w:t>
      </w:r>
      <w:r w:rsidR="00931974">
        <w:rPr>
          <w:bCs/>
          <w:noProof/>
          <w:szCs w:val="20"/>
        </w:rPr>
        <w:t>instrument of constitution/articles of association</w:t>
      </w:r>
      <w:r>
        <w:rPr>
          <w:bCs/>
          <w:noProof/>
          <w:szCs w:val="20"/>
        </w:rPr>
        <w:t xml:space="preserve">. </w:t>
      </w:r>
      <w:r w:rsidR="005F6DC8">
        <w:rPr>
          <w:bCs/>
          <w:noProof/>
          <w:szCs w:val="20"/>
        </w:rPr>
        <w:t>Today w</w:t>
      </w:r>
      <w:r w:rsidR="006B4452">
        <w:rPr>
          <w:bCs/>
          <w:noProof/>
          <w:szCs w:val="20"/>
        </w:rPr>
        <w:t xml:space="preserve">hen setting up a company, founders </w:t>
      </w:r>
      <w:r w:rsidR="00340A35">
        <w:rPr>
          <w:bCs/>
          <w:noProof/>
          <w:szCs w:val="20"/>
        </w:rPr>
        <w:t>need to</w:t>
      </w:r>
      <w:r w:rsidR="00620FEF">
        <w:rPr>
          <w:bCs/>
          <w:noProof/>
          <w:szCs w:val="20"/>
        </w:rPr>
        <w:t xml:space="preserve"> </w:t>
      </w:r>
      <w:r w:rsidR="005F6DC8">
        <w:rPr>
          <w:bCs/>
          <w:noProof/>
          <w:szCs w:val="20"/>
        </w:rPr>
        <w:t xml:space="preserve">do </w:t>
      </w:r>
      <w:r w:rsidR="0005254A">
        <w:rPr>
          <w:bCs/>
          <w:noProof/>
          <w:szCs w:val="20"/>
        </w:rPr>
        <w:t xml:space="preserve">it </w:t>
      </w:r>
      <w:r w:rsidR="00390733">
        <w:rPr>
          <w:bCs/>
          <w:noProof/>
          <w:szCs w:val="20"/>
        </w:rPr>
        <w:t xml:space="preserve">at national level </w:t>
      </w:r>
      <w:r w:rsidR="0005254A">
        <w:rPr>
          <w:bCs/>
          <w:noProof/>
          <w:szCs w:val="20"/>
        </w:rPr>
        <w:t xml:space="preserve">through national </w:t>
      </w:r>
      <w:r w:rsidR="00020EC0">
        <w:rPr>
          <w:bCs/>
          <w:noProof/>
          <w:szCs w:val="20"/>
        </w:rPr>
        <w:t xml:space="preserve">interfaces </w:t>
      </w:r>
      <w:r w:rsidR="001F66B2">
        <w:rPr>
          <w:bCs/>
          <w:noProof/>
          <w:szCs w:val="20"/>
        </w:rPr>
        <w:t xml:space="preserve">in </w:t>
      </w:r>
      <w:r w:rsidR="00020EC0">
        <w:rPr>
          <w:bCs/>
          <w:noProof/>
          <w:szCs w:val="20"/>
        </w:rPr>
        <w:t>the national language of the Me</w:t>
      </w:r>
      <w:r w:rsidR="00390733">
        <w:rPr>
          <w:bCs/>
          <w:noProof/>
          <w:szCs w:val="20"/>
        </w:rPr>
        <w:t>m</w:t>
      </w:r>
      <w:r w:rsidR="00020EC0">
        <w:rPr>
          <w:bCs/>
          <w:noProof/>
          <w:szCs w:val="20"/>
        </w:rPr>
        <w:t xml:space="preserve">ber State </w:t>
      </w:r>
      <w:r w:rsidR="007504F1">
        <w:rPr>
          <w:bCs/>
          <w:noProof/>
          <w:szCs w:val="20"/>
        </w:rPr>
        <w:t xml:space="preserve">where </w:t>
      </w:r>
      <w:r w:rsidR="00020EC0">
        <w:rPr>
          <w:bCs/>
          <w:noProof/>
          <w:szCs w:val="20"/>
        </w:rPr>
        <w:t xml:space="preserve">they want to register the company. </w:t>
      </w:r>
      <w:r w:rsidR="003B4E44">
        <w:rPr>
          <w:bCs/>
          <w:noProof/>
          <w:szCs w:val="20"/>
        </w:rPr>
        <w:t>They often need to seek</w:t>
      </w:r>
      <w:r w:rsidR="00414E5E">
        <w:rPr>
          <w:bCs/>
          <w:noProof/>
          <w:szCs w:val="20"/>
        </w:rPr>
        <w:t xml:space="preserve"> professional advice such as lawyers or </w:t>
      </w:r>
      <w:r w:rsidR="0085635B">
        <w:rPr>
          <w:bCs/>
          <w:noProof/>
          <w:szCs w:val="20"/>
        </w:rPr>
        <w:t>accountants</w:t>
      </w:r>
      <w:r w:rsidR="00414E5E">
        <w:rPr>
          <w:bCs/>
          <w:noProof/>
          <w:szCs w:val="20"/>
        </w:rPr>
        <w:t xml:space="preserve"> and i</w:t>
      </w:r>
      <w:r w:rsidR="001F5B50">
        <w:rPr>
          <w:bCs/>
          <w:noProof/>
          <w:szCs w:val="20"/>
        </w:rPr>
        <w:t xml:space="preserve">n notarial countries, they need </w:t>
      </w:r>
      <w:r w:rsidR="00AF75F5">
        <w:rPr>
          <w:bCs/>
          <w:noProof/>
          <w:szCs w:val="20"/>
        </w:rPr>
        <w:t>get the founding document/</w:t>
      </w:r>
      <w:r w:rsidR="003C4482">
        <w:rPr>
          <w:bCs/>
          <w:noProof/>
          <w:szCs w:val="20"/>
        </w:rPr>
        <w:t xml:space="preserve">articles of association </w:t>
      </w:r>
      <w:r w:rsidR="00AF68C9">
        <w:rPr>
          <w:bCs/>
          <w:noProof/>
          <w:szCs w:val="20"/>
        </w:rPr>
        <w:t>or the national templates</w:t>
      </w:r>
      <w:r w:rsidR="000610E5">
        <w:rPr>
          <w:bCs/>
          <w:noProof/>
          <w:szCs w:val="20"/>
        </w:rPr>
        <w:t xml:space="preserve"> </w:t>
      </w:r>
      <w:r w:rsidR="00C363AF">
        <w:rPr>
          <w:bCs/>
          <w:noProof/>
          <w:szCs w:val="20"/>
        </w:rPr>
        <w:t>notarised</w:t>
      </w:r>
      <w:r w:rsidR="00BD006F">
        <w:rPr>
          <w:bCs/>
          <w:noProof/>
          <w:szCs w:val="20"/>
        </w:rPr>
        <w:t>.</w:t>
      </w:r>
      <w:r w:rsidR="003D5CD8">
        <w:rPr>
          <w:bCs/>
          <w:noProof/>
          <w:szCs w:val="20"/>
        </w:rPr>
        <w:t xml:space="preserve"> </w:t>
      </w:r>
    </w:p>
    <w:p w14:paraId="65B1C9E7" w14:textId="44103C4F" w:rsidR="0031200B" w:rsidRDefault="008757D9" w:rsidP="00491C52">
      <w:pPr>
        <w:spacing w:after="0"/>
        <w:jc w:val="both"/>
        <w:rPr>
          <w:bCs/>
          <w:noProof/>
          <w:szCs w:val="20"/>
        </w:rPr>
      </w:pPr>
      <w:r>
        <w:rPr>
          <w:bCs/>
          <w:noProof/>
          <w:szCs w:val="20"/>
        </w:rPr>
        <w:t xml:space="preserve">The participants to the workshops confirmed that </w:t>
      </w:r>
      <w:r w:rsidR="003F6BFA">
        <w:rPr>
          <w:bCs/>
          <w:noProof/>
          <w:szCs w:val="20"/>
        </w:rPr>
        <w:t>given that t</w:t>
      </w:r>
      <w:r w:rsidR="003F6BFA" w:rsidRPr="003F6BFA">
        <w:rPr>
          <w:bCs/>
          <w:noProof/>
          <w:szCs w:val="20"/>
        </w:rPr>
        <w:t>he requirements vary between Member States, there is always a need to check what the local requirements are</w:t>
      </w:r>
      <w:r w:rsidR="00552933">
        <w:rPr>
          <w:bCs/>
          <w:noProof/>
          <w:szCs w:val="20"/>
        </w:rPr>
        <w:t>,</w:t>
      </w:r>
      <w:r w:rsidR="003F6BFA">
        <w:rPr>
          <w:bCs/>
          <w:noProof/>
          <w:szCs w:val="20"/>
        </w:rPr>
        <w:t xml:space="preserve"> and </w:t>
      </w:r>
      <w:r w:rsidR="00552933">
        <w:rPr>
          <w:bCs/>
          <w:noProof/>
          <w:szCs w:val="20"/>
        </w:rPr>
        <w:t xml:space="preserve">the estimated time for having </w:t>
      </w:r>
      <w:r w:rsidR="00552933" w:rsidRPr="00552933">
        <w:rPr>
          <w:bCs/>
          <w:noProof/>
          <w:szCs w:val="20"/>
        </w:rPr>
        <w:t>to deal with the different national websites, different national templates and registration forms in each Member State</w:t>
      </w:r>
      <w:r w:rsidR="00EC6B6B">
        <w:rPr>
          <w:bCs/>
          <w:noProof/>
          <w:szCs w:val="20"/>
        </w:rPr>
        <w:t>,</w:t>
      </w:r>
      <w:r w:rsidR="00552933">
        <w:rPr>
          <w:bCs/>
          <w:noProof/>
          <w:szCs w:val="20"/>
        </w:rPr>
        <w:t xml:space="preserve"> </w:t>
      </w:r>
      <w:r w:rsidR="00A040DE">
        <w:rPr>
          <w:bCs/>
          <w:noProof/>
          <w:szCs w:val="20"/>
        </w:rPr>
        <w:t>preparation of Articles of Association, preparation</w:t>
      </w:r>
      <w:r w:rsidR="00975DA6">
        <w:rPr>
          <w:bCs/>
          <w:noProof/>
          <w:szCs w:val="20"/>
        </w:rPr>
        <w:t xml:space="preserve">, signing, and </w:t>
      </w:r>
      <w:r w:rsidR="00A040DE">
        <w:rPr>
          <w:bCs/>
          <w:noProof/>
          <w:szCs w:val="20"/>
        </w:rPr>
        <w:t xml:space="preserve">sending </w:t>
      </w:r>
      <w:r w:rsidR="00975DA6">
        <w:rPr>
          <w:bCs/>
          <w:noProof/>
          <w:szCs w:val="20"/>
        </w:rPr>
        <w:t xml:space="preserve">other </w:t>
      </w:r>
      <w:r w:rsidR="00A040DE">
        <w:rPr>
          <w:bCs/>
          <w:noProof/>
          <w:szCs w:val="20"/>
        </w:rPr>
        <w:t xml:space="preserve">documents, </w:t>
      </w:r>
      <w:r w:rsidR="00100E74">
        <w:rPr>
          <w:bCs/>
          <w:noProof/>
          <w:szCs w:val="20"/>
        </w:rPr>
        <w:t xml:space="preserve">before </w:t>
      </w:r>
      <w:r w:rsidR="00994501">
        <w:rPr>
          <w:bCs/>
          <w:noProof/>
          <w:szCs w:val="20"/>
        </w:rPr>
        <w:t xml:space="preserve">registering (filing for registration with the business register) </w:t>
      </w:r>
      <w:r w:rsidR="009B4A3A">
        <w:rPr>
          <w:bCs/>
          <w:noProof/>
          <w:szCs w:val="20"/>
        </w:rPr>
        <w:t xml:space="preserve">ranged </w:t>
      </w:r>
      <w:r w:rsidR="009B4A3A" w:rsidRPr="00552933">
        <w:rPr>
          <w:bCs/>
          <w:noProof/>
          <w:szCs w:val="20"/>
        </w:rPr>
        <w:t>between 4h and 1 week</w:t>
      </w:r>
      <w:r w:rsidR="009B4A3A" w:rsidRPr="003F6BFA">
        <w:rPr>
          <w:bCs/>
          <w:noProof/>
          <w:szCs w:val="20"/>
        </w:rPr>
        <w:t>.</w:t>
      </w:r>
      <w:r w:rsidR="009B4A3A">
        <w:rPr>
          <w:bCs/>
          <w:noProof/>
          <w:szCs w:val="20"/>
        </w:rPr>
        <w:t xml:space="preserve"> For the purposes of this impact assessment, an average time spent </w:t>
      </w:r>
      <w:r w:rsidR="00BC7410">
        <w:rPr>
          <w:bCs/>
          <w:noProof/>
          <w:szCs w:val="20"/>
        </w:rPr>
        <w:t xml:space="preserve">is estimated at around </w:t>
      </w:r>
      <w:r w:rsidR="00BC7410" w:rsidRPr="00E03804">
        <w:rPr>
          <w:bCs/>
          <w:noProof/>
          <w:szCs w:val="20"/>
        </w:rPr>
        <w:t>10 hours</w:t>
      </w:r>
      <w:r w:rsidR="00A95CA2">
        <w:rPr>
          <w:bCs/>
          <w:noProof/>
          <w:szCs w:val="20"/>
        </w:rPr>
        <w:t xml:space="preserve"> (40EUR/hour)</w:t>
      </w:r>
      <w:r w:rsidR="007B200B">
        <w:rPr>
          <w:bCs/>
          <w:noProof/>
          <w:szCs w:val="20"/>
        </w:rPr>
        <w:t xml:space="preserve">. </w:t>
      </w:r>
    </w:p>
    <w:p w14:paraId="7498889B" w14:textId="7303C171" w:rsidR="0031200B" w:rsidRDefault="00644DCC" w:rsidP="0031200B">
      <w:pPr>
        <w:spacing w:after="0"/>
        <w:jc w:val="both"/>
        <w:rPr>
          <w:bCs/>
          <w:noProof/>
          <w:szCs w:val="20"/>
        </w:rPr>
      </w:pPr>
      <w:r>
        <w:rPr>
          <w:bCs/>
          <w:noProof/>
          <w:szCs w:val="20"/>
        </w:rPr>
        <w:t xml:space="preserve">As to the cost before </w:t>
      </w:r>
      <w:r w:rsidR="00AA3877">
        <w:rPr>
          <w:bCs/>
          <w:noProof/>
          <w:szCs w:val="20"/>
        </w:rPr>
        <w:t>registering the company</w:t>
      </w:r>
      <w:r w:rsidR="008E6596">
        <w:rPr>
          <w:bCs/>
          <w:noProof/>
          <w:szCs w:val="20"/>
        </w:rPr>
        <w:t xml:space="preserve">, </w:t>
      </w:r>
      <w:r w:rsidR="00504774">
        <w:rPr>
          <w:bCs/>
          <w:noProof/>
          <w:szCs w:val="20"/>
        </w:rPr>
        <w:t>the public consultation and the workshops provided overall costs for lawyers and notaries without separating different</w:t>
      </w:r>
      <w:r w:rsidR="005C39BD">
        <w:rPr>
          <w:bCs/>
          <w:noProof/>
          <w:szCs w:val="20"/>
        </w:rPr>
        <w:t xml:space="preserve"> cost components</w:t>
      </w:r>
      <w:r w:rsidR="000556AA">
        <w:rPr>
          <w:bCs/>
          <w:noProof/>
          <w:szCs w:val="20"/>
        </w:rPr>
        <w:t xml:space="preserve"> for the pre-registration and registration phase</w:t>
      </w:r>
      <w:r w:rsidR="00D53523">
        <w:rPr>
          <w:bCs/>
          <w:noProof/>
          <w:szCs w:val="20"/>
        </w:rPr>
        <w:t>,</w:t>
      </w:r>
      <w:r w:rsidR="000556AA">
        <w:rPr>
          <w:bCs/>
          <w:noProof/>
          <w:szCs w:val="20"/>
        </w:rPr>
        <w:t xml:space="preserve"> includ</w:t>
      </w:r>
      <w:r w:rsidR="00D53523">
        <w:rPr>
          <w:bCs/>
          <w:noProof/>
          <w:szCs w:val="20"/>
        </w:rPr>
        <w:t>ing</w:t>
      </w:r>
      <w:r w:rsidR="000556AA">
        <w:rPr>
          <w:bCs/>
          <w:noProof/>
          <w:szCs w:val="20"/>
        </w:rPr>
        <w:t xml:space="preserve"> the preventive control. </w:t>
      </w:r>
      <w:r w:rsidR="0031200B" w:rsidRPr="00492758">
        <w:rPr>
          <w:noProof/>
          <w:szCs w:val="20"/>
        </w:rPr>
        <w:t xml:space="preserve">Although it can be estimated that the cost </w:t>
      </w:r>
      <w:r w:rsidR="00BF0918">
        <w:rPr>
          <w:noProof/>
          <w:szCs w:val="20"/>
        </w:rPr>
        <w:t>in the pre</w:t>
      </w:r>
      <w:r w:rsidR="00410F47">
        <w:rPr>
          <w:noProof/>
          <w:szCs w:val="20"/>
        </w:rPr>
        <w:t>-registration phase w</w:t>
      </w:r>
      <w:r w:rsidR="00FE6898">
        <w:rPr>
          <w:noProof/>
          <w:szCs w:val="20"/>
        </w:rPr>
        <w:t xml:space="preserve">ould be </w:t>
      </w:r>
      <w:r w:rsidR="0031200B" w:rsidRPr="00492758">
        <w:rPr>
          <w:noProof/>
          <w:szCs w:val="20"/>
        </w:rPr>
        <w:t xml:space="preserve">reduced, this impact assessment takes a conservative approach and does not calculate any savings in this respect given that </w:t>
      </w:r>
      <w:r w:rsidR="0031200B">
        <w:rPr>
          <w:noProof/>
          <w:szCs w:val="20"/>
        </w:rPr>
        <w:t xml:space="preserve">it is difficult to separate the </w:t>
      </w:r>
      <w:r w:rsidR="00410F47">
        <w:rPr>
          <w:noProof/>
          <w:szCs w:val="20"/>
        </w:rPr>
        <w:t xml:space="preserve">different </w:t>
      </w:r>
      <w:r w:rsidR="0031200B">
        <w:rPr>
          <w:noProof/>
          <w:szCs w:val="20"/>
        </w:rPr>
        <w:t>cost components</w:t>
      </w:r>
      <w:r w:rsidR="0031200B" w:rsidRPr="00492758">
        <w:rPr>
          <w:noProof/>
          <w:szCs w:val="20"/>
        </w:rPr>
        <w:t>.</w:t>
      </w:r>
      <w:r w:rsidR="0031200B">
        <w:rPr>
          <w:bCs/>
          <w:noProof/>
          <w:szCs w:val="20"/>
        </w:rPr>
        <w:t xml:space="preserve"> </w:t>
      </w:r>
    </w:p>
    <w:p w14:paraId="5C67FEB3" w14:textId="15122E0C" w:rsidR="00E170F7" w:rsidRDefault="00972548" w:rsidP="00491C52">
      <w:pPr>
        <w:spacing w:after="0"/>
        <w:jc w:val="both"/>
        <w:rPr>
          <w:bCs/>
          <w:noProof/>
          <w:szCs w:val="20"/>
        </w:rPr>
      </w:pPr>
      <w:r>
        <w:rPr>
          <w:bCs/>
          <w:noProof/>
          <w:szCs w:val="20"/>
        </w:rPr>
        <w:t xml:space="preserve">Based on the results of the </w:t>
      </w:r>
      <w:r w:rsidR="0033273A">
        <w:rPr>
          <w:bCs/>
          <w:noProof/>
          <w:szCs w:val="20"/>
        </w:rPr>
        <w:t xml:space="preserve">public consultation and </w:t>
      </w:r>
      <w:r>
        <w:rPr>
          <w:bCs/>
          <w:noProof/>
          <w:szCs w:val="20"/>
        </w:rPr>
        <w:t>workshops</w:t>
      </w:r>
      <w:r w:rsidR="009F512E">
        <w:rPr>
          <w:bCs/>
          <w:noProof/>
          <w:szCs w:val="20"/>
        </w:rPr>
        <w:t xml:space="preserve"> with companies</w:t>
      </w:r>
      <w:r>
        <w:rPr>
          <w:bCs/>
          <w:noProof/>
          <w:szCs w:val="20"/>
        </w:rPr>
        <w:t xml:space="preserve">, </w:t>
      </w:r>
      <w:r w:rsidR="00AD7665">
        <w:rPr>
          <w:bCs/>
          <w:noProof/>
          <w:szCs w:val="20"/>
        </w:rPr>
        <w:t xml:space="preserve">the phase before </w:t>
      </w:r>
      <w:r w:rsidR="00C363AF">
        <w:rPr>
          <w:bCs/>
          <w:noProof/>
          <w:szCs w:val="20"/>
        </w:rPr>
        <w:t xml:space="preserve">filing for registration with </w:t>
      </w:r>
      <w:r>
        <w:rPr>
          <w:bCs/>
          <w:noProof/>
          <w:szCs w:val="20"/>
        </w:rPr>
        <w:t xml:space="preserve">the </w:t>
      </w:r>
      <w:r w:rsidR="00C363AF">
        <w:rPr>
          <w:bCs/>
          <w:noProof/>
          <w:szCs w:val="20"/>
        </w:rPr>
        <w:t>business register includes</w:t>
      </w:r>
      <w:r w:rsidR="00CD652C">
        <w:rPr>
          <w:bCs/>
          <w:noProof/>
          <w:szCs w:val="20"/>
        </w:rPr>
        <w:t xml:space="preserve"> waiting time</w:t>
      </w:r>
      <w:r w:rsidR="00AB47A4">
        <w:rPr>
          <w:bCs/>
          <w:noProof/>
          <w:szCs w:val="20"/>
        </w:rPr>
        <w:t>,</w:t>
      </w:r>
      <w:r w:rsidR="00CD652C">
        <w:rPr>
          <w:bCs/>
          <w:noProof/>
          <w:szCs w:val="20"/>
        </w:rPr>
        <w:t xml:space="preserve"> when </w:t>
      </w:r>
      <w:r w:rsidR="00434412">
        <w:rPr>
          <w:bCs/>
          <w:noProof/>
          <w:szCs w:val="20"/>
        </w:rPr>
        <w:t xml:space="preserve">setting </w:t>
      </w:r>
      <w:r w:rsidR="00A0342A">
        <w:rPr>
          <w:bCs/>
          <w:noProof/>
          <w:szCs w:val="20"/>
        </w:rPr>
        <w:t>appointments</w:t>
      </w:r>
      <w:r w:rsidR="00434412">
        <w:rPr>
          <w:bCs/>
          <w:noProof/>
          <w:szCs w:val="20"/>
        </w:rPr>
        <w:t xml:space="preserve"> with </w:t>
      </w:r>
      <w:r w:rsidR="000953DF">
        <w:rPr>
          <w:bCs/>
          <w:noProof/>
          <w:szCs w:val="20"/>
        </w:rPr>
        <w:t xml:space="preserve">a </w:t>
      </w:r>
      <w:r w:rsidR="00434412">
        <w:rPr>
          <w:bCs/>
          <w:noProof/>
          <w:szCs w:val="20"/>
        </w:rPr>
        <w:t>notary</w:t>
      </w:r>
      <w:r w:rsidR="00A0342A">
        <w:rPr>
          <w:bCs/>
          <w:noProof/>
          <w:szCs w:val="20"/>
        </w:rPr>
        <w:t xml:space="preserve"> or</w:t>
      </w:r>
      <w:r w:rsidR="00C93BD6">
        <w:rPr>
          <w:bCs/>
          <w:noProof/>
          <w:szCs w:val="20"/>
        </w:rPr>
        <w:t xml:space="preserve"> lawyer </w:t>
      </w:r>
      <w:r w:rsidR="00D72FAA">
        <w:rPr>
          <w:bCs/>
          <w:noProof/>
          <w:szCs w:val="20"/>
        </w:rPr>
        <w:t>and receiving documents</w:t>
      </w:r>
      <w:r w:rsidR="00AB47A4">
        <w:rPr>
          <w:bCs/>
          <w:noProof/>
          <w:szCs w:val="20"/>
        </w:rPr>
        <w:t>,</w:t>
      </w:r>
      <w:r w:rsidR="0033273A">
        <w:rPr>
          <w:bCs/>
          <w:noProof/>
          <w:szCs w:val="20"/>
        </w:rPr>
        <w:t xml:space="preserve"> estimated to be 1 week. </w:t>
      </w:r>
    </w:p>
    <w:p w14:paraId="76A47C6F" w14:textId="6774B5A1" w:rsidR="00D0438F" w:rsidRDefault="00D0438F" w:rsidP="0094737A">
      <w:pPr>
        <w:jc w:val="both"/>
        <w:rPr>
          <w:noProof/>
        </w:rPr>
      </w:pPr>
      <w:r w:rsidRPr="5CBCE07D">
        <w:rPr>
          <w:noProof/>
        </w:rPr>
        <w:t xml:space="preserve">Given that BRIS exists and all Member States’ business registers are connected, the costs are related to </w:t>
      </w:r>
      <w:r w:rsidR="00684A97">
        <w:rPr>
          <w:noProof/>
        </w:rPr>
        <w:t xml:space="preserve">further </w:t>
      </w:r>
      <w:r w:rsidRPr="5CBCE07D">
        <w:rPr>
          <w:noProof/>
        </w:rPr>
        <w:t xml:space="preserve">development of BRIS, both for the Commission and for Member States. These costs are based on the assumptions taken in the 2023 impact assessment for Directive (EU) 2025/25 on the upgrading of digital company law. Therefore, the </w:t>
      </w:r>
      <w:r w:rsidR="00684A97">
        <w:rPr>
          <w:noProof/>
        </w:rPr>
        <w:t xml:space="preserve">further </w:t>
      </w:r>
      <w:r w:rsidRPr="5CBCE07D">
        <w:rPr>
          <w:noProof/>
        </w:rPr>
        <w:t xml:space="preserve">development costs of BRIS by the Commission, including an EU single interface based on BRIS, is estimated to be </w:t>
      </w:r>
      <w:r w:rsidR="00C735C5">
        <w:rPr>
          <w:noProof/>
        </w:rPr>
        <w:t>EUR </w:t>
      </w:r>
      <w:r w:rsidR="00B57432">
        <w:rPr>
          <w:noProof/>
        </w:rPr>
        <w:t xml:space="preserve">1 million </w:t>
      </w:r>
      <w:r w:rsidR="00C81183">
        <w:rPr>
          <w:noProof/>
        </w:rPr>
        <w:t>(</w:t>
      </w:r>
      <w:r w:rsidR="00B57432">
        <w:rPr>
          <w:noProof/>
        </w:rPr>
        <w:t>EUR</w:t>
      </w:r>
      <w:r w:rsidR="00C735C5">
        <w:rPr>
          <w:noProof/>
        </w:rPr>
        <w:t> </w:t>
      </w:r>
      <w:r w:rsidR="006B4767">
        <w:rPr>
          <w:noProof/>
        </w:rPr>
        <w:t>5</w:t>
      </w:r>
      <w:r w:rsidR="00B76397">
        <w:rPr>
          <w:noProof/>
        </w:rPr>
        <w:t>00</w:t>
      </w:r>
      <w:r w:rsidR="00C735C5">
        <w:rPr>
          <w:noProof/>
        </w:rPr>
        <w:t> </w:t>
      </w:r>
      <w:r>
        <w:rPr>
          <w:noProof/>
        </w:rPr>
        <w:t xml:space="preserve">000 </w:t>
      </w:r>
      <w:r w:rsidR="007D6780">
        <w:rPr>
          <w:noProof/>
        </w:rPr>
        <w:t xml:space="preserve">for </w:t>
      </w:r>
      <w:r w:rsidR="00045A36">
        <w:rPr>
          <w:noProof/>
        </w:rPr>
        <w:t xml:space="preserve">study, </w:t>
      </w:r>
      <w:r w:rsidR="0065266A">
        <w:rPr>
          <w:noProof/>
        </w:rPr>
        <w:t xml:space="preserve">preparation, testing and </w:t>
      </w:r>
      <w:r w:rsidR="007D6780">
        <w:rPr>
          <w:noProof/>
        </w:rPr>
        <w:t xml:space="preserve">development of the </w:t>
      </w:r>
      <w:r w:rsidR="00B76397">
        <w:rPr>
          <w:noProof/>
        </w:rPr>
        <w:t xml:space="preserve">user interface </w:t>
      </w:r>
      <w:r w:rsidR="0065266A">
        <w:rPr>
          <w:noProof/>
        </w:rPr>
        <w:t xml:space="preserve">for company registration, including 2 </w:t>
      </w:r>
      <w:r w:rsidR="0027180E">
        <w:rPr>
          <w:noProof/>
        </w:rPr>
        <w:t xml:space="preserve">additional </w:t>
      </w:r>
      <w:r w:rsidR="0065266A">
        <w:rPr>
          <w:noProof/>
        </w:rPr>
        <w:t xml:space="preserve">TFEs </w:t>
      </w:r>
      <w:r w:rsidR="00132393">
        <w:rPr>
          <w:noProof/>
        </w:rPr>
        <w:t xml:space="preserve">to manage and ensure the continuous working of the interface, </w:t>
      </w:r>
      <w:r w:rsidR="00B76397">
        <w:rPr>
          <w:noProof/>
        </w:rPr>
        <w:t xml:space="preserve"> </w:t>
      </w:r>
      <w:r w:rsidR="00132393">
        <w:rPr>
          <w:noProof/>
        </w:rPr>
        <w:t>and</w:t>
      </w:r>
      <w:r w:rsidR="00B76397">
        <w:rPr>
          <w:noProof/>
        </w:rPr>
        <w:t xml:space="preserve"> </w:t>
      </w:r>
      <w:r w:rsidR="000236C3">
        <w:rPr>
          <w:noProof/>
        </w:rPr>
        <w:t>EUR </w:t>
      </w:r>
      <w:r w:rsidR="006B4767">
        <w:rPr>
          <w:noProof/>
        </w:rPr>
        <w:t>5</w:t>
      </w:r>
      <w:r w:rsidR="002608F7" w:rsidRPr="00722880">
        <w:rPr>
          <w:noProof/>
        </w:rPr>
        <w:t>00</w:t>
      </w:r>
      <w:r w:rsidR="000236C3">
        <w:rPr>
          <w:noProof/>
        </w:rPr>
        <w:t> </w:t>
      </w:r>
      <w:r w:rsidRPr="00722880">
        <w:rPr>
          <w:noProof/>
        </w:rPr>
        <w:t>000</w:t>
      </w:r>
      <w:r w:rsidR="007D6780">
        <w:rPr>
          <w:noProof/>
        </w:rPr>
        <w:t xml:space="preserve"> for </w:t>
      </w:r>
      <w:r w:rsidR="00D13CAA">
        <w:rPr>
          <w:noProof/>
        </w:rPr>
        <w:t xml:space="preserve">study, preparation, testing and </w:t>
      </w:r>
      <w:r w:rsidRPr="5CBCE07D">
        <w:rPr>
          <w:noProof/>
        </w:rPr>
        <w:t xml:space="preserve">development </w:t>
      </w:r>
      <w:r w:rsidR="007D6780">
        <w:rPr>
          <w:noProof/>
        </w:rPr>
        <w:t xml:space="preserve">of </w:t>
      </w:r>
      <w:r w:rsidR="00132393">
        <w:rPr>
          <w:noProof/>
        </w:rPr>
        <w:t xml:space="preserve">the European Central Platform </w:t>
      </w:r>
      <w:r w:rsidR="00D13CAA">
        <w:rPr>
          <w:noProof/>
        </w:rPr>
        <w:t>that exchanges information between the user interface and the national business registers</w:t>
      </w:r>
      <w:r w:rsidR="0097034D">
        <w:rPr>
          <w:noProof/>
        </w:rPr>
        <w:t xml:space="preserve">, </w:t>
      </w:r>
      <w:r w:rsidR="0041779A">
        <w:rPr>
          <w:noProof/>
        </w:rPr>
        <w:t xml:space="preserve">and </w:t>
      </w:r>
      <w:r w:rsidR="0097034D">
        <w:rPr>
          <w:noProof/>
        </w:rPr>
        <w:t xml:space="preserve">the </w:t>
      </w:r>
      <w:r w:rsidR="0041779A">
        <w:rPr>
          <w:noProof/>
        </w:rPr>
        <w:t>related message model</w:t>
      </w:r>
      <w:r w:rsidRPr="00722880">
        <w:rPr>
          <w:noProof/>
        </w:rPr>
        <w:t>,</w:t>
      </w:r>
      <w:r w:rsidRPr="008B1199">
        <w:rPr>
          <w:noProof/>
        </w:rPr>
        <w:t xml:space="preserve"> based on the costs of the central system’s development so far</w:t>
      </w:r>
      <w:r w:rsidR="00B81399">
        <w:rPr>
          <w:rStyle w:val="FootnoteReference"/>
          <w:noProof/>
        </w:rPr>
        <w:footnoteReference w:id="4"/>
      </w:r>
      <w:r w:rsidRPr="008B1199">
        <w:rPr>
          <w:noProof/>
        </w:rPr>
        <w:t>.</w:t>
      </w:r>
      <w:r w:rsidRPr="5CBCE07D">
        <w:rPr>
          <w:noProof/>
        </w:rPr>
        <w:t xml:space="preserve"> As to IT development costs for business registers, </w:t>
      </w:r>
      <w:r w:rsidR="007A1F36">
        <w:rPr>
          <w:noProof/>
        </w:rPr>
        <w:t>the estimation takes into account that</w:t>
      </w:r>
      <w:r w:rsidR="00D535D3">
        <w:rPr>
          <w:noProof/>
        </w:rPr>
        <w:t xml:space="preserve"> </w:t>
      </w:r>
      <w:r w:rsidR="005A7624">
        <w:rPr>
          <w:noProof/>
        </w:rPr>
        <w:t xml:space="preserve">all </w:t>
      </w:r>
      <w:r w:rsidRPr="5CBCE07D">
        <w:rPr>
          <w:noProof/>
        </w:rPr>
        <w:t xml:space="preserve">Member States </w:t>
      </w:r>
      <w:r w:rsidR="00E41593">
        <w:rPr>
          <w:noProof/>
        </w:rPr>
        <w:t>ha</w:t>
      </w:r>
      <w:r w:rsidR="0052036B">
        <w:rPr>
          <w:noProof/>
        </w:rPr>
        <w:t>ve</w:t>
      </w:r>
      <w:r w:rsidR="00E41593">
        <w:rPr>
          <w:noProof/>
        </w:rPr>
        <w:t xml:space="preserve"> already developed the interconnection </w:t>
      </w:r>
      <w:r w:rsidR="005A7624">
        <w:rPr>
          <w:noProof/>
        </w:rPr>
        <w:t xml:space="preserve">of their national business registers </w:t>
      </w:r>
      <w:r w:rsidR="00E41593">
        <w:rPr>
          <w:noProof/>
        </w:rPr>
        <w:t>to BRIS</w:t>
      </w:r>
      <w:r w:rsidR="001D2F33">
        <w:rPr>
          <w:noProof/>
        </w:rPr>
        <w:t xml:space="preserve">. On average, Member States spent </w:t>
      </w:r>
      <w:r w:rsidR="00597900">
        <w:rPr>
          <w:noProof/>
        </w:rPr>
        <w:t>EUR </w:t>
      </w:r>
      <w:r w:rsidR="00A60B51">
        <w:rPr>
          <w:noProof/>
        </w:rPr>
        <w:t>200</w:t>
      </w:r>
      <w:r w:rsidR="00597900">
        <w:rPr>
          <w:noProof/>
        </w:rPr>
        <w:t> </w:t>
      </w:r>
      <w:r w:rsidR="00A60B51">
        <w:rPr>
          <w:noProof/>
        </w:rPr>
        <w:t>000</w:t>
      </w:r>
      <w:r w:rsidR="00DB519D">
        <w:rPr>
          <w:noProof/>
        </w:rPr>
        <w:t xml:space="preserve"> each </w:t>
      </w:r>
      <w:r w:rsidRPr="5CBCE07D">
        <w:rPr>
          <w:noProof/>
        </w:rPr>
        <w:t xml:space="preserve">to </w:t>
      </w:r>
      <w:r w:rsidR="006E4A1B">
        <w:rPr>
          <w:noProof/>
        </w:rPr>
        <w:t>interconnect their business registers to the first version of BRIS</w:t>
      </w:r>
      <w:r w:rsidR="007E62FE">
        <w:rPr>
          <w:rStyle w:val="FootnoteReference"/>
          <w:noProof/>
        </w:rPr>
        <w:footnoteReference w:id="5"/>
      </w:r>
      <w:r w:rsidR="000A7F50">
        <w:rPr>
          <w:noProof/>
        </w:rPr>
        <w:t xml:space="preserve">. </w:t>
      </w:r>
      <w:r w:rsidR="000233BE">
        <w:rPr>
          <w:noProof/>
        </w:rPr>
        <w:t xml:space="preserve">Given that </w:t>
      </w:r>
      <w:r w:rsidR="00C140B1">
        <w:rPr>
          <w:noProof/>
        </w:rPr>
        <w:t>t</w:t>
      </w:r>
      <w:r w:rsidR="000A7F50">
        <w:rPr>
          <w:noProof/>
        </w:rPr>
        <w:t>h</w:t>
      </w:r>
      <w:r w:rsidR="00EE24D0">
        <w:rPr>
          <w:noProof/>
        </w:rPr>
        <w:t>e</w:t>
      </w:r>
      <w:r w:rsidR="000A7F50">
        <w:rPr>
          <w:noProof/>
        </w:rPr>
        <w:t xml:space="preserve"> </w:t>
      </w:r>
      <w:r w:rsidR="007E62FE">
        <w:rPr>
          <w:noProof/>
        </w:rPr>
        <w:t xml:space="preserve">existing </w:t>
      </w:r>
      <w:r w:rsidR="000A7F50">
        <w:rPr>
          <w:noProof/>
        </w:rPr>
        <w:t xml:space="preserve">IT development </w:t>
      </w:r>
      <w:r w:rsidR="002C4AD9">
        <w:rPr>
          <w:noProof/>
        </w:rPr>
        <w:t xml:space="preserve">would </w:t>
      </w:r>
      <w:r w:rsidR="000A7F50">
        <w:rPr>
          <w:noProof/>
        </w:rPr>
        <w:t xml:space="preserve">be used as a basis for the </w:t>
      </w:r>
      <w:r w:rsidR="002C4AD9">
        <w:rPr>
          <w:noProof/>
        </w:rPr>
        <w:t>new</w:t>
      </w:r>
      <w:r w:rsidRPr="5CBCE07D">
        <w:rPr>
          <w:noProof/>
        </w:rPr>
        <w:t xml:space="preserve"> developments </w:t>
      </w:r>
      <w:r w:rsidR="007E62FE">
        <w:rPr>
          <w:noProof/>
        </w:rPr>
        <w:t xml:space="preserve">required by this option, </w:t>
      </w:r>
      <w:r w:rsidR="00C140B1">
        <w:rPr>
          <w:noProof/>
        </w:rPr>
        <w:t xml:space="preserve">and </w:t>
      </w:r>
      <w:r w:rsidR="002471C1">
        <w:rPr>
          <w:noProof/>
        </w:rPr>
        <w:t xml:space="preserve"> Member States will be able to reuse existing technology</w:t>
      </w:r>
      <w:r w:rsidR="00550B54" w:rsidRPr="00550B54">
        <w:rPr>
          <w:noProof/>
        </w:rPr>
        <w:t xml:space="preserve"> </w:t>
      </w:r>
      <w:r w:rsidR="00550B54">
        <w:rPr>
          <w:noProof/>
        </w:rPr>
        <w:t>and should  only develop the new software needed to receive the company registration data from BRIS</w:t>
      </w:r>
      <w:r w:rsidR="00A614AD">
        <w:rPr>
          <w:noProof/>
        </w:rPr>
        <w:t xml:space="preserve">, </w:t>
      </w:r>
      <w:r w:rsidR="00B77F4E">
        <w:rPr>
          <w:noProof/>
        </w:rPr>
        <w:t>the cost</w:t>
      </w:r>
      <w:r w:rsidR="00EB6829">
        <w:rPr>
          <w:noProof/>
        </w:rPr>
        <w:t xml:space="preserve"> is </w:t>
      </w:r>
      <w:r w:rsidR="00B77F4E">
        <w:rPr>
          <w:noProof/>
        </w:rPr>
        <w:t xml:space="preserve"> </w:t>
      </w:r>
      <w:r w:rsidR="00EB6829">
        <w:rPr>
          <w:noProof/>
        </w:rPr>
        <w:t>e</w:t>
      </w:r>
      <w:r w:rsidR="005331E0" w:rsidRPr="5CBCE07D">
        <w:rPr>
          <w:noProof/>
        </w:rPr>
        <w:t xml:space="preserve">stimated at </w:t>
      </w:r>
      <w:r w:rsidR="00D55F34">
        <w:rPr>
          <w:noProof/>
        </w:rPr>
        <w:t>EUR </w:t>
      </w:r>
      <w:r w:rsidR="005331E0" w:rsidRPr="5CBCE07D">
        <w:rPr>
          <w:noProof/>
        </w:rPr>
        <w:t>100</w:t>
      </w:r>
      <w:r w:rsidR="00D55F34">
        <w:rPr>
          <w:noProof/>
        </w:rPr>
        <w:t> </w:t>
      </w:r>
      <w:r w:rsidR="005331E0" w:rsidRPr="5CBCE07D">
        <w:rPr>
          <w:noProof/>
        </w:rPr>
        <w:t xml:space="preserve">000 per Member State, </w:t>
      </w:r>
      <w:r w:rsidR="00597900">
        <w:rPr>
          <w:noProof/>
        </w:rPr>
        <w:t>EUR </w:t>
      </w:r>
      <w:r w:rsidR="005331E0" w:rsidRPr="5CBCE07D">
        <w:rPr>
          <w:noProof/>
        </w:rPr>
        <w:t xml:space="preserve">2.7 million in total </w:t>
      </w:r>
      <w:r w:rsidRPr="5CBCE07D">
        <w:rPr>
          <w:noProof/>
        </w:rPr>
        <w:t>(the same amount is calculated for each policy option</w:t>
      </w:r>
      <w:r w:rsidR="000C7740" w:rsidRPr="5CBCE07D">
        <w:rPr>
          <w:noProof/>
        </w:rPr>
        <w:t xml:space="preserve"> where developments to BRIS would be neces</w:t>
      </w:r>
      <w:r w:rsidR="00EB747A" w:rsidRPr="5CBCE07D">
        <w:rPr>
          <w:noProof/>
        </w:rPr>
        <w:t>s</w:t>
      </w:r>
      <w:r w:rsidR="000C7740" w:rsidRPr="5CBCE07D">
        <w:rPr>
          <w:noProof/>
        </w:rPr>
        <w:t>ary</w:t>
      </w:r>
      <w:r w:rsidRPr="00041664">
        <w:rPr>
          <w:bCs/>
          <w:noProof/>
          <w:szCs w:val="20"/>
        </w:rPr>
        <w:t>)</w:t>
      </w:r>
      <w:r w:rsidRPr="5CBCE07D">
        <w:rPr>
          <w:rStyle w:val="FootnoteReference"/>
          <w:noProof/>
        </w:rPr>
        <w:footnoteReference w:id="6"/>
      </w:r>
      <w:r w:rsidR="000C7740">
        <w:rPr>
          <w:bCs/>
          <w:noProof/>
          <w:szCs w:val="20"/>
        </w:rPr>
        <w:t>.</w:t>
      </w:r>
    </w:p>
    <w:p w14:paraId="6D975E9E" w14:textId="0FADEC9E" w:rsidR="004B07E4" w:rsidRDefault="004B07E4" w:rsidP="00B66741">
      <w:pPr>
        <w:tabs>
          <w:tab w:val="left" w:pos="170"/>
        </w:tabs>
        <w:spacing w:after="0"/>
        <w:jc w:val="both"/>
        <w:rPr>
          <w:b/>
          <w:noProof/>
          <w:szCs w:val="20"/>
          <w:lang w:val="en-US"/>
        </w:rPr>
      </w:pPr>
      <w:r w:rsidRPr="003B14BB">
        <w:rPr>
          <w:b/>
          <w:noProof/>
          <w:szCs w:val="20"/>
          <w:lang w:val="en-US"/>
        </w:rPr>
        <w:t>Policy Option 2</w:t>
      </w:r>
      <w:r>
        <w:rPr>
          <w:b/>
          <w:noProof/>
          <w:szCs w:val="20"/>
          <w:lang w:val="en-US"/>
        </w:rPr>
        <w:t>b:</w:t>
      </w:r>
      <w:r w:rsidR="00326CAA">
        <w:rPr>
          <w:b/>
          <w:noProof/>
          <w:szCs w:val="20"/>
          <w:lang w:val="en-US"/>
        </w:rPr>
        <w:t xml:space="preserve"> </w:t>
      </w:r>
      <w:r w:rsidR="00326CAA" w:rsidRPr="00326CAA">
        <w:rPr>
          <w:b/>
          <w:noProof/>
          <w:szCs w:val="20"/>
          <w:lang w:val="en-US"/>
        </w:rPr>
        <w:t>Option 2a + introduc</w:t>
      </w:r>
      <w:r w:rsidR="00F37D58">
        <w:rPr>
          <w:b/>
          <w:noProof/>
          <w:szCs w:val="20"/>
          <w:lang w:val="en-US"/>
        </w:rPr>
        <w:t>e</w:t>
      </w:r>
      <w:r w:rsidR="00326CAA" w:rsidRPr="00326CAA">
        <w:rPr>
          <w:b/>
          <w:noProof/>
          <w:szCs w:val="20"/>
          <w:lang w:val="en-US"/>
        </w:rPr>
        <w:t xml:space="preserve"> a deadline</w:t>
      </w:r>
      <w:r w:rsidR="006379A5">
        <w:rPr>
          <w:b/>
          <w:noProof/>
          <w:szCs w:val="20"/>
          <w:lang w:val="en-US"/>
        </w:rPr>
        <w:t xml:space="preserve"> </w:t>
      </w:r>
      <w:r w:rsidR="006379A5" w:rsidRPr="00F769E3">
        <w:rPr>
          <w:b/>
          <w:noProof/>
          <w:szCs w:val="20"/>
          <w:lang w:val="en-US"/>
        </w:rPr>
        <w:t>(48 hours)</w:t>
      </w:r>
      <w:r w:rsidR="00326CAA" w:rsidRPr="00326CAA">
        <w:rPr>
          <w:b/>
          <w:noProof/>
          <w:szCs w:val="20"/>
          <w:lang w:val="en-US"/>
        </w:rPr>
        <w:t xml:space="preserve"> </w:t>
      </w:r>
      <w:r w:rsidR="00326CAA" w:rsidRPr="00326CAA" w:rsidDel="00925B24">
        <w:rPr>
          <w:b/>
          <w:noProof/>
          <w:szCs w:val="20"/>
          <w:lang w:val="en-US"/>
        </w:rPr>
        <w:t xml:space="preserve">and cost ceiling </w:t>
      </w:r>
      <w:r w:rsidR="00F769E3">
        <w:rPr>
          <w:b/>
          <w:noProof/>
          <w:szCs w:val="20"/>
          <w:lang w:val="en-US"/>
        </w:rPr>
        <w:t xml:space="preserve">of </w:t>
      </w:r>
      <w:r w:rsidR="00597900">
        <w:rPr>
          <w:b/>
          <w:noProof/>
          <w:szCs w:val="20"/>
          <w:lang w:val="en-US"/>
        </w:rPr>
        <w:t>EUR </w:t>
      </w:r>
      <w:r w:rsidR="00743C79">
        <w:rPr>
          <w:b/>
          <w:noProof/>
          <w:szCs w:val="20"/>
          <w:lang w:val="en-US"/>
        </w:rPr>
        <w:t xml:space="preserve">100 </w:t>
      </w:r>
      <w:r w:rsidR="00925B24">
        <w:rPr>
          <w:b/>
          <w:noProof/>
          <w:szCs w:val="20"/>
          <w:lang w:val="en-US"/>
        </w:rPr>
        <w:t xml:space="preserve">to complete the registration including </w:t>
      </w:r>
      <w:r w:rsidR="00326CAA" w:rsidRPr="00326CAA">
        <w:rPr>
          <w:b/>
          <w:noProof/>
          <w:szCs w:val="20"/>
          <w:lang w:val="en-US"/>
        </w:rPr>
        <w:t>the preventive administrative, judicial or notarial control when the standardised template is used by founders as natural persons.</w:t>
      </w:r>
    </w:p>
    <w:p w14:paraId="58365D60" w14:textId="458132FF" w:rsidR="007E0402" w:rsidRDefault="005D12C9" w:rsidP="007E0402">
      <w:pPr>
        <w:tabs>
          <w:tab w:val="left" w:pos="170"/>
        </w:tabs>
        <w:jc w:val="both"/>
        <w:rPr>
          <w:noProof/>
        </w:rPr>
      </w:pPr>
      <w:r w:rsidRPr="4964CFCF">
        <w:rPr>
          <w:noProof/>
          <w:lang w:val="en-US"/>
        </w:rPr>
        <w:t xml:space="preserve">In addition to option 2a, this option </w:t>
      </w:r>
      <w:r w:rsidR="005A444E" w:rsidRPr="4964CFCF">
        <w:rPr>
          <w:noProof/>
          <w:lang w:val="en-US"/>
        </w:rPr>
        <w:t xml:space="preserve">will </w:t>
      </w:r>
      <w:r w:rsidR="00B15BCB" w:rsidRPr="4964CFCF">
        <w:rPr>
          <w:noProof/>
          <w:lang w:val="en-US"/>
        </w:rPr>
        <w:t>introduce</w:t>
      </w:r>
      <w:r w:rsidR="00C40F49" w:rsidRPr="4964CFCF">
        <w:rPr>
          <w:noProof/>
          <w:lang w:val="en-US"/>
        </w:rPr>
        <w:t xml:space="preserve"> a deadline </w:t>
      </w:r>
      <w:r w:rsidR="008524F1" w:rsidRPr="4964CFCF">
        <w:rPr>
          <w:noProof/>
          <w:lang w:val="en-US"/>
        </w:rPr>
        <w:t>(48 hours)</w:t>
      </w:r>
      <w:r w:rsidR="00C40F49" w:rsidRPr="4964CFCF">
        <w:rPr>
          <w:noProof/>
          <w:lang w:val="en-US"/>
        </w:rPr>
        <w:t xml:space="preserve"> </w:t>
      </w:r>
      <w:r w:rsidR="00644106" w:rsidRPr="4964CFCF">
        <w:rPr>
          <w:noProof/>
          <w:lang w:val="en-US"/>
        </w:rPr>
        <w:t>to complete the registration</w:t>
      </w:r>
      <w:r w:rsidR="00FE2886" w:rsidRPr="4964CFCF">
        <w:rPr>
          <w:noProof/>
          <w:lang w:val="en-US"/>
        </w:rPr>
        <w:t xml:space="preserve">, </w:t>
      </w:r>
      <w:r w:rsidR="00502D05" w:rsidRPr="4964CFCF">
        <w:rPr>
          <w:noProof/>
          <w:lang w:val="en-US"/>
        </w:rPr>
        <w:t>as well as a cost ceiling</w:t>
      </w:r>
      <w:r w:rsidR="00FE2886" w:rsidRPr="4964CFCF">
        <w:rPr>
          <w:noProof/>
          <w:lang w:val="en-US"/>
        </w:rPr>
        <w:t xml:space="preserve"> </w:t>
      </w:r>
      <w:r w:rsidR="004D5868" w:rsidRPr="4964CFCF">
        <w:rPr>
          <w:noProof/>
          <w:lang w:val="en-US"/>
        </w:rPr>
        <w:t xml:space="preserve">of </w:t>
      </w:r>
      <w:r w:rsidR="00597900">
        <w:rPr>
          <w:noProof/>
          <w:lang w:val="en-US"/>
        </w:rPr>
        <w:t>EUR </w:t>
      </w:r>
      <w:r w:rsidR="004D5868" w:rsidRPr="4964CFCF">
        <w:rPr>
          <w:noProof/>
          <w:lang w:val="en-US"/>
        </w:rPr>
        <w:t xml:space="preserve">100 </w:t>
      </w:r>
      <w:r w:rsidR="009B775D" w:rsidRPr="4964CFCF">
        <w:rPr>
          <w:noProof/>
          <w:lang w:val="en-US"/>
        </w:rPr>
        <w:t xml:space="preserve">to complete the registration </w:t>
      </w:r>
      <w:r w:rsidR="00F82A86" w:rsidRPr="4964CFCF">
        <w:rPr>
          <w:noProof/>
          <w:lang w:val="en-US"/>
        </w:rPr>
        <w:t xml:space="preserve">– in both cases </w:t>
      </w:r>
      <w:r w:rsidR="009B775D" w:rsidRPr="4964CFCF">
        <w:rPr>
          <w:noProof/>
          <w:lang w:val="en-US"/>
        </w:rPr>
        <w:t xml:space="preserve">including </w:t>
      </w:r>
      <w:r w:rsidR="00A04565" w:rsidRPr="4964CFCF">
        <w:rPr>
          <w:noProof/>
          <w:lang w:val="en-US"/>
        </w:rPr>
        <w:t>preventive administrative, judicial or notarial control</w:t>
      </w:r>
      <w:r w:rsidR="00FD3350" w:rsidRPr="4964CFCF">
        <w:rPr>
          <w:noProof/>
          <w:lang w:val="en-US"/>
        </w:rPr>
        <w:t xml:space="preserve">. </w:t>
      </w:r>
      <w:r w:rsidR="00B70EFB" w:rsidRPr="4964CFCF">
        <w:rPr>
          <w:noProof/>
          <w:lang w:val="en-US"/>
        </w:rPr>
        <w:t xml:space="preserve">Based on </w:t>
      </w:r>
      <w:r w:rsidR="006A3806" w:rsidRPr="4964CFCF">
        <w:rPr>
          <w:noProof/>
          <w:lang w:val="en-US"/>
        </w:rPr>
        <w:t xml:space="preserve">the </w:t>
      </w:r>
      <w:r w:rsidR="00E16865" w:rsidRPr="4964CFCF">
        <w:rPr>
          <w:noProof/>
          <w:lang w:val="en-US"/>
        </w:rPr>
        <w:t>replies to</w:t>
      </w:r>
      <w:r w:rsidR="00B70EFB" w:rsidRPr="4964CFCF">
        <w:rPr>
          <w:noProof/>
          <w:lang w:val="en-US"/>
        </w:rPr>
        <w:t xml:space="preserve"> </w:t>
      </w:r>
      <w:r w:rsidR="006A3806" w:rsidRPr="4964CFCF">
        <w:rPr>
          <w:noProof/>
          <w:lang w:val="en-US"/>
        </w:rPr>
        <w:t xml:space="preserve">the </w:t>
      </w:r>
      <w:r w:rsidR="00F277DE" w:rsidRPr="4964CFCF">
        <w:rPr>
          <w:noProof/>
          <w:lang w:val="en-US"/>
        </w:rPr>
        <w:t>public consultation</w:t>
      </w:r>
      <w:r w:rsidR="00834868" w:rsidRPr="4964CFCF">
        <w:rPr>
          <w:rStyle w:val="FootnoteReference"/>
          <w:noProof/>
          <w:lang w:val="en-US"/>
        </w:rPr>
        <w:footnoteReference w:id="7"/>
      </w:r>
      <w:r w:rsidR="00F277DE" w:rsidRPr="4964CFCF">
        <w:rPr>
          <w:noProof/>
          <w:lang w:val="en-US"/>
        </w:rPr>
        <w:t xml:space="preserve">, </w:t>
      </w:r>
      <w:r w:rsidR="00834868" w:rsidRPr="4964CFCF">
        <w:rPr>
          <w:noProof/>
          <w:lang w:val="en-US"/>
        </w:rPr>
        <w:t xml:space="preserve">it </w:t>
      </w:r>
      <w:r w:rsidR="00BA1018" w:rsidRPr="4964CFCF">
        <w:rPr>
          <w:noProof/>
          <w:lang w:val="en-US"/>
        </w:rPr>
        <w:t xml:space="preserve">is estimated that </w:t>
      </w:r>
      <w:r w:rsidR="00BA1018" w:rsidRPr="4964CFCF">
        <w:rPr>
          <w:rFonts w:eastAsia="Times New Roman" w:cs="Times New Roman"/>
          <w:noProof/>
          <w:lang w:eastAsia="en-IE"/>
        </w:rPr>
        <w:t>registering takes more than 10 working days</w:t>
      </w:r>
      <w:r w:rsidR="00BA1018" w:rsidRPr="4964CFCF">
        <w:rPr>
          <w:noProof/>
          <w:lang w:val="en-US"/>
        </w:rPr>
        <w:t>.</w:t>
      </w:r>
      <w:r w:rsidR="006A3806" w:rsidRPr="4964CFCF">
        <w:rPr>
          <w:noProof/>
          <w:lang w:val="en-US"/>
        </w:rPr>
        <w:t xml:space="preserve"> </w:t>
      </w:r>
      <w:r w:rsidR="000E2CDF" w:rsidRPr="4964CFCF">
        <w:rPr>
          <w:noProof/>
          <w:lang w:val="en-US"/>
        </w:rPr>
        <w:t>T</w:t>
      </w:r>
      <w:r w:rsidR="000E2CDF" w:rsidRPr="4964CFCF">
        <w:rPr>
          <w:noProof/>
        </w:rPr>
        <w:t xml:space="preserve">he average </w:t>
      </w:r>
      <w:r w:rsidR="005A00C4" w:rsidRPr="4964CFCF">
        <w:rPr>
          <w:noProof/>
        </w:rPr>
        <w:t xml:space="preserve">fee </w:t>
      </w:r>
      <w:r w:rsidR="009C02B4" w:rsidRPr="4964CFCF">
        <w:rPr>
          <w:noProof/>
        </w:rPr>
        <w:t xml:space="preserve">of registering a company </w:t>
      </w:r>
      <w:r w:rsidR="005A00C4" w:rsidRPr="4964CFCF">
        <w:rPr>
          <w:noProof/>
        </w:rPr>
        <w:t xml:space="preserve">with a business register </w:t>
      </w:r>
      <w:r w:rsidR="000E2CDF" w:rsidRPr="4964CFCF">
        <w:rPr>
          <w:noProof/>
        </w:rPr>
        <w:t xml:space="preserve">in </w:t>
      </w:r>
      <w:r w:rsidR="009C02B4" w:rsidRPr="4964CFCF">
        <w:rPr>
          <w:noProof/>
        </w:rPr>
        <w:t xml:space="preserve">a MS is </w:t>
      </w:r>
      <w:r w:rsidR="006E6FB1">
        <w:rPr>
          <w:noProof/>
        </w:rPr>
        <w:t>EUR </w:t>
      </w:r>
      <w:r w:rsidR="009167A8" w:rsidRPr="4964CFCF">
        <w:rPr>
          <w:noProof/>
        </w:rPr>
        <w:t>250</w:t>
      </w:r>
      <w:r w:rsidR="009167A8" w:rsidRPr="4964CFCF">
        <w:rPr>
          <w:rStyle w:val="FootnoteReference"/>
          <w:noProof/>
        </w:rPr>
        <w:footnoteReference w:id="8"/>
      </w:r>
      <w:r w:rsidR="009C02B4" w:rsidRPr="005A4BA8">
        <w:rPr>
          <w:noProof/>
          <w:szCs w:val="20"/>
        </w:rPr>
        <w:t>.</w:t>
      </w:r>
      <w:r w:rsidR="009C02B4" w:rsidRPr="4964CFCF">
        <w:rPr>
          <w:noProof/>
        </w:rPr>
        <w:t xml:space="preserve"> I</w:t>
      </w:r>
      <w:r w:rsidR="000E2CDF" w:rsidRPr="4964CFCF">
        <w:rPr>
          <w:noProof/>
        </w:rPr>
        <w:t>n those Member States where notaries are involved</w:t>
      </w:r>
      <w:r w:rsidR="009C02B4" w:rsidRPr="4964CFCF">
        <w:rPr>
          <w:noProof/>
        </w:rPr>
        <w:t xml:space="preserve">, the </w:t>
      </w:r>
      <w:r w:rsidR="00BD40FD" w:rsidRPr="4964CFCF">
        <w:rPr>
          <w:noProof/>
        </w:rPr>
        <w:t xml:space="preserve">additional </w:t>
      </w:r>
      <w:r w:rsidR="009C02B4" w:rsidRPr="4964CFCF">
        <w:rPr>
          <w:noProof/>
        </w:rPr>
        <w:t>average cost is</w:t>
      </w:r>
      <w:r w:rsidR="000E2CDF">
        <w:rPr>
          <w:bCs/>
          <w:noProof/>
          <w:szCs w:val="20"/>
        </w:rPr>
        <w:t xml:space="preserve"> </w:t>
      </w:r>
      <w:r w:rsidR="006E6FB1">
        <w:rPr>
          <w:bCs/>
          <w:noProof/>
          <w:szCs w:val="20"/>
        </w:rPr>
        <w:t>EUR </w:t>
      </w:r>
      <w:r w:rsidR="005A4BA8" w:rsidRPr="4964CFCF">
        <w:rPr>
          <w:noProof/>
        </w:rPr>
        <w:t>300</w:t>
      </w:r>
      <w:r w:rsidR="005A4BA8" w:rsidRPr="4964CFCF">
        <w:rPr>
          <w:rStyle w:val="FootnoteReference"/>
          <w:noProof/>
        </w:rPr>
        <w:footnoteReference w:id="9"/>
      </w:r>
      <w:r w:rsidR="000E2CDF" w:rsidRPr="4964CFCF">
        <w:rPr>
          <w:noProof/>
        </w:rPr>
        <w:t xml:space="preserve"> when national template is used </w:t>
      </w:r>
      <w:r w:rsidR="00095ED4" w:rsidRPr="4964CFCF">
        <w:rPr>
          <w:noProof/>
        </w:rPr>
        <w:t xml:space="preserve">or </w:t>
      </w:r>
      <w:r w:rsidR="002779AF">
        <w:rPr>
          <w:noProof/>
        </w:rPr>
        <w:t>EUR </w:t>
      </w:r>
      <w:r w:rsidR="00E066D8" w:rsidRPr="4964CFCF">
        <w:rPr>
          <w:noProof/>
        </w:rPr>
        <w:t>750</w:t>
      </w:r>
      <w:r w:rsidR="00E066D8" w:rsidRPr="4964CFCF">
        <w:rPr>
          <w:rStyle w:val="FootnoteReference"/>
          <w:noProof/>
        </w:rPr>
        <w:footnoteReference w:id="10"/>
      </w:r>
      <w:r w:rsidR="000E2CDF" w:rsidRPr="4964CFCF">
        <w:rPr>
          <w:noProof/>
        </w:rPr>
        <w:t xml:space="preserve"> in other cases.</w:t>
      </w:r>
    </w:p>
    <w:p w14:paraId="391A4741" w14:textId="6C320424" w:rsidR="004423ED" w:rsidRDefault="007532F2" w:rsidP="007E0402">
      <w:pPr>
        <w:tabs>
          <w:tab w:val="left" w:pos="170"/>
        </w:tabs>
        <w:jc w:val="both"/>
        <w:rPr>
          <w:bCs/>
          <w:noProof/>
          <w:szCs w:val="20"/>
        </w:rPr>
      </w:pPr>
      <w:r>
        <w:rPr>
          <w:noProof/>
        </w:rPr>
        <w:t>In those Member States where preventive control is carried out by other authorities than business registers</w:t>
      </w:r>
      <w:r w:rsidR="001F6845">
        <w:rPr>
          <w:noProof/>
        </w:rPr>
        <w:t xml:space="preserve"> (this mainly concerns notarial countries), Member States would need to ensure that </w:t>
      </w:r>
      <w:r w:rsidR="00B64EE8">
        <w:rPr>
          <w:noProof/>
        </w:rPr>
        <w:t xml:space="preserve">notaries </w:t>
      </w:r>
      <w:r w:rsidR="00A831DF">
        <w:rPr>
          <w:noProof/>
        </w:rPr>
        <w:t xml:space="preserve">be connected </w:t>
      </w:r>
      <w:r w:rsidR="001400F7">
        <w:rPr>
          <w:noProof/>
        </w:rPr>
        <w:t xml:space="preserve">to the national business registers in order to </w:t>
      </w:r>
      <w:r w:rsidR="00A9213A">
        <w:rPr>
          <w:noProof/>
        </w:rPr>
        <w:t xml:space="preserve">be part of the </w:t>
      </w:r>
      <w:r w:rsidR="00AE1B23">
        <w:rPr>
          <w:noProof/>
        </w:rPr>
        <w:t xml:space="preserve">single </w:t>
      </w:r>
      <w:r w:rsidR="002D47F8">
        <w:rPr>
          <w:noProof/>
        </w:rPr>
        <w:t>registration</w:t>
      </w:r>
      <w:r w:rsidR="00AE1B23">
        <w:rPr>
          <w:noProof/>
        </w:rPr>
        <w:t xml:space="preserve"> system. </w:t>
      </w:r>
      <w:r w:rsidR="002D47F8">
        <w:rPr>
          <w:bCs/>
          <w:noProof/>
          <w:szCs w:val="20"/>
        </w:rPr>
        <w:t xml:space="preserve">Given the </w:t>
      </w:r>
      <w:r w:rsidR="002B70FD">
        <w:rPr>
          <w:bCs/>
          <w:noProof/>
          <w:szCs w:val="20"/>
        </w:rPr>
        <w:t xml:space="preserve">important number of notaries in some Member States, Member States could decide to </w:t>
      </w:r>
      <w:r w:rsidR="00B20D66">
        <w:rPr>
          <w:bCs/>
          <w:noProof/>
          <w:szCs w:val="20"/>
        </w:rPr>
        <w:t xml:space="preserve">implement this option </w:t>
      </w:r>
      <w:r w:rsidR="002334EC">
        <w:rPr>
          <w:bCs/>
          <w:noProof/>
          <w:szCs w:val="20"/>
        </w:rPr>
        <w:t xml:space="preserve">by </w:t>
      </w:r>
      <w:r w:rsidR="00BC12D3">
        <w:rPr>
          <w:bCs/>
          <w:noProof/>
          <w:szCs w:val="20"/>
        </w:rPr>
        <w:t>designing/appointing a pool of notaries to be responsible for 28</w:t>
      </w:r>
      <w:r w:rsidR="00BC12D3" w:rsidRPr="00E97EB8">
        <w:rPr>
          <w:noProof/>
          <w:szCs w:val="20"/>
          <w:vertAlign w:val="superscript"/>
        </w:rPr>
        <w:t>th</w:t>
      </w:r>
      <w:r w:rsidR="00BC12D3">
        <w:rPr>
          <w:bCs/>
          <w:noProof/>
          <w:szCs w:val="20"/>
        </w:rPr>
        <w:t xml:space="preserve"> regime companies.</w:t>
      </w:r>
    </w:p>
    <w:p w14:paraId="140C5CA8" w14:textId="6E69963A" w:rsidR="00CC657B" w:rsidDel="00A96DB0" w:rsidRDefault="006E3F12" w:rsidP="0094737A">
      <w:pPr>
        <w:tabs>
          <w:tab w:val="left" w:pos="170"/>
        </w:tabs>
        <w:jc w:val="both"/>
        <w:rPr>
          <w:noProof/>
        </w:rPr>
      </w:pPr>
      <w:r>
        <w:rPr>
          <w:noProof/>
        </w:rPr>
        <w:t>The cost of connecting the</w:t>
      </w:r>
      <w:r w:rsidR="006F1D2E">
        <w:rPr>
          <w:noProof/>
        </w:rPr>
        <w:t xml:space="preserve"> I</w:t>
      </w:r>
      <w:r w:rsidR="005D22B5">
        <w:rPr>
          <w:noProof/>
        </w:rPr>
        <w:t>T</w:t>
      </w:r>
      <w:r w:rsidR="006F1D2E">
        <w:rPr>
          <w:noProof/>
        </w:rPr>
        <w:t xml:space="preserve"> system of the authority performing preventive checks (e.g. </w:t>
      </w:r>
      <w:r>
        <w:rPr>
          <w:noProof/>
        </w:rPr>
        <w:t xml:space="preserve"> the national </w:t>
      </w:r>
      <w:r w:rsidR="00F91274">
        <w:rPr>
          <w:noProof/>
        </w:rPr>
        <w:t>notar</w:t>
      </w:r>
      <w:r w:rsidR="006F1D2E">
        <w:rPr>
          <w:noProof/>
        </w:rPr>
        <w:t>ial</w:t>
      </w:r>
      <w:r w:rsidR="00F91274">
        <w:rPr>
          <w:noProof/>
        </w:rPr>
        <w:t xml:space="preserve"> IT system </w:t>
      </w:r>
      <w:r>
        <w:rPr>
          <w:noProof/>
        </w:rPr>
        <w:t>to the single registration system</w:t>
      </w:r>
      <w:r w:rsidR="0011224B" w:rsidRPr="0011224B">
        <w:rPr>
          <w:noProof/>
        </w:rPr>
        <w:t xml:space="preserve"> </w:t>
      </w:r>
      <w:r w:rsidR="0011224B">
        <w:rPr>
          <w:noProof/>
        </w:rPr>
        <w:t>is e</w:t>
      </w:r>
      <w:r w:rsidR="0011224B" w:rsidRPr="5CBCE07D">
        <w:rPr>
          <w:noProof/>
        </w:rPr>
        <w:t xml:space="preserve">stimated at </w:t>
      </w:r>
      <w:r w:rsidR="006F5EC5">
        <w:rPr>
          <w:noProof/>
        </w:rPr>
        <w:t xml:space="preserve">average </w:t>
      </w:r>
      <w:r w:rsidR="002779AF">
        <w:rPr>
          <w:noProof/>
        </w:rPr>
        <w:t>EUR </w:t>
      </w:r>
      <w:r w:rsidR="006F5EC5">
        <w:rPr>
          <w:noProof/>
        </w:rPr>
        <w:t>5</w:t>
      </w:r>
      <w:r w:rsidR="0011224B" w:rsidRPr="5CBCE07D">
        <w:rPr>
          <w:noProof/>
        </w:rPr>
        <w:t>0</w:t>
      </w:r>
      <w:r>
        <w:rPr>
          <w:noProof/>
        </w:rPr>
        <w:t> </w:t>
      </w:r>
      <w:r w:rsidR="0011224B" w:rsidRPr="5CBCE07D">
        <w:rPr>
          <w:noProof/>
        </w:rPr>
        <w:t xml:space="preserve">000 per </w:t>
      </w:r>
      <w:r w:rsidR="00406D90">
        <w:rPr>
          <w:noProof/>
        </w:rPr>
        <w:t xml:space="preserve">affected </w:t>
      </w:r>
      <w:r w:rsidR="0011224B" w:rsidRPr="5CBCE07D">
        <w:rPr>
          <w:noProof/>
        </w:rPr>
        <w:t>Member State</w:t>
      </w:r>
      <w:r w:rsidR="001D5E7E">
        <w:rPr>
          <w:noProof/>
        </w:rPr>
        <w:t xml:space="preserve">, although </w:t>
      </w:r>
      <w:r w:rsidR="00737B0A">
        <w:rPr>
          <w:noProof/>
        </w:rPr>
        <w:t xml:space="preserve">some Member States that entrust preventive control to notaries already connect notaries to the national business register </w:t>
      </w:r>
      <w:r w:rsidR="003E6DDA">
        <w:rPr>
          <w:noProof/>
        </w:rPr>
        <w:t xml:space="preserve">and </w:t>
      </w:r>
      <w:r w:rsidR="00A20834">
        <w:rPr>
          <w:noProof/>
        </w:rPr>
        <w:t xml:space="preserve">would therefore </w:t>
      </w:r>
      <w:r w:rsidR="00445421">
        <w:rPr>
          <w:noProof/>
        </w:rPr>
        <w:t xml:space="preserve">require </w:t>
      </w:r>
      <w:r w:rsidR="009A44D7">
        <w:rPr>
          <w:noProof/>
        </w:rPr>
        <w:t xml:space="preserve">only a minor </w:t>
      </w:r>
      <w:r w:rsidR="00A20834">
        <w:rPr>
          <w:noProof/>
        </w:rPr>
        <w:t>setup costs</w:t>
      </w:r>
      <w:r w:rsidR="00D16448">
        <w:rPr>
          <w:noProof/>
        </w:rPr>
        <w:t>.</w:t>
      </w:r>
    </w:p>
    <w:p w14:paraId="75170502" w14:textId="0FD2C7B7" w:rsidR="007214DC" w:rsidRPr="009C00D9" w:rsidRDefault="007214DC" w:rsidP="00B66741">
      <w:pPr>
        <w:tabs>
          <w:tab w:val="left" w:pos="170"/>
        </w:tabs>
        <w:spacing w:after="0"/>
        <w:jc w:val="both"/>
        <w:rPr>
          <w:b/>
          <w:noProof/>
          <w:lang w:val="en-US"/>
        </w:rPr>
      </w:pPr>
      <w:r w:rsidRPr="62F2F9FF">
        <w:rPr>
          <w:b/>
          <w:noProof/>
          <w:lang w:val="en-US"/>
        </w:rPr>
        <w:t xml:space="preserve">Policy Option 2c: As option 2b, but with </w:t>
      </w:r>
      <w:r w:rsidR="00E97EB8" w:rsidRPr="62F2F9FF">
        <w:rPr>
          <w:rFonts w:cs="Arial"/>
          <w:b/>
          <w:noProof/>
        </w:rPr>
        <w:t xml:space="preserve">preventive control by judicial or administrative authorities (excluding notaries) when the </w:t>
      </w:r>
      <w:r w:rsidR="00E97EB8" w:rsidRPr="62F2F9FF">
        <w:rPr>
          <w:rFonts w:cs="Arial"/>
          <w:b/>
          <w:bCs/>
          <w:noProof/>
        </w:rPr>
        <w:t>standardi</w:t>
      </w:r>
      <w:r w:rsidR="2B0C5533" w:rsidRPr="62F2F9FF">
        <w:rPr>
          <w:rFonts w:cs="Arial"/>
          <w:b/>
          <w:bCs/>
          <w:noProof/>
        </w:rPr>
        <w:t>s</w:t>
      </w:r>
      <w:r w:rsidR="00E97EB8" w:rsidRPr="62F2F9FF">
        <w:rPr>
          <w:rFonts w:cs="Arial"/>
          <w:b/>
          <w:bCs/>
          <w:noProof/>
        </w:rPr>
        <w:t>ed</w:t>
      </w:r>
      <w:r w:rsidR="00E97EB8" w:rsidRPr="62F2F9FF">
        <w:rPr>
          <w:rFonts w:cs="Arial"/>
          <w:b/>
          <w:noProof/>
        </w:rPr>
        <w:t xml:space="preserve"> template is used by founders as natural persons.</w:t>
      </w:r>
    </w:p>
    <w:p w14:paraId="7F466BAA" w14:textId="03DA3011" w:rsidR="008A5B0F" w:rsidRPr="009E04F4" w:rsidRDefault="008A5B0F" w:rsidP="008A5B0F">
      <w:pPr>
        <w:spacing w:after="0"/>
        <w:jc w:val="both"/>
        <w:rPr>
          <w:bCs/>
          <w:noProof/>
          <w:szCs w:val="20"/>
          <w:lang w:val="en-US"/>
        </w:rPr>
      </w:pPr>
      <w:r w:rsidRPr="009C00D9">
        <w:rPr>
          <w:noProof/>
          <w:szCs w:val="20"/>
          <w:lang w:val="en-US"/>
        </w:rPr>
        <w:t xml:space="preserve">Under this option, </w:t>
      </w:r>
      <w:r w:rsidR="001A7165" w:rsidRPr="009C00D9">
        <w:rPr>
          <w:noProof/>
          <w:szCs w:val="20"/>
          <w:lang w:val="en-US"/>
        </w:rPr>
        <w:t xml:space="preserve">notaries would not </w:t>
      </w:r>
      <w:r w:rsidR="00803736" w:rsidRPr="009C00D9">
        <w:rPr>
          <w:noProof/>
          <w:szCs w:val="20"/>
          <w:lang w:val="en-US"/>
        </w:rPr>
        <w:t xml:space="preserve">carry out </w:t>
      </w:r>
      <w:r w:rsidRPr="009C00D9">
        <w:rPr>
          <w:noProof/>
          <w:szCs w:val="20"/>
          <w:lang w:val="en-US"/>
        </w:rPr>
        <w:t>the preventive control</w:t>
      </w:r>
      <w:r w:rsidR="00803736" w:rsidRPr="009C00D9">
        <w:rPr>
          <w:noProof/>
          <w:szCs w:val="20"/>
          <w:lang w:val="en-US"/>
        </w:rPr>
        <w:t>, but it</w:t>
      </w:r>
      <w:r w:rsidRPr="009C00D9">
        <w:rPr>
          <w:noProof/>
          <w:szCs w:val="20"/>
          <w:lang w:val="en-US"/>
        </w:rPr>
        <w:t xml:space="preserve"> would need to be carried out by administrative or judicial authority. </w:t>
      </w:r>
      <w:r w:rsidR="00FD6B68">
        <w:rPr>
          <w:noProof/>
          <w:szCs w:val="20"/>
          <w:lang w:val="en-US"/>
        </w:rPr>
        <w:t>Therefore, this option would not b</w:t>
      </w:r>
      <w:r w:rsidR="003C7F02">
        <w:rPr>
          <w:noProof/>
          <w:szCs w:val="20"/>
          <w:lang w:val="en-US"/>
        </w:rPr>
        <w:t>ring</w:t>
      </w:r>
      <w:r w:rsidR="00FD6B68">
        <w:rPr>
          <w:noProof/>
          <w:szCs w:val="20"/>
          <w:lang w:val="en-US"/>
        </w:rPr>
        <w:t xml:space="preserve"> cost savings for companies but could create adjustment costs for those Member States where notarial preventive control would need to be carried out by other authorities. </w:t>
      </w:r>
      <w:r w:rsidR="00164A3E">
        <w:rPr>
          <w:noProof/>
          <w:szCs w:val="20"/>
          <w:lang w:val="en-US"/>
        </w:rPr>
        <w:t>On the other hand, central</w:t>
      </w:r>
      <w:r w:rsidR="00295DC6">
        <w:rPr>
          <w:noProof/>
          <w:szCs w:val="20"/>
          <w:lang w:val="en-US"/>
        </w:rPr>
        <w:t>ising</w:t>
      </w:r>
      <w:r w:rsidR="00164A3E">
        <w:rPr>
          <w:noProof/>
          <w:szCs w:val="20"/>
          <w:lang w:val="en-US"/>
        </w:rPr>
        <w:t xml:space="preserve"> </w:t>
      </w:r>
      <w:r w:rsidR="00035EB1">
        <w:rPr>
          <w:noProof/>
          <w:szCs w:val="20"/>
          <w:lang w:val="en-US"/>
        </w:rPr>
        <w:t>preventive checks</w:t>
      </w:r>
      <w:r w:rsidR="00295DC6">
        <w:rPr>
          <w:noProof/>
          <w:szCs w:val="20"/>
          <w:lang w:val="en-US"/>
        </w:rPr>
        <w:t xml:space="preserve"> </w:t>
      </w:r>
      <w:r w:rsidR="00016277">
        <w:rPr>
          <w:noProof/>
          <w:szCs w:val="20"/>
          <w:lang w:val="en-US"/>
        </w:rPr>
        <w:t>within one administrative or judicial authority</w:t>
      </w:r>
      <w:r w:rsidR="00035EB1">
        <w:rPr>
          <w:noProof/>
          <w:szCs w:val="20"/>
          <w:lang w:val="en-US"/>
        </w:rPr>
        <w:t xml:space="preserve"> </w:t>
      </w:r>
      <w:r w:rsidR="007376C6">
        <w:rPr>
          <w:noProof/>
          <w:szCs w:val="20"/>
          <w:lang w:val="en-US"/>
        </w:rPr>
        <w:t>could also create cost savings f</w:t>
      </w:r>
      <w:r w:rsidR="006D40D0">
        <w:rPr>
          <w:noProof/>
          <w:szCs w:val="20"/>
          <w:lang w:val="en-US"/>
        </w:rPr>
        <w:t>or public bodies</w:t>
      </w:r>
      <w:r w:rsidR="00035EB1">
        <w:rPr>
          <w:noProof/>
          <w:szCs w:val="20"/>
          <w:lang w:val="en-US"/>
        </w:rPr>
        <w:t xml:space="preserve"> </w:t>
      </w:r>
      <w:r w:rsidR="00022117">
        <w:rPr>
          <w:noProof/>
          <w:szCs w:val="20"/>
          <w:lang w:val="en-US"/>
        </w:rPr>
        <w:t xml:space="preserve">in those Member States where these checks are currently </w:t>
      </w:r>
      <w:r w:rsidR="00BF12F6">
        <w:rPr>
          <w:noProof/>
          <w:szCs w:val="20"/>
          <w:lang w:val="en-US"/>
        </w:rPr>
        <w:t>carried out by a notary and a</w:t>
      </w:r>
      <w:r w:rsidR="00553661">
        <w:rPr>
          <w:noProof/>
          <w:szCs w:val="20"/>
          <w:lang w:val="en-US"/>
        </w:rPr>
        <w:t>n administrative or judicial authority.</w:t>
      </w:r>
      <w:r w:rsidR="00035EB1">
        <w:rPr>
          <w:noProof/>
          <w:szCs w:val="20"/>
          <w:lang w:val="en-US"/>
        </w:rPr>
        <w:t xml:space="preserve"> </w:t>
      </w:r>
      <w:r w:rsidR="00FD6B68">
        <w:rPr>
          <w:noProof/>
          <w:szCs w:val="20"/>
          <w:lang w:val="en-US"/>
        </w:rPr>
        <w:t xml:space="preserve">However, it is not possible to estimate such adjustment costs </w:t>
      </w:r>
      <w:r w:rsidR="0068512D">
        <w:rPr>
          <w:noProof/>
          <w:szCs w:val="20"/>
          <w:lang w:val="en-US"/>
        </w:rPr>
        <w:t>or savings</w:t>
      </w:r>
      <w:r w:rsidR="00FD6B68">
        <w:rPr>
          <w:noProof/>
          <w:szCs w:val="20"/>
          <w:lang w:val="en-US"/>
        </w:rPr>
        <w:t xml:space="preserve"> given that it would be </w:t>
      </w:r>
      <w:r w:rsidR="00F02D4D">
        <w:rPr>
          <w:noProof/>
          <w:szCs w:val="20"/>
          <w:lang w:val="en-US"/>
        </w:rPr>
        <w:t>left</w:t>
      </w:r>
      <w:r w:rsidR="009C00D9">
        <w:rPr>
          <w:noProof/>
          <w:szCs w:val="20"/>
          <w:lang w:val="en-US"/>
        </w:rPr>
        <w:t xml:space="preserve"> to</w:t>
      </w:r>
      <w:r w:rsidR="00F02D4D">
        <w:rPr>
          <w:noProof/>
          <w:szCs w:val="20"/>
          <w:lang w:val="en-US"/>
        </w:rPr>
        <w:t xml:space="preserve"> the</w:t>
      </w:r>
      <w:r w:rsidR="009C00D9">
        <w:rPr>
          <w:noProof/>
          <w:szCs w:val="20"/>
          <w:lang w:val="en-US"/>
        </w:rPr>
        <w:t xml:space="preserve"> concerned Member States to organize </w:t>
      </w:r>
      <w:r w:rsidR="00725AD2">
        <w:rPr>
          <w:noProof/>
          <w:szCs w:val="20"/>
          <w:lang w:val="en-US"/>
        </w:rPr>
        <w:t>the replacement</w:t>
      </w:r>
      <w:r w:rsidR="008462C7">
        <w:rPr>
          <w:noProof/>
          <w:szCs w:val="20"/>
          <w:lang w:val="en-US"/>
        </w:rPr>
        <w:t xml:space="preserve"> of notaries </w:t>
      </w:r>
      <w:r w:rsidR="006F43DB">
        <w:rPr>
          <w:noProof/>
          <w:szCs w:val="20"/>
          <w:lang w:val="en-US"/>
        </w:rPr>
        <w:t>in preventive checks</w:t>
      </w:r>
      <w:r w:rsidR="009C00D9">
        <w:rPr>
          <w:noProof/>
          <w:szCs w:val="20"/>
          <w:lang w:val="en-US"/>
        </w:rPr>
        <w:t xml:space="preserve">. </w:t>
      </w:r>
    </w:p>
    <w:p w14:paraId="4A66228E" w14:textId="7862E458" w:rsidR="004B07E4" w:rsidRPr="00ED1E7F" w:rsidRDefault="004B07E4" w:rsidP="00B66741">
      <w:pPr>
        <w:spacing w:after="0"/>
        <w:jc w:val="both"/>
        <w:rPr>
          <w:b/>
          <w:smallCaps/>
          <w:noProof/>
          <w:szCs w:val="20"/>
          <w:u w:val="single"/>
          <w:lang w:val="en-US"/>
        </w:rPr>
      </w:pPr>
      <w:r w:rsidRPr="00ED1E7F">
        <w:rPr>
          <w:b/>
          <w:smallCaps/>
          <w:noProof/>
          <w:szCs w:val="20"/>
          <w:u w:val="single"/>
          <w:lang w:val="en-US"/>
        </w:rPr>
        <w:t xml:space="preserve">Policy </w:t>
      </w:r>
      <w:r w:rsidR="003321A6" w:rsidRPr="00ED1E7F">
        <w:rPr>
          <w:b/>
          <w:smallCaps/>
          <w:noProof/>
          <w:szCs w:val="20"/>
          <w:u w:val="single"/>
          <w:lang w:val="en-US"/>
        </w:rPr>
        <w:t>options 3 to ensure once-only submission of information in the context of registration</w:t>
      </w:r>
    </w:p>
    <w:p w14:paraId="6B407E40" w14:textId="77777777" w:rsidR="006379A5" w:rsidRPr="003B14BB" w:rsidRDefault="006379A5" w:rsidP="00D07161">
      <w:pPr>
        <w:spacing w:before="0" w:after="0"/>
        <w:jc w:val="both"/>
        <w:rPr>
          <w:b/>
          <w:noProof/>
          <w:szCs w:val="20"/>
          <w:lang w:val="en-US"/>
        </w:rPr>
      </w:pPr>
    </w:p>
    <w:p w14:paraId="4D1ED2D2" w14:textId="129B75CE" w:rsidR="00ED1D0D" w:rsidRDefault="004B07E4" w:rsidP="00B66741">
      <w:pPr>
        <w:spacing w:after="0"/>
        <w:jc w:val="both"/>
        <w:rPr>
          <w:b/>
          <w:noProof/>
          <w:szCs w:val="20"/>
        </w:rPr>
      </w:pPr>
      <w:r w:rsidRPr="003B14BB">
        <w:rPr>
          <w:b/>
          <w:noProof/>
          <w:szCs w:val="20"/>
        </w:rPr>
        <w:t>Policy Option 3a</w:t>
      </w:r>
      <w:r>
        <w:rPr>
          <w:b/>
          <w:noProof/>
          <w:szCs w:val="20"/>
        </w:rPr>
        <w:t>:</w:t>
      </w:r>
      <w:r w:rsidR="008D34CD">
        <w:rPr>
          <w:b/>
          <w:noProof/>
          <w:szCs w:val="20"/>
        </w:rPr>
        <w:t xml:space="preserve"> </w:t>
      </w:r>
      <w:r w:rsidR="00DE0958">
        <w:rPr>
          <w:b/>
          <w:noProof/>
          <w:szCs w:val="20"/>
        </w:rPr>
        <w:t>I</w:t>
      </w:r>
      <w:r w:rsidR="00ED1D0D" w:rsidRPr="00ED1D0D">
        <w:rPr>
          <w:b/>
          <w:noProof/>
          <w:szCs w:val="20"/>
        </w:rPr>
        <w:t xml:space="preserve">n the context of the registration, </w:t>
      </w:r>
      <w:r w:rsidR="00D76E8D">
        <w:rPr>
          <w:b/>
          <w:noProof/>
          <w:szCs w:val="20"/>
        </w:rPr>
        <w:t xml:space="preserve">ensure that </w:t>
      </w:r>
      <w:r w:rsidR="00ED1D0D" w:rsidRPr="00ED1D0D">
        <w:rPr>
          <w:b/>
          <w:noProof/>
          <w:szCs w:val="20"/>
        </w:rPr>
        <w:t xml:space="preserve">the information about the company </w:t>
      </w:r>
      <w:r w:rsidR="00D76E8D">
        <w:rPr>
          <w:b/>
          <w:noProof/>
          <w:szCs w:val="20"/>
        </w:rPr>
        <w:t>is</w:t>
      </w:r>
      <w:r w:rsidR="00ED1D0D" w:rsidRPr="00ED1D0D">
        <w:rPr>
          <w:b/>
          <w:noProof/>
          <w:szCs w:val="20"/>
        </w:rPr>
        <w:t xml:space="preserve"> transferred from the business register to the authority</w:t>
      </w:r>
      <w:r w:rsidR="0024250A">
        <w:rPr>
          <w:b/>
          <w:noProof/>
          <w:szCs w:val="20"/>
        </w:rPr>
        <w:t xml:space="preserve"> in charge of issuing the </w:t>
      </w:r>
      <w:r w:rsidR="00412006">
        <w:rPr>
          <w:b/>
          <w:noProof/>
          <w:szCs w:val="20"/>
        </w:rPr>
        <w:t>TIN</w:t>
      </w:r>
      <w:r w:rsidR="005824B5">
        <w:rPr>
          <w:b/>
          <w:noProof/>
          <w:szCs w:val="20"/>
        </w:rPr>
        <w:t xml:space="preserve"> and the VAT identification number</w:t>
      </w:r>
      <w:r w:rsidR="00ED1D0D" w:rsidRPr="00ED1D0D">
        <w:rPr>
          <w:b/>
          <w:noProof/>
          <w:szCs w:val="20"/>
        </w:rPr>
        <w:t>, to social security authority and to the beneficial ownership register</w:t>
      </w:r>
      <w:r w:rsidR="00D76E8D">
        <w:rPr>
          <w:b/>
          <w:noProof/>
          <w:szCs w:val="20"/>
        </w:rPr>
        <w:t>,</w:t>
      </w:r>
      <w:r w:rsidR="00ED1D0D" w:rsidRPr="00ED1D0D">
        <w:rPr>
          <w:b/>
          <w:noProof/>
          <w:szCs w:val="20"/>
        </w:rPr>
        <w:t xml:space="preserve"> </w:t>
      </w:r>
      <w:r w:rsidR="007817D9">
        <w:rPr>
          <w:b/>
          <w:noProof/>
          <w:szCs w:val="20"/>
        </w:rPr>
        <w:t>with any additional information needed</w:t>
      </w:r>
      <w:r w:rsidR="00572080">
        <w:rPr>
          <w:b/>
          <w:noProof/>
          <w:szCs w:val="20"/>
        </w:rPr>
        <w:t xml:space="preserve"> for </w:t>
      </w:r>
      <w:r w:rsidR="00D65A35">
        <w:rPr>
          <w:b/>
          <w:noProof/>
          <w:szCs w:val="20"/>
        </w:rPr>
        <w:t xml:space="preserve">the </w:t>
      </w:r>
      <w:r w:rsidR="00E053BF">
        <w:rPr>
          <w:b/>
          <w:noProof/>
          <w:szCs w:val="20"/>
        </w:rPr>
        <w:t>b</w:t>
      </w:r>
      <w:r w:rsidR="00D65A35">
        <w:rPr>
          <w:b/>
          <w:noProof/>
          <w:szCs w:val="20"/>
        </w:rPr>
        <w:t>eneficial owner as part of the template</w:t>
      </w:r>
      <w:r w:rsidR="00D76E8D">
        <w:rPr>
          <w:b/>
          <w:noProof/>
          <w:szCs w:val="20"/>
        </w:rPr>
        <w:t>,</w:t>
      </w:r>
      <w:r w:rsidR="00D65A35">
        <w:rPr>
          <w:b/>
          <w:noProof/>
          <w:szCs w:val="20"/>
        </w:rPr>
        <w:t xml:space="preserve"> </w:t>
      </w:r>
      <w:r w:rsidR="00ED1D0D" w:rsidRPr="00ED1D0D">
        <w:rPr>
          <w:b/>
          <w:noProof/>
          <w:szCs w:val="20"/>
        </w:rPr>
        <w:t>without the 28</w:t>
      </w:r>
      <w:r w:rsidR="00ED1D0D" w:rsidRPr="00ED1D0D">
        <w:rPr>
          <w:b/>
          <w:noProof/>
          <w:szCs w:val="20"/>
          <w:vertAlign w:val="superscript"/>
        </w:rPr>
        <w:t>th</w:t>
      </w:r>
      <w:r w:rsidR="00ED1D0D" w:rsidRPr="00ED1D0D">
        <w:rPr>
          <w:b/>
          <w:noProof/>
          <w:szCs w:val="20"/>
        </w:rPr>
        <w:t xml:space="preserve"> regime company needing to submit it again </w:t>
      </w:r>
      <w:r w:rsidR="00D76E8D">
        <w:rPr>
          <w:b/>
          <w:noProof/>
          <w:szCs w:val="20"/>
        </w:rPr>
        <w:t>(</w:t>
      </w:r>
      <w:r w:rsidR="00D76E8D">
        <w:rPr>
          <w:b/>
          <w:noProof/>
          <w:szCs w:val="20"/>
          <w:lang w:val="en-IE"/>
        </w:rPr>
        <w:t>“once-only principle”</w:t>
      </w:r>
      <w:r w:rsidR="00D76E8D">
        <w:rPr>
          <w:b/>
          <w:noProof/>
          <w:szCs w:val="20"/>
        </w:rPr>
        <w:t>)</w:t>
      </w:r>
      <w:r w:rsidR="00ED1D0D" w:rsidRPr="00ED1D0D">
        <w:rPr>
          <w:b/>
          <w:noProof/>
          <w:szCs w:val="20"/>
        </w:rPr>
        <w:t xml:space="preserve">. </w:t>
      </w:r>
    </w:p>
    <w:p w14:paraId="18962249" w14:textId="049CCD1D" w:rsidR="00340747" w:rsidRDefault="00DB3DF1" w:rsidP="00B66741">
      <w:pPr>
        <w:spacing w:after="0"/>
        <w:jc w:val="both"/>
        <w:rPr>
          <w:bCs/>
          <w:noProof/>
          <w:szCs w:val="20"/>
        </w:rPr>
      </w:pPr>
      <w:r>
        <w:rPr>
          <w:bCs/>
          <w:noProof/>
          <w:szCs w:val="20"/>
        </w:rPr>
        <w:t>T</w:t>
      </w:r>
      <w:r w:rsidR="0075663B">
        <w:rPr>
          <w:bCs/>
          <w:noProof/>
          <w:szCs w:val="20"/>
        </w:rPr>
        <w:t xml:space="preserve">his </w:t>
      </w:r>
      <w:r>
        <w:rPr>
          <w:bCs/>
          <w:noProof/>
          <w:szCs w:val="20"/>
        </w:rPr>
        <w:t xml:space="preserve">policy </w:t>
      </w:r>
      <w:r w:rsidR="0075663B">
        <w:rPr>
          <w:bCs/>
          <w:noProof/>
          <w:szCs w:val="20"/>
        </w:rPr>
        <w:t xml:space="preserve">option </w:t>
      </w:r>
      <w:r>
        <w:rPr>
          <w:bCs/>
          <w:noProof/>
          <w:szCs w:val="20"/>
        </w:rPr>
        <w:t xml:space="preserve">adds to the EU system for </w:t>
      </w:r>
      <w:r w:rsidR="001A3DEA">
        <w:rPr>
          <w:bCs/>
          <w:noProof/>
          <w:szCs w:val="20"/>
        </w:rPr>
        <w:t>registration under policy options 2</w:t>
      </w:r>
      <w:r>
        <w:rPr>
          <w:bCs/>
          <w:noProof/>
          <w:szCs w:val="20"/>
        </w:rPr>
        <w:t xml:space="preserve">, </w:t>
      </w:r>
      <w:r w:rsidR="001B0C36">
        <w:rPr>
          <w:bCs/>
          <w:noProof/>
          <w:szCs w:val="20"/>
        </w:rPr>
        <w:t xml:space="preserve">that the company information </w:t>
      </w:r>
      <w:r w:rsidR="00B02F9B">
        <w:rPr>
          <w:bCs/>
          <w:noProof/>
          <w:szCs w:val="20"/>
        </w:rPr>
        <w:t xml:space="preserve">in the context of registration is directly transferred to the </w:t>
      </w:r>
      <w:r w:rsidR="00060A4F">
        <w:rPr>
          <w:bCs/>
          <w:noProof/>
          <w:szCs w:val="20"/>
        </w:rPr>
        <w:t>authority</w:t>
      </w:r>
      <w:r w:rsidR="00412006" w:rsidRPr="00412006">
        <w:rPr>
          <w:bCs/>
          <w:noProof/>
          <w:szCs w:val="20"/>
        </w:rPr>
        <w:t xml:space="preserve"> </w:t>
      </w:r>
      <w:r w:rsidR="00412006" w:rsidRPr="00BF18CD">
        <w:rPr>
          <w:bCs/>
          <w:noProof/>
          <w:szCs w:val="20"/>
        </w:rPr>
        <w:t>in charge of issuing the TIN</w:t>
      </w:r>
      <w:r w:rsidR="00060A4F">
        <w:rPr>
          <w:bCs/>
          <w:noProof/>
          <w:szCs w:val="20"/>
        </w:rPr>
        <w:t xml:space="preserve"> and </w:t>
      </w:r>
      <w:r w:rsidR="005C4A60">
        <w:rPr>
          <w:bCs/>
          <w:noProof/>
          <w:szCs w:val="20"/>
        </w:rPr>
        <w:t xml:space="preserve">the </w:t>
      </w:r>
      <w:r w:rsidR="005824B5">
        <w:rPr>
          <w:bCs/>
          <w:noProof/>
          <w:szCs w:val="20"/>
        </w:rPr>
        <w:t xml:space="preserve">VAT </w:t>
      </w:r>
      <w:r w:rsidR="00E64FA9">
        <w:rPr>
          <w:bCs/>
          <w:noProof/>
          <w:szCs w:val="20"/>
        </w:rPr>
        <w:t>identification</w:t>
      </w:r>
      <w:r w:rsidR="005824B5">
        <w:rPr>
          <w:bCs/>
          <w:noProof/>
          <w:szCs w:val="20"/>
        </w:rPr>
        <w:t xml:space="preserve"> number</w:t>
      </w:r>
      <w:r w:rsidR="00060A4F">
        <w:rPr>
          <w:bCs/>
          <w:noProof/>
          <w:szCs w:val="20"/>
        </w:rPr>
        <w:t xml:space="preserve">, </w:t>
      </w:r>
      <w:r w:rsidR="005824B5">
        <w:rPr>
          <w:bCs/>
          <w:noProof/>
          <w:szCs w:val="20"/>
        </w:rPr>
        <w:t xml:space="preserve">to </w:t>
      </w:r>
      <w:r w:rsidR="00060A4F">
        <w:rPr>
          <w:bCs/>
          <w:noProof/>
          <w:szCs w:val="20"/>
        </w:rPr>
        <w:t xml:space="preserve">social security authority and </w:t>
      </w:r>
      <w:r w:rsidR="005C4A60">
        <w:rPr>
          <w:bCs/>
          <w:noProof/>
          <w:szCs w:val="20"/>
        </w:rPr>
        <w:t xml:space="preserve">to the beneficial ownership register. </w:t>
      </w:r>
      <w:r w:rsidR="001A3DEA">
        <w:rPr>
          <w:bCs/>
          <w:noProof/>
          <w:szCs w:val="20"/>
        </w:rPr>
        <w:t xml:space="preserve">In </w:t>
      </w:r>
      <w:r w:rsidR="00A7229B">
        <w:rPr>
          <w:bCs/>
          <w:noProof/>
          <w:szCs w:val="20"/>
        </w:rPr>
        <w:t>most Member States, especially</w:t>
      </w:r>
      <w:r w:rsidR="001A3DEA">
        <w:rPr>
          <w:bCs/>
          <w:noProof/>
          <w:szCs w:val="20"/>
        </w:rPr>
        <w:t xml:space="preserve"> </w:t>
      </w:r>
      <w:r w:rsidR="005417E2">
        <w:rPr>
          <w:bCs/>
          <w:noProof/>
          <w:szCs w:val="20"/>
        </w:rPr>
        <w:t>11</w:t>
      </w:r>
      <w:r w:rsidR="001A3DEA">
        <w:rPr>
          <w:bCs/>
          <w:noProof/>
          <w:szCs w:val="20"/>
        </w:rPr>
        <w:t xml:space="preserve"> Member States where the tax identification number is </w:t>
      </w:r>
      <w:r w:rsidR="0022037F">
        <w:rPr>
          <w:bCs/>
          <w:noProof/>
          <w:szCs w:val="20"/>
        </w:rPr>
        <w:t>based on</w:t>
      </w:r>
      <w:r w:rsidR="0012579C">
        <w:rPr>
          <w:bCs/>
          <w:noProof/>
          <w:szCs w:val="20"/>
        </w:rPr>
        <w:t xml:space="preserve">, or technically related to, </w:t>
      </w:r>
      <w:r w:rsidR="001A3DEA">
        <w:rPr>
          <w:bCs/>
          <w:noProof/>
          <w:szCs w:val="20"/>
        </w:rPr>
        <w:t>the business registration number</w:t>
      </w:r>
      <w:r w:rsidR="005454D2">
        <w:rPr>
          <w:bCs/>
          <w:noProof/>
          <w:szCs w:val="20"/>
        </w:rPr>
        <w:t>,</w:t>
      </w:r>
      <w:r w:rsidR="001A3DEA">
        <w:rPr>
          <w:bCs/>
          <w:noProof/>
          <w:szCs w:val="20"/>
        </w:rPr>
        <w:t xml:space="preserve"> in </w:t>
      </w:r>
      <w:r w:rsidR="003E7E67">
        <w:rPr>
          <w:bCs/>
          <w:noProof/>
          <w:szCs w:val="20"/>
        </w:rPr>
        <w:t>17</w:t>
      </w:r>
      <w:r w:rsidR="001A3DEA">
        <w:rPr>
          <w:bCs/>
          <w:noProof/>
          <w:szCs w:val="20"/>
        </w:rPr>
        <w:t xml:space="preserve"> Member States where the business register </w:t>
      </w:r>
      <w:r w:rsidR="0027172A">
        <w:rPr>
          <w:bCs/>
          <w:noProof/>
          <w:szCs w:val="20"/>
        </w:rPr>
        <w:t>and</w:t>
      </w:r>
      <w:r w:rsidR="001A3DEA">
        <w:rPr>
          <w:bCs/>
          <w:noProof/>
          <w:szCs w:val="20"/>
        </w:rPr>
        <w:t xml:space="preserve"> the beneficial ownership register</w:t>
      </w:r>
      <w:r w:rsidR="0027172A">
        <w:rPr>
          <w:bCs/>
          <w:noProof/>
          <w:szCs w:val="20"/>
        </w:rPr>
        <w:t xml:space="preserve"> are</w:t>
      </w:r>
      <w:r w:rsidR="00791920">
        <w:rPr>
          <w:bCs/>
          <w:noProof/>
          <w:szCs w:val="20"/>
        </w:rPr>
        <w:t xml:space="preserve"> either </w:t>
      </w:r>
      <w:r w:rsidR="003331E8">
        <w:rPr>
          <w:bCs/>
          <w:noProof/>
          <w:szCs w:val="20"/>
        </w:rPr>
        <w:t xml:space="preserve">under the same authority or IT umbrella, </w:t>
      </w:r>
      <w:r w:rsidR="00791920">
        <w:rPr>
          <w:bCs/>
          <w:noProof/>
          <w:szCs w:val="20"/>
        </w:rPr>
        <w:t xml:space="preserve">or </w:t>
      </w:r>
      <w:r w:rsidR="003331E8">
        <w:rPr>
          <w:bCs/>
          <w:noProof/>
          <w:szCs w:val="20"/>
        </w:rPr>
        <w:t>at least</w:t>
      </w:r>
      <w:r w:rsidR="00791920">
        <w:rPr>
          <w:bCs/>
          <w:noProof/>
          <w:szCs w:val="20"/>
        </w:rPr>
        <w:t xml:space="preserve"> </w:t>
      </w:r>
      <w:r w:rsidR="0010763E">
        <w:rPr>
          <w:bCs/>
          <w:noProof/>
          <w:szCs w:val="20"/>
        </w:rPr>
        <w:t>closely linked</w:t>
      </w:r>
      <w:r w:rsidR="00C71353">
        <w:rPr>
          <w:bCs/>
          <w:noProof/>
          <w:szCs w:val="20"/>
        </w:rPr>
        <w:t xml:space="preserve"> and already exchanging information</w:t>
      </w:r>
      <w:r w:rsidR="001A3DEA">
        <w:rPr>
          <w:bCs/>
          <w:noProof/>
          <w:szCs w:val="20"/>
        </w:rPr>
        <w:t xml:space="preserve">, </w:t>
      </w:r>
      <w:r w:rsidR="008C6A10">
        <w:rPr>
          <w:bCs/>
          <w:noProof/>
          <w:szCs w:val="20"/>
        </w:rPr>
        <w:t xml:space="preserve">and in 7 Member States where the attribution of the social security number of the company is </w:t>
      </w:r>
      <w:r w:rsidR="00792E40">
        <w:rPr>
          <w:bCs/>
          <w:noProof/>
          <w:szCs w:val="20"/>
        </w:rPr>
        <w:t>obtained as</w:t>
      </w:r>
      <w:r w:rsidR="008C6A10">
        <w:rPr>
          <w:bCs/>
          <w:noProof/>
          <w:szCs w:val="20"/>
        </w:rPr>
        <w:t xml:space="preserve"> part of the company registration process</w:t>
      </w:r>
      <w:r w:rsidR="00792E40">
        <w:rPr>
          <w:bCs/>
          <w:noProof/>
          <w:szCs w:val="20"/>
        </w:rPr>
        <w:t>,</w:t>
      </w:r>
      <w:r w:rsidR="008C6A10">
        <w:rPr>
          <w:bCs/>
          <w:noProof/>
          <w:szCs w:val="20"/>
        </w:rPr>
        <w:t xml:space="preserve"> </w:t>
      </w:r>
      <w:r w:rsidR="001A3DEA">
        <w:rPr>
          <w:bCs/>
          <w:noProof/>
          <w:szCs w:val="20"/>
        </w:rPr>
        <w:t>there would not be significant changes</w:t>
      </w:r>
      <w:r w:rsidR="00D6605B">
        <w:rPr>
          <w:bCs/>
          <w:noProof/>
          <w:szCs w:val="20"/>
        </w:rPr>
        <w:t xml:space="preserve"> because </w:t>
      </w:r>
      <w:r w:rsidR="0011002D">
        <w:rPr>
          <w:bCs/>
          <w:noProof/>
          <w:szCs w:val="20"/>
        </w:rPr>
        <w:t xml:space="preserve">it is assumed that companies would not need to </w:t>
      </w:r>
      <w:r w:rsidR="008B6835">
        <w:rPr>
          <w:bCs/>
          <w:noProof/>
          <w:szCs w:val="20"/>
        </w:rPr>
        <w:t>submit the company information separately and Member States would not need to provide a technical solution</w:t>
      </w:r>
      <w:r w:rsidR="001A3DEA">
        <w:rPr>
          <w:bCs/>
          <w:noProof/>
          <w:szCs w:val="20"/>
        </w:rPr>
        <w:t xml:space="preserve">. </w:t>
      </w:r>
      <w:r w:rsidR="00DE136F">
        <w:rPr>
          <w:bCs/>
          <w:noProof/>
          <w:szCs w:val="20"/>
        </w:rPr>
        <w:t xml:space="preserve">However, in </w:t>
      </w:r>
      <w:r w:rsidR="003C065C">
        <w:rPr>
          <w:bCs/>
          <w:noProof/>
          <w:szCs w:val="20"/>
        </w:rPr>
        <w:t>some Member States</w:t>
      </w:r>
      <w:r w:rsidR="004478BE">
        <w:rPr>
          <w:bCs/>
          <w:noProof/>
          <w:szCs w:val="20"/>
        </w:rPr>
        <w:t xml:space="preserve"> included in</w:t>
      </w:r>
      <w:r w:rsidR="00DE136F">
        <w:rPr>
          <w:bCs/>
          <w:noProof/>
          <w:szCs w:val="20"/>
        </w:rPr>
        <w:t xml:space="preserve"> those </w:t>
      </w:r>
      <w:r w:rsidR="00627E0B">
        <w:rPr>
          <w:bCs/>
          <w:noProof/>
          <w:szCs w:val="20"/>
        </w:rPr>
        <w:t xml:space="preserve">16 </w:t>
      </w:r>
      <w:r w:rsidR="00DE136F">
        <w:rPr>
          <w:bCs/>
          <w:noProof/>
          <w:szCs w:val="20"/>
        </w:rPr>
        <w:t xml:space="preserve">Member States where tax </w:t>
      </w:r>
      <w:r w:rsidR="00C576C1">
        <w:rPr>
          <w:bCs/>
          <w:noProof/>
          <w:szCs w:val="20"/>
        </w:rPr>
        <w:t xml:space="preserve">identification number is </w:t>
      </w:r>
      <w:r w:rsidR="00830807">
        <w:rPr>
          <w:bCs/>
          <w:noProof/>
          <w:szCs w:val="20"/>
        </w:rPr>
        <w:t xml:space="preserve">not </w:t>
      </w:r>
      <w:r w:rsidR="00DC6D32">
        <w:rPr>
          <w:bCs/>
          <w:noProof/>
          <w:szCs w:val="20"/>
        </w:rPr>
        <w:t>based on the business registration number</w:t>
      </w:r>
      <w:r w:rsidR="00A95CC9">
        <w:rPr>
          <w:bCs/>
          <w:noProof/>
          <w:szCs w:val="20"/>
        </w:rPr>
        <w:t xml:space="preserve">, </w:t>
      </w:r>
      <w:r w:rsidR="004478BE">
        <w:rPr>
          <w:bCs/>
          <w:noProof/>
          <w:szCs w:val="20"/>
        </w:rPr>
        <w:t xml:space="preserve">and </w:t>
      </w:r>
      <w:r w:rsidR="00627E0B">
        <w:rPr>
          <w:bCs/>
          <w:noProof/>
          <w:szCs w:val="20"/>
        </w:rPr>
        <w:t xml:space="preserve">in </w:t>
      </w:r>
      <w:r w:rsidR="00607E1B">
        <w:rPr>
          <w:bCs/>
          <w:noProof/>
          <w:szCs w:val="20"/>
        </w:rPr>
        <w:t xml:space="preserve">10 Member States </w:t>
      </w:r>
      <w:r w:rsidR="00C576C1">
        <w:rPr>
          <w:bCs/>
          <w:noProof/>
          <w:szCs w:val="20"/>
        </w:rPr>
        <w:t xml:space="preserve">where </w:t>
      </w:r>
      <w:r w:rsidR="00A95CC9">
        <w:rPr>
          <w:bCs/>
          <w:noProof/>
          <w:szCs w:val="20"/>
        </w:rPr>
        <w:t xml:space="preserve">beneficial ownership register is separate </w:t>
      </w:r>
      <w:r w:rsidR="0079348E">
        <w:rPr>
          <w:bCs/>
          <w:noProof/>
          <w:szCs w:val="20"/>
        </w:rPr>
        <w:t>from the business</w:t>
      </w:r>
      <w:r w:rsidR="00A95CC9">
        <w:rPr>
          <w:bCs/>
          <w:noProof/>
          <w:szCs w:val="20"/>
        </w:rPr>
        <w:t xml:space="preserve"> register</w:t>
      </w:r>
      <w:r w:rsidR="0079348E">
        <w:rPr>
          <w:bCs/>
          <w:noProof/>
          <w:szCs w:val="20"/>
        </w:rPr>
        <w:t>,</w:t>
      </w:r>
      <w:r w:rsidR="00A95CC9">
        <w:rPr>
          <w:bCs/>
          <w:noProof/>
          <w:szCs w:val="20"/>
        </w:rPr>
        <w:t xml:space="preserve"> and in </w:t>
      </w:r>
      <w:r w:rsidR="00130937">
        <w:rPr>
          <w:bCs/>
          <w:noProof/>
          <w:szCs w:val="20"/>
        </w:rPr>
        <w:t xml:space="preserve">14 Member States where </w:t>
      </w:r>
      <w:r w:rsidR="00C85DA8">
        <w:rPr>
          <w:bCs/>
          <w:noProof/>
          <w:szCs w:val="20"/>
        </w:rPr>
        <w:t>the attribution</w:t>
      </w:r>
      <w:r w:rsidR="00A95CC9">
        <w:rPr>
          <w:bCs/>
          <w:noProof/>
          <w:szCs w:val="20"/>
        </w:rPr>
        <w:t xml:space="preserve"> of </w:t>
      </w:r>
      <w:r w:rsidR="00C85DA8">
        <w:rPr>
          <w:bCs/>
          <w:noProof/>
          <w:szCs w:val="20"/>
        </w:rPr>
        <w:t xml:space="preserve">the </w:t>
      </w:r>
      <w:r w:rsidR="00A95CC9">
        <w:rPr>
          <w:bCs/>
          <w:noProof/>
          <w:szCs w:val="20"/>
        </w:rPr>
        <w:t xml:space="preserve">social security </w:t>
      </w:r>
      <w:r w:rsidR="00C85DA8">
        <w:rPr>
          <w:bCs/>
          <w:noProof/>
          <w:szCs w:val="20"/>
        </w:rPr>
        <w:t>number of the company as employer</w:t>
      </w:r>
      <w:r w:rsidR="00A95CC9">
        <w:rPr>
          <w:bCs/>
          <w:noProof/>
          <w:szCs w:val="20"/>
        </w:rPr>
        <w:t xml:space="preserve"> </w:t>
      </w:r>
      <w:r w:rsidR="006F0BCB">
        <w:rPr>
          <w:bCs/>
          <w:noProof/>
          <w:szCs w:val="20"/>
        </w:rPr>
        <w:t xml:space="preserve">by </w:t>
      </w:r>
      <w:r w:rsidR="00A95CC9">
        <w:rPr>
          <w:bCs/>
          <w:noProof/>
          <w:szCs w:val="20"/>
        </w:rPr>
        <w:t>social security authorit</w:t>
      </w:r>
      <w:r w:rsidR="006F0BCB">
        <w:rPr>
          <w:bCs/>
          <w:noProof/>
          <w:szCs w:val="20"/>
        </w:rPr>
        <w:t>ies</w:t>
      </w:r>
      <w:r w:rsidR="002C1652">
        <w:rPr>
          <w:bCs/>
          <w:noProof/>
          <w:szCs w:val="20"/>
        </w:rPr>
        <w:t xml:space="preserve"> is not part of the company registration process</w:t>
      </w:r>
      <w:r w:rsidR="00A95CC9">
        <w:rPr>
          <w:bCs/>
          <w:noProof/>
          <w:szCs w:val="20"/>
        </w:rPr>
        <w:t xml:space="preserve">, </w:t>
      </w:r>
      <w:r w:rsidR="00747D58">
        <w:rPr>
          <w:bCs/>
          <w:noProof/>
          <w:szCs w:val="20"/>
        </w:rPr>
        <w:t xml:space="preserve">companies </w:t>
      </w:r>
      <w:r w:rsidR="001F4FEA">
        <w:rPr>
          <w:bCs/>
          <w:noProof/>
          <w:szCs w:val="20"/>
        </w:rPr>
        <w:t xml:space="preserve">would normally </w:t>
      </w:r>
      <w:r w:rsidR="006A1D51">
        <w:rPr>
          <w:bCs/>
          <w:noProof/>
          <w:szCs w:val="20"/>
        </w:rPr>
        <w:t xml:space="preserve">need to separately </w:t>
      </w:r>
      <w:r w:rsidR="00150C58">
        <w:rPr>
          <w:bCs/>
          <w:noProof/>
          <w:szCs w:val="20"/>
        </w:rPr>
        <w:t>submit the information to</w:t>
      </w:r>
      <w:r w:rsidR="007E3048">
        <w:rPr>
          <w:bCs/>
          <w:noProof/>
          <w:szCs w:val="20"/>
        </w:rPr>
        <w:t xml:space="preserve"> the</w:t>
      </w:r>
      <w:r w:rsidR="00367AD5">
        <w:rPr>
          <w:bCs/>
          <w:noProof/>
          <w:szCs w:val="20"/>
        </w:rPr>
        <w:t>se</w:t>
      </w:r>
      <w:r w:rsidR="007E3048">
        <w:rPr>
          <w:bCs/>
          <w:noProof/>
          <w:szCs w:val="20"/>
        </w:rPr>
        <w:t xml:space="preserve"> other instances</w:t>
      </w:r>
      <w:r w:rsidR="00030059">
        <w:rPr>
          <w:bCs/>
          <w:noProof/>
          <w:szCs w:val="20"/>
        </w:rPr>
        <w:t xml:space="preserve">. In </w:t>
      </w:r>
      <w:r w:rsidR="00331E96">
        <w:rPr>
          <w:bCs/>
          <w:noProof/>
          <w:szCs w:val="20"/>
        </w:rPr>
        <w:t>such cases</w:t>
      </w:r>
      <w:r w:rsidR="00AD4033">
        <w:rPr>
          <w:bCs/>
          <w:noProof/>
          <w:szCs w:val="20"/>
        </w:rPr>
        <w:t xml:space="preserve"> the time to prepare the company information and to submit is </w:t>
      </w:r>
      <w:r w:rsidR="00505556">
        <w:rPr>
          <w:bCs/>
          <w:noProof/>
          <w:szCs w:val="20"/>
        </w:rPr>
        <w:t>estimated to be 2 hours</w:t>
      </w:r>
      <w:r w:rsidR="00564CCF">
        <w:rPr>
          <w:bCs/>
          <w:noProof/>
          <w:szCs w:val="20"/>
        </w:rPr>
        <w:t xml:space="preserve"> </w:t>
      </w:r>
      <w:r w:rsidR="00505556">
        <w:rPr>
          <w:bCs/>
          <w:noProof/>
          <w:szCs w:val="20"/>
        </w:rPr>
        <w:t xml:space="preserve">based on </w:t>
      </w:r>
      <w:r w:rsidR="00564CCF">
        <w:rPr>
          <w:bCs/>
          <w:noProof/>
          <w:szCs w:val="20"/>
        </w:rPr>
        <w:t xml:space="preserve">submissions of </w:t>
      </w:r>
      <w:r w:rsidR="00BD5B6A">
        <w:rPr>
          <w:bCs/>
          <w:noProof/>
          <w:szCs w:val="20"/>
        </w:rPr>
        <w:t xml:space="preserve">specific </w:t>
      </w:r>
      <w:r w:rsidR="00564CCF">
        <w:rPr>
          <w:bCs/>
          <w:noProof/>
          <w:szCs w:val="20"/>
        </w:rPr>
        <w:t xml:space="preserve">company information in the context of </w:t>
      </w:r>
      <w:r w:rsidR="00801BF4">
        <w:rPr>
          <w:bCs/>
          <w:noProof/>
          <w:szCs w:val="20"/>
        </w:rPr>
        <w:t>company procedures</w:t>
      </w:r>
      <w:r w:rsidR="00301A54">
        <w:rPr>
          <w:bCs/>
          <w:noProof/>
          <w:szCs w:val="20"/>
        </w:rPr>
        <w:t>.</w:t>
      </w:r>
      <w:r w:rsidR="006B07CF">
        <w:rPr>
          <w:bCs/>
          <w:noProof/>
          <w:szCs w:val="20"/>
        </w:rPr>
        <w:t xml:space="preserve"> </w:t>
      </w:r>
      <w:r w:rsidR="00AE50FF">
        <w:rPr>
          <w:bCs/>
          <w:noProof/>
          <w:szCs w:val="20"/>
        </w:rPr>
        <w:t xml:space="preserve">In case of </w:t>
      </w:r>
      <w:r w:rsidR="00491666">
        <w:rPr>
          <w:bCs/>
          <w:noProof/>
          <w:szCs w:val="20"/>
        </w:rPr>
        <w:t xml:space="preserve">beneficial </w:t>
      </w:r>
      <w:r w:rsidR="00986F0F">
        <w:rPr>
          <w:bCs/>
          <w:noProof/>
          <w:szCs w:val="20"/>
        </w:rPr>
        <w:t>ownership information, the current average filing fee is</w:t>
      </w:r>
      <w:r w:rsidR="002445A4">
        <w:rPr>
          <w:bCs/>
          <w:noProof/>
          <w:szCs w:val="20"/>
        </w:rPr>
        <w:t xml:space="preserve"> </w:t>
      </w:r>
      <w:r w:rsidR="00830065">
        <w:rPr>
          <w:bCs/>
          <w:noProof/>
          <w:szCs w:val="20"/>
        </w:rPr>
        <w:t>2</w:t>
      </w:r>
      <w:r w:rsidR="00183A81">
        <w:rPr>
          <w:bCs/>
          <w:noProof/>
          <w:szCs w:val="20"/>
        </w:rPr>
        <w:t>1</w:t>
      </w:r>
      <w:r w:rsidR="00830065">
        <w:rPr>
          <w:bCs/>
          <w:noProof/>
          <w:szCs w:val="20"/>
        </w:rPr>
        <w:t xml:space="preserve"> EUR</w:t>
      </w:r>
      <w:r w:rsidR="000006DC">
        <w:rPr>
          <w:rStyle w:val="FootnoteReference"/>
          <w:bCs/>
          <w:noProof/>
          <w:szCs w:val="20"/>
        </w:rPr>
        <w:footnoteReference w:id="11"/>
      </w:r>
      <w:r w:rsidR="00986F0F">
        <w:rPr>
          <w:bCs/>
          <w:noProof/>
          <w:szCs w:val="20"/>
        </w:rPr>
        <w:t xml:space="preserve">. </w:t>
      </w:r>
    </w:p>
    <w:p w14:paraId="77198FCC" w14:textId="6FC0588A" w:rsidR="00EA1ED6" w:rsidRDefault="00FD4D62" w:rsidP="00EA1ED6">
      <w:pPr>
        <w:spacing w:after="0"/>
        <w:jc w:val="both"/>
        <w:rPr>
          <w:bCs/>
          <w:noProof/>
          <w:szCs w:val="20"/>
        </w:rPr>
      </w:pPr>
      <w:r>
        <w:rPr>
          <w:bCs/>
          <w:noProof/>
          <w:szCs w:val="20"/>
        </w:rPr>
        <w:t xml:space="preserve">In these cases, </w:t>
      </w:r>
      <w:r w:rsidR="00EA1ED6">
        <w:rPr>
          <w:bCs/>
          <w:noProof/>
          <w:szCs w:val="20"/>
        </w:rPr>
        <w:t xml:space="preserve">Member States would need to ensure the technical solution for the automatic submission of the company information to those other instances. Given the digitalisation of public authorities, this should not entail extra IT costs or only very marginal ones due to the possibility to exchange data through standard APIs, which is a standard technology and a normal development for achieving the 2030 target of 100% digital </w:t>
      </w:r>
      <w:r w:rsidR="00EA1ED6" w:rsidRPr="00003DE1">
        <w:rPr>
          <w:bCs/>
          <w:noProof/>
          <w:szCs w:val="20"/>
        </w:rPr>
        <w:t>public services for businesses</w:t>
      </w:r>
      <w:r w:rsidR="00EA1ED6" w:rsidRPr="00765CF0">
        <w:rPr>
          <w:noProof/>
        </w:rPr>
        <w:t xml:space="preserve"> </w:t>
      </w:r>
      <w:r w:rsidR="00EA1ED6">
        <w:rPr>
          <w:noProof/>
        </w:rPr>
        <w:t xml:space="preserve">under the </w:t>
      </w:r>
      <w:r w:rsidR="00EA1ED6" w:rsidRPr="00765CF0">
        <w:rPr>
          <w:bCs/>
          <w:noProof/>
          <w:szCs w:val="20"/>
        </w:rPr>
        <w:t>Digital Decade Policy Programme 2030</w:t>
      </w:r>
      <w:r w:rsidR="00EA1ED6">
        <w:rPr>
          <w:bCs/>
          <w:noProof/>
          <w:szCs w:val="20"/>
        </w:rPr>
        <w:t xml:space="preserve"> (that on average in 2025 already stands at 86.2% completion</w:t>
      </w:r>
      <w:r w:rsidR="00EA1ED6">
        <w:rPr>
          <w:rStyle w:val="FootnoteReference"/>
          <w:bCs/>
          <w:noProof/>
          <w:szCs w:val="20"/>
        </w:rPr>
        <w:footnoteReference w:id="12"/>
      </w:r>
      <w:r w:rsidR="00EA1ED6">
        <w:rPr>
          <w:bCs/>
          <w:noProof/>
          <w:szCs w:val="20"/>
        </w:rPr>
        <w:t xml:space="preserve">). </w:t>
      </w:r>
    </w:p>
    <w:p w14:paraId="34D83C69" w14:textId="77777777" w:rsidR="00EA1ED6" w:rsidRPr="00125520" w:rsidRDefault="00EA1ED6" w:rsidP="00775AE5">
      <w:pPr>
        <w:spacing w:before="0" w:after="0"/>
        <w:jc w:val="both"/>
        <w:rPr>
          <w:noProof/>
          <w:szCs w:val="20"/>
        </w:rPr>
      </w:pPr>
    </w:p>
    <w:p w14:paraId="16218DBA" w14:textId="1283FCED" w:rsidR="00B66741" w:rsidRDefault="004B07E4" w:rsidP="0047481B">
      <w:pPr>
        <w:tabs>
          <w:tab w:val="left" w:pos="170"/>
        </w:tabs>
        <w:spacing w:after="0"/>
        <w:jc w:val="both"/>
        <w:rPr>
          <w:b/>
          <w:noProof/>
          <w:lang w:val="en-US"/>
        </w:rPr>
      </w:pPr>
      <w:r w:rsidRPr="62F2F9FF">
        <w:rPr>
          <w:b/>
          <w:noProof/>
        </w:rPr>
        <w:t>Policy Option 3b:</w:t>
      </w:r>
      <w:r>
        <w:rPr>
          <w:noProof/>
          <w:szCs w:val="20"/>
        </w:rPr>
        <w:t xml:space="preserve"> </w:t>
      </w:r>
      <w:r w:rsidR="008D34CD" w:rsidRPr="62F2F9FF">
        <w:rPr>
          <w:b/>
          <w:noProof/>
          <w:lang w:val="en-US"/>
        </w:rPr>
        <w:t xml:space="preserve">Option 3a + </w:t>
      </w:r>
      <w:r w:rsidR="00B66741" w:rsidRPr="62F2F9FF">
        <w:rPr>
          <w:b/>
          <w:noProof/>
          <w:lang w:val="en-US"/>
        </w:rPr>
        <w:t>the 28</w:t>
      </w:r>
      <w:r w:rsidR="00B66741" w:rsidRPr="007F5222">
        <w:rPr>
          <w:b/>
          <w:noProof/>
          <w:vertAlign w:val="superscript"/>
          <w:lang w:val="en-US"/>
        </w:rPr>
        <w:t>th</w:t>
      </w:r>
      <w:r w:rsidR="00B66741" w:rsidRPr="62F2F9FF">
        <w:rPr>
          <w:b/>
          <w:noProof/>
          <w:lang w:val="en-US"/>
        </w:rPr>
        <w:t xml:space="preserve"> regime company would obtain the TIN from the </w:t>
      </w:r>
      <w:r w:rsidR="00C57D16" w:rsidRPr="62F2F9FF">
        <w:rPr>
          <w:b/>
          <w:noProof/>
          <w:lang w:val="en-US"/>
        </w:rPr>
        <w:t xml:space="preserve">relevant </w:t>
      </w:r>
      <w:r w:rsidR="00B66741" w:rsidRPr="62F2F9FF">
        <w:rPr>
          <w:b/>
          <w:noProof/>
          <w:lang w:val="en-US"/>
        </w:rPr>
        <w:t>authority</w:t>
      </w:r>
      <w:r w:rsidR="00EA4A47" w:rsidRPr="62F2F9FF">
        <w:rPr>
          <w:rStyle w:val="FootnoteReference"/>
          <w:noProof/>
        </w:rPr>
        <w:footnoteReference w:id="13"/>
      </w:r>
      <w:r w:rsidR="00B66741" w:rsidRPr="62F2F9FF">
        <w:rPr>
          <w:b/>
          <w:noProof/>
          <w:lang w:val="en-US"/>
        </w:rPr>
        <w:t xml:space="preserve"> as part of the registration process</w:t>
      </w:r>
      <w:r w:rsidR="00623F8C" w:rsidRPr="62F2F9FF">
        <w:rPr>
          <w:b/>
          <w:noProof/>
          <w:lang w:val="en-US"/>
        </w:rPr>
        <w:t>, with</w:t>
      </w:r>
      <w:r w:rsidR="00B66741" w:rsidRPr="62F2F9FF">
        <w:rPr>
          <w:b/>
          <w:noProof/>
          <w:lang w:val="en-US"/>
        </w:rPr>
        <w:t xml:space="preserve"> </w:t>
      </w:r>
      <w:r w:rsidR="00623F8C" w:rsidRPr="62F2F9FF">
        <w:rPr>
          <w:b/>
          <w:noProof/>
          <w:lang w:val="en-US"/>
        </w:rPr>
        <w:t>a</w:t>
      </w:r>
      <w:r w:rsidR="00B66741" w:rsidRPr="62F2F9FF">
        <w:rPr>
          <w:b/>
          <w:noProof/>
          <w:lang w:val="en-US"/>
        </w:rPr>
        <w:t xml:space="preserve">ny additional information needed </w:t>
      </w:r>
      <w:r w:rsidR="00623F8C" w:rsidRPr="62F2F9FF">
        <w:rPr>
          <w:b/>
          <w:noProof/>
          <w:lang w:val="en-US"/>
        </w:rPr>
        <w:t>to</w:t>
      </w:r>
      <w:r w:rsidR="00B66741" w:rsidRPr="62F2F9FF">
        <w:rPr>
          <w:b/>
          <w:noProof/>
          <w:lang w:val="en-US"/>
        </w:rPr>
        <w:t xml:space="preserve"> obtain TIN</w:t>
      </w:r>
      <w:r w:rsidR="00307B33" w:rsidRPr="62F2F9FF">
        <w:rPr>
          <w:b/>
          <w:noProof/>
          <w:lang w:val="en-US"/>
        </w:rPr>
        <w:t xml:space="preserve"> </w:t>
      </w:r>
      <w:r w:rsidR="00623F8C" w:rsidRPr="62F2F9FF">
        <w:rPr>
          <w:b/>
          <w:noProof/>
          <w:lang w:val="en-US"/>
        </w:rPr>
        <w:t xml:space="preserve">as </w:t>
      </w:r>
      <w:r w:rsidR="00B66741" w:rsidRPr="62F2F9FF">
        <w:rPr>
          <w:b/>
          <w:noProof/>
          <w:lang w:val="en-US"/>
        </w:rPr>
        <w:t xml:space="preserve">part of the template. </w:t>
      </w:r>
    </w:p>
    <w:p w14:paraId="797E1737" w14:textId="6A0D8C22" w:rsidR="00D850FA" w:rsidRPr="00906D93" w:rsidRDefault="00801BF4" w:rsidP="0047481B">
      <w:pPr>
        <w:tabs>
          <w:tab w:val="left" w:pos="170"/>
        </w:tabs>
        <w:spacing w:after="0"/>
        <w:jc w:val="both"/>
        <w:rPr>
          <w:noProof/>
        </w:rPr>
      </w:pPr>
      <w:r>
        <w:rPr>
          <w:noProof/>
          <w:lang w:val="en-US"/>
        </w:rPr>
        <w:t>I</w:t>
      </w:r>
      <w:r w:rsidR="00D850FA" w:rsidRPr="7CA4FB01">
        <w:rPr>
          <w:noProof/>
        </w:rPr>
        <w:t>n</w:t>
      </w:r>
      <w:r w:rsidR="00F413CD">
        <w:rPr>
          <w:noProof/>
        </w:rPr>
        <w:t xml:space="preserve"> addition to option 3a, in</w:t>
      </w:r>
      <w:r w:rsidR="00D850FA" w:rsidRPr="7CA4FB01">
        <w:rPr>
          <w:noProof/>
        </w:rPr>
        <w:t xml:space="preserve"> this option the company would obtain the TIN </w:t>
      </w:r>
      <w:r w:rsidR="00B270AF" w:rsidRPr="7CA4FB01">
        <w:rPr>
          <w:noProof/>
        </w:rPr>
        <w:t>as part of the registration process</w:t>
      </w:r>
      <w:r w:rsidR="00E02A59">
        <w:rPr>
          <w:noProof/>
        </w:rPr>
        <w:t xml:space="preserve"> and any additional infor</w:t>
      </w:r>
      <w:r w:rsidR="009C0D79">
        <w:rPr>
          <w:noProof/>
        </w:rPr>
        <w:t>mation needed for TIN would be part of the template</w:t>
      </w:r>
      <w:r w:rsidR="00B270AF" w:rsidRPr="7CA4FB01">
        <w:rPr>
          <w:noProof/>
        </w:rPr>
        <w:t xml:space="preserve">. As under option 3a, in </w:t>
      </w:r>
      <w:r w:rsidR="008F0B25">
        <w:rPr>
          <w:noProof/>
        </w:rPr>
        <w:t>many Member States where the TIN</w:t>
      </w:r>
      <w:r w:rsidR="00EF3288">
        <w:rPr>
          <w:noProof/>
        </w:rPr>
        <w:t xml:space="preserve"> is obtained as part of the company registration process</w:t>
      </w:r>
      <w:r w:rsidR="007C5949">
        <w:rPr>
          <w:noProof/>
        </w:rPr>
        <w:t>, especially</w:t>
      </w:r>
      <w:r w:rsidR="00EF3288">
        <w:rPr>
          <w:noProof/>
        </w:rPr>
        <w:t xml:space="preserve"> </w:t>
      </w:r>
      <w:r w:rsidR="0082182B">
        <w:rPr>
          <w:noProof/>
        </w:rPr>
        <w:t>in</w:t>
      </w:r>
      <w:r w:rsidR="00B270AF" w:rsidRPr="7CA4FB01">
        <w:rPr>
          <w:noProof/>
        </w:rPr>
        <w:t xml:space="preserve"> those </w:t>
      </w:r>
      <w:r w:rsidR="00301A54">
        <w:rPr>
          <w:noProof/>
        </w:rPr>
        <w:t xml:space="preserve">11 </w:t>
      </w:r>
      <w:r w:rsidR="00031E39" w:rsidRPr="7CA4FB01">
        <w:rPr>
          <w:noProof/>
        </w:rPr>
        <w:t xml:space="preserve">Member States where the TIN is </w:t>
      </w:r>
      <w:r w:rsidR="0044420C">
        <w:rPr>
          <w:noProof/>
        </w:rPr>
        <w:t xml:space="preserve">based on, or technically related to, </w:t>
      </w:r>
      <w:r w:rsidR="00031E39" w:rsidRPr="7CA4FB01">
        <w:rPr>
          <w:noProof/>
        </w:rPr>
        <w:t xml:space="preserve">the business registration number, no </w:t>
      </w:r>
      <w:r w:rsidR="00983E46" w:rsidRPr="7CA4FB01">
        <w:rPr>
          <w:noProof/>
        </w:rPr>
        <w:t xml:space="preserve">changes would occur. </w:t>
      </w:r>
      <w:r w:rsidR="009C0D79">
        <w:rPr>
          <w:noProof/>
        </w:rPr>
        <w:t>However, i</w:t>
      </w:r>
      <w:r w:rsidR="00983E46" w:rsidRPr="7CA4FB01">
        <w:rPr>
          <w:noProof/>
        </w:rPr>
        <w:t xml:space="preserve">n </w:t>
      </w:r>
      <w:r w:rsidR="00EF6AD7">
        <w:rPr>
          <w:noProof/>
        </w:rPr>
        <w:t xml:space="preserve">some </w:t>
      </w:r>
      <w:r w:rsidR="0015248C">
        <w:rPr>
          <w:noProof/>
        </w:rPr>
        <w:t xml:space="preserve">other </w:t>
      </w:r>
      <w:r w:rsidR="00EF6AD7">
        <w:rPr>
          <w:noProof/>
        </w:rPr>
        <w:t>Member States,</w:t>
      </w:r>
      <w:r w:rsidR="00983E46" w:rsidRPr="7CA4FB01">
        <w:rPr>
          <w:noProof/>
        </w:rPr>
        <w:t xml:space="preserve"> </w:t>
      </w:r>
      <w:r w:rsidR="00CC68B8">
        <w:rPr>
          <w:noProof/>
        </w:rPr>
        <w:t>a</w:t>
      </w:r>
      <w:r w:rsidR="00983E46" w:rsidRPr="7CA4FB01">
        <w:rPr>
          <w:noProof/>
        </w:rPr>
        <w:t xml:space="preserve"> </w:t>
      </w:r>
      <w:r w:rsidR="008B7FBF" w:rsidRPr="7CA4FB01">
        <w:rPr>
          <w:noProof/>
        </w:rPr>
        <w:t xml:space="preserve">company </w:t>
      </w:r>
      <w:r w:rsidR="00983E46" w:rsidRPr="7CA4FB01">
        <w:rPr>
          <w:noProof/>
        </w:rPr>
        <w:t xml:space="preserve">would </w:t>
      </w:r>
      <w:r w:rsidR="0069703D" w:rsidRPr="7CA4FB01">
        <w:rPr>
          <w:noProof/>
        </w:rPr>
        <w:t>possibl</w:t>
      </w:r>
      <w:r w:rsidR="00F413CD">
        <w:rPr>
          <w:noProof/>
        </w:rPr>
        <w:t>y need to submit</w:t>
      </w:r>
      <w:r w:rsidR="0069703D" w:rsidRPr="7CA4FB01">
        <w:rPr>
          <w:noProof/>
        </w:rPr>
        <w:t xml:space="preserve"> additional information </w:t>
      </w:r>
      <w:r w:rsidR="00037172">
        <w:rPr>
          <w:noProof/>
        </w:rPr>
        <w:t xml:space="preserve">to what is already covered under policy option 3a </w:t>
      </w:r>
      <w:r w:rsidR="00770C7D" w:rsidRPr="7CA4FB01">
        <w:rPr>
          <w:noProof/>
        </w:rPr>
        <w:t xml:space="preserve">for the </w:t>
      </w:r>
      <w:r w:rsidR="00F413CD">
        <w:rPr>
          <w:noProof/>
        </w:rPr>
        <w:t xml:space="preserve">purposes of obtaining </w:t>
      </w:r>
      <w:r w:rsidR="00770C7D" w:rsidRPr="7CA4FB01">
        <w:rPr>
          <w:noProof/>
        </w:rPr>
        <w:t>TIN</w:t>
      </w:r>
      <w:r w:rsidR="0069703D" w:rsidRPr="7CA4FB01">
        <w:rPr>
          <w:noProof/>
        </w:rPr>
        <w:t xml:space="preserve">. </w:t>
      </w:r>
      <w:r w:rsidR="00F413CD">
        <w:rPr>
          <w:noProof/>
        </w:rPr>
        <w:t xml:space="preserve">However, </w:t>
      </w:r>
      <w:r w:rsidR="00845346">
        <w:rPr>
          <w:noProof/>
        </w:rPr>
        <w:t xml:space="preserve">it is estimated that such additional information would be limited and therefore </w:t>
      </w:r>
      <w:r w:rsidR="006068E6">
        <w:rPr>
          <w:noProof/>
        </w:rPr>
        <w:t xml:space="preserve">this Impact Assessment takes a conservative approach and does not calculate any time spent on such submissions. As to the </w:t>
      </w:r>
      <w:r w:rsidR="00EC75B5">
        <w:rPr>
          <w:noProof/>
        </w:rPr>
        <w:t>waiting time</w:t>
      </w:r>
      <w:r w:rsidR="007E181C">
        <w:rPr>
          <w:noProof/>
        </w:rPr>
        <w:t xml:space="preserve"> for</w:t>
      </w:r>
      <w:r w:rsidR="00EC75B5">
        <w:rPr>
          <w:noProof/>
        </w:rPr>
        <w:t xml:space="preserve"> receiving the TIN</w:t>
      </w:r>
      <w:r w:rsidR="007E181C">
        <w:rPr>
          <w:noProof/>
        </w:rPr>
        <w:t>,</w:t>
      </w:r>
      <w:r w:rsidR="00EC75B5">
        <w:rPr>
          <w:noProof/>
        </w:rPr>
        <w:t xml:space="preserve"> based on </w:t>
      </w:r>
      <w:r w:rsidR="007652D6">
        <w:rPr>
          <w:noProof/>
        </w:rPr>
        <w:t>public</w:t>
      </w:r>
      <w:r w:rsidR="00EC75B5">
        <w:rPr>
          <w:noProof/>
        </w:rPr>
        <w:t xml:space="preserve"> consultation and workshops, </w:t>
      </w:r>
      <w:r w:rsidR="007652D6">
        <w:rPr>
          <w:noProof/>
        </w:rPr>
        <w:t xml:space="preserve">it is estimated that </w:t>
      </w:r>
      <w:r w:rsidR="1FD368BD">
        <w:rPr>
          <w:noProof/>
        </w:rPr>
        <w:t>o</w:t>
      </w:r>
      <w:r w:rsidR="007652D6">
        <w:rPr>
          <w:noProof/>
        </w:rPr>
        <w:t xml:space="preserve">n average it takes one week to obtain the TIN. </w:t>
      </w:r>
    </w:p>
    <w:p w14:paraId="4111F200" w14:textId="55E014B8" w:rsidR="008D34CD" w:rsidRPr="008D34CD" w:rsidRDefault="008D34CD" w:rsidP="0047481B">
      <w:pPr>
        <w:spacing w:after="0"/>
        <w:jc w:val="both"/>
        <w:rPr>
          <w:b/>
          <w:noProof/>
          <w:szCs w:val="20"/>
          <w:lang w:val="en-US"/>
        </w:rPr>
      </w:pPr>
      <w:r w:rsidRPr="003B14BB">
        <w:rPr>
          <w:b/>
          <w:noProof/>
          <w:szCs w:val="20"/>
        </w:rPr>
        <w:t>Policy Option 3</w:t>
      </w:r>
      <w:r>
        <w:rPr>
          <w:b/>
          <w:noProof/>
          <w:szCs w:val="20"/>
        </w:rPr>
        <w:t>c:</w:t>
      </w:r>
      <w:r w:rsidRPr="008D34CD">
        <w:rPr>
          <w:b/>
          <w:noProof/>
          <w:szCs w:val="20"/>
          <w:lang w:val="en-US"/>
        </w:rPr>
        <w:t xml:space="preserve"> Option 3b + </w:t>
      </w:r>
      <w:r w:rsidR="0078642C" w:rsidRPr="0078642C">
        <w:rPr>
          <w:b/>
          <w:noProof/>
          <w:szCs w:val="20"/>
        </w:rPr>
        <w:t>the 28</w:t>
      </w:r>
      <w:r w:rsidR="0078642C" w:rsidRPr="0078642C">
        <w:rPr>
          <w:b/>
          <w:noProof/>
          <w:szCs w:val="20"/>
          <w:vertAlign w:val="superscript"/>
        </w:rPr>
        <w:t>th</w:t>
      </w:r>
      <w:r w:rsidR="0078642C" w:rsidRPr="0078642C">
        <w:rPr>
          <w:b/>
          <w:noProof/>
          <w:szCs w:val="20"/>
        </w:rPr>
        <w:t xml:space="preserve"> regime company would obtain the VAT identification number from the </w:t>
      </w:r>
      <w:r w:rsidR="009E38E2">
        <w:rPr>
          <w:b/>
          <w:noProof/>
          <w:szCs w:val="20"/>
        </w:rPr>
        <w:t xml:space="preserve">relevant </w:t>
      </w:r>
      <w:r w:rsidR="0078642C" w:rsidRPr="0078642C">
        <w:rPr>
          <w:b/>
          <w:noProof/>
          <w:szCs w:val="20"/>
        </w:rPr>
        <w:t>authority as part of the registration process</w:t>
      </w:r>
      <w:r w:rsidR="00C72D5C">
        <w:rPr>
          <w:b/>
          <w:noProof/>
          <w:szCs w:val="20"/>
        </w:rPr>
        <w:t xml:space="preserve"> (unless </w:t>
      </w:r>
      <w:r w:rsidR="004A2CBA">
        <w:rPr>
          <w:b/>
          <w:noProof/>
          <w:szCs w:val="20"/>
        </w:rPr>
        <w:t xml:space="preserve">the </w:t>
      </w:r>
      <w:r w:rsidR="004F42BC">
        <w:rPr>
          <w:b/>
          <w:noProof/>
          <w:szCs w:val="20"/>
        </w:rPr>
        <w:t xml:space="preserve">tax </w:t>
      </w:r>
      <w:r w:rsidR="004A2CBA">
        <w:rPr>
          <w:b/>
          <w:noProof/>
          <w:szCs w:val="20"/>
        </w:rPr>
        <w:t>authority</w:t>
      </w:r>
      <w:r w:rsidR="004F42BC">
        <w:rPr>
          <w:b/>
          <w:noProof/>
          <w:szCs w:val="20"/>
        </w:rPr>
        <w:t xml:space="preserve"> needs </w:t>
      </w:r>
      <w:r w:rsidR="005C7472">
        <w:rPr>
          <w:b/>
          <w:noProof/>
          <w:szCs w:val="20"/>
        </w:rPr>
        <w:t xml:space="preserve">additional </w:t>
      </w:r>
      <w:r w:rsidR="00C75842">
        <w:rPr>
          <w:b/>
          <w:noProof/>
          <w:szCs w:val="20"/>
        </w:rPr>
        <w:t xml:space="preserve">case specific </w:t>
      </w:r>
      <w:r w:rsidR="00C72D5C">
        <w:rPr>
          <w:b/>
          <w:noProof/>
          <w:szCs w:val="20"/>
        </w:rPr>
        <w:t>information)</w:t>
      </w:r>
      <w:r w:rsidR="0078642C" w:rsidRPr="0078642C">
        <w:rPr>
          <w:b/>
          <w:noProof/>
          <w:szCs w:val="20"/>
        </w:rPr>
        <w:t>.</w:t>
      </w:r>
    </w:p>
    <w:p w14:paraId="7A19E14E" w14:textId="44B531FC" w:rsidR="006C0E42" w:rsidRPr="00906D93" w:rsidRDefault="0069703D" w:rsidP="006C0E42">
      <w:pPr>
        <w:tabs>
          <w:tab w:val="left" w:pos="170"/>
        </w:tabs>
        <w:spacing w:after="0"/>
        <w:jc w:val="both"/>
        <w:rPr>
          <w:noProof/>
        </w:rPr>
      </w:pPr>
      <w:r w:rsidRPr="62F2F9FF">
        <w:rPr>
          <w:noProof/>
          <w:lang w:val="en-US"/>
        </w:rPr>
        <w:t xml:space="preserve">In addition to option 3b, in this option the company would </w:t>
      </w:r>
      <w:r w:rsidR="00AF284B" w:rsidRPr="62F2F9FF">
        <w:rPr>
          <w:noProof/>
          <w:lang w:val="en-US"/>
        </w:rPr>
        <w:t xml:space="preserve">also </w:t>
      </w:r>
      <w:r w:rsidRPr="62F2F9FF">
        <w:rPr>
          <w:noProof/>
          <w:lang w:val="en-US"/>
        </w:rPr>
        <w:t>obtain the VAT</w:t>
      </w:r>
      <w:r w:rsidR="00D84683" w:rsidRPr="62F2F9FF">
        <w:rPr>
          <w:noProof/>
          <w:lang w:val="en-US"/>
        </w:rPr>
        <w:t xml:space="preserve"> </w:t>
      </w:r>
      <w:r w:rsidR="00E64FA9">
        <w:rPr>
          <w:noProof/>
          <w:lang w:val="en-US"/>
        </w:rPr>
        <w:t>identification number</w:t>
      </w:r>
      <w:r w:rsidR="00D84683" w:rsidRPr="62F2F9FF">
        <w:rPr>
          <w:noProof/>
          <w:lang w:val="en-US"/>
        </w:rPr>
        <w:t xml:space="preserve"> </w:t>
      </w:r>
      <w:r w:rsidRPr="62F2F9FF">
        <w:rPr>
          <w:noProof/>
          <w:lang w:val="en-US"/>
        </w:rPr>
        <w:t xml:space="preserve">as part of the registration process. In those Member States where the VAT is the same </w:t>
      </w:r>
      <w:r w:rsidR="00483C60" w:rsidRPr="62F2F9FF">
        <w:rPr>
          <w:noProof/>
          <w:lang w:val="en-US"/>
        </w:rPr>
        <w:t xml:space="preserve">number as the </w:t>
      </w:r>
      <w:r w:rsidRPr="62F2F9FF">
        <w:rPr>
          <w:noProof/>
          <w:lang w:val="en-US"/>
        </w:rPr>
        <w:t>TIN</w:t>
      </w:r>
      <w:r w:rsidR="00420021" w:rsidRPr="62F2F9FF">
        <w:rPr>
          <w:noProof/>
          <w:lang w:val="en-US"/>
        </w:rPr>
        <w:t xml:space="preserve"> and/or the company registration number</w:t>
      </w:r>
      <w:r w:rsidRPr="62F2F9FF">
        <w:rPr>
          <w:noProof/>
          <w:lang w:val="en-US"/>
        </w:rPr>
        <w:t>,</w:t>
      </w:r>
      <w:r w:rsidR="00483C60" w:rsidRPr="62F2F9FF">
        <w:rPr>
          <w:noProof/>
          <w:lang w:val="en-US"/>
        </w:rPr>
        <w:t xml:space="preserve"> or technically related</w:t>
      </w:r>
      <w:r w:rsidR="00420021" w:rsidRPr="62F2F9FF">
        <w:rPr>
          <w:noProof/>
          <w:lang w:val="en-US"/>
        </w:rPr>
        <w:t xml:space="preserve"> to at least either of them</w:t>
      </w:r>
      <w:r w:rsidRPr="62F2F9FF">
        <w:rPr>
          <w:noProof/>
          <w:lang w:val="en-US"/>
        </w:rPr>
        <w:t xml:space="preserve">, </w:t>
      </w:r>
      <w:r w:rsidR="0062741A" w:rsidRPr="62F2F9FF">
        <w:rPr>
          <w:noProof/>
          <w:lang w:val="en-US"/>
        </w:rPr>
        <w:t>or are at least obtained as part of the same procedure,</w:t>
      </w:r>
      <w:r w:rsidRPr="62F2F9FF">
        <w:rPr>
          <w:noProof/>
          <w:lang w:val="en-US"/>
        </w:rPr>
        <w:t xml:space="preserve"> no changes would occur. However</w:t>
      </w:r>
      <w:r w:rsidR="00283878" w:rsidRPr="62F2F9FF">
        <w:rPr>
          <w:noProof/>
          <w:lang w:val="en-US"/>
        </w:rPr>
        <w:t xml:space="preserve"> in Member States </w:t>
      </w:r>
      <w:r w:rsidR="00FC38B1" w:rsidRPr="62F2F9FF">
        <w:rPr>
          <w:noProof/>
          <w:lang w:val="en-US"/>
        </w:rPr>
        <w:t xml:space="preserve">where </w:t>
      </w:r>
      <w:r w:rsidR="00FC38B1">
        <w:rPr>
          <w:noProof/>
        </w:rPr>
        <w:t>there is no automatic allocation of the VAT identification number</w:t>
      </w:r>
      <w:r w:rsidRPr="62F2F9FF">
        <w:rPr>
          <w:noProof/>
          <w:lang w:val="en-US"/>
        </w:rPr>
        <w:t xml:space="preserve">, </w:t>
      </w:r>
      <w:r w:rsidR="00283878" w:rsidRPr="62F2F9FF">
        <w:rPr>
          <w:noProof/>
          <w:lang w:val="en-US"/>
        </w:rPr>
        <w:t>and</w:t>
      </w:r>
      <w:r w:rsidRPr="62F2F9FF">
        <w:rPr>
          <w:noProof/>
          <w:lang w:val="en-US"/>
        </w:rPr>
        <w:t xml:space="preserve"> </w:t>
      </w:r>
      <w:r w:rsidR="002065BD" w:rsidRPr="62F2F9FF">
        <w:rPr>
          <w:noProof/>
          <w:lang w:val="en-US"/>
        </w:rPr>
        <w:t>especially</w:t>
      </w:r>
      <w:r w:rsidR="00615AB8" w:rsidRPr="62F2F9FF">
        <w:rPr>
          <w:noProof/>
          <w:lang w:val="en-US"/>
        </w:rPr>
        <w:t xml:space="preserve"> in</w:t>
      </w:r>
      <w:r w:rsidRPr="62F2F9FF">
        <w:rPr>
          <w:noProof/>
          <w:lang w:val="en-US"/>
        </w:rPr>
        <w:t xml:space="preserve"> </w:t>
      </w:r>
      <w:r w:rsidR="00345895" w:rsidRPr="62F2F9FF">
        <w:rPr>
          <w:noProof/>
          <w:lang w:val="en-US"/>
        </w:rPr>
        <w:t>9</w:t>
      </w:r>
      <w:r w:rsidRPr="62F2F9FF">
        <w:rPr>
          <w:noProof/>
          <w:lang w:val="en-US"/>
        </w:rPr>
        <w:t xml:space="preserve"> Member States </w:t>
      </w:r>
      <w:r w:rsidR="00E30DFE" w:rsidRPr="62F2F9FF">
        <w:rPr>
          <w:noProof/>
          <w:lang w:val="en-US"/>
        </w:rPr>
        <w:t xml:space="preserve">where the VAT </w:t>
      </w:r>
      <w:r w:rsidR="00DF42BF">
        <w:rPr>
          <w:noProof/>
          <w:lang w:val="en-US"/>
        </w:rPr>
        <w:t xml:space="preserve">identification </w:t>
      </w:r>
      <w:r w:rsidR="00E30DFE" w:rsidRPr="62F2F9FF">
        <w:rPr>
          <w:noProof/>
          <w:lang w:val="en-US"/>
        </w:rPr>
        <w:t xml:space="preserve">number is not technically related to either the company registration number or the TIN, </w:t>
      </w:r>
      <w:r w:rsidRPr="62F2F9FF">
        <w:rPr>
          <w:noProof/>
          <w:lang w:val="en-US"/>
        </w:rPr>
        <w:t xml:space="preserve">the company </w:t>
      </w:r>
      <w:r w:rsidR="00380668" w:rsidRPr="62F2F9FF">
        <w:rPr>
          <w:noProof/>
          <w:lang w:val="en-US"/>
        </w:rPr>
        <w:t xml:space="preserve">may </w:t>
      </w:r>
      <w:r w:rsidR="00F869C4" w:rsidRPr="62F2F9FF">
        <w:rPr>
          <w:noProof/>
          <w:lang w:val="en-US"/>
        </w:rPr>
        <w:t>need to submit</w:t>
      </w:r>
      <w:r w:rsidRPr="62F2F9FF">
        <w:rPr>
          <w:noProof/>
          <w:lang w:val="en-US"/>
        </w:rPr>
        <w:t xml:space="preserve"> additional information</w:t>
      </w:r>
      <w:r w:rsidR="006C0E42" w:rsidRPr="62F2F9FF">
        <w:rPr>
          <w:noProof/>
          <w:lang w:val="en-US"/>
        </w:rPr>
        <w:t xml:space="preserve"> </w:t>
      </w:r>
      <w:r w:rsidR="001251FE" w:rsidRPr="62F2F9FF">
        <w:rPr>
          <w:noProof/>
          <w:lang w:val="en-US"/>
        </w:rPr>
        <w:t xml:space="preserve">to </w:t>
      </w:r>
      <w:r w:rsidR="006C0E42" w:rsidRPr="62F2F9FF">
        <w:rPr>
          <w:noProof/>
          <w:lang w:val="en-US"/>
        </w:rPr>
        <w:t xml:space="preserve">the </w:t>
      </w:r>
      <w:r w:rsidR="00CD6A60" w:rsidRPr="62F2F9FF">
        <w:rPr>
          <w:noProof/>
          <w:lang w:val="en-US"/>
        </w:rPr>
        <w:t>t</w:t>
      </w:r>
      <w:r w:rsidR="001E5236" w:rsidRPr="62F2F9FF">
        <w:rPr>
          <w:noProof/>
          <w:lang w:val="en-US"/>
        </w:rPr>
        <w:t>ax</w:t>
      </w:r>
      <w:r w:rsidR="00CD6A60" w:rsidRPr="62F2F9FF">
        <w:rPr>
          <w:noProof/>
          <w:lang w:val="en-US"/>
        </w:rPr>
        <w:t xml:space="preserve"> authority in addition to </w:t>
      </w:r>
      <w:r w:rsidR="006C0E42" w:rsidRPr="62F2F9FF">
        <w:rPr>
          <w:noProof/>
          <w:lang w:val="en-US"/>
        </w:rPr>
        <w:t xml:space="preserve">the company information </w:t>
      </w:r>
      <w:r w:rsidR="00CD6A60" w:rsidRPr="62F2F9FF">
        <w:rPr>
          <w:noProof/>
          <w:lang w:val="en-US"/>
        </w:rPr>
        <w:t xml:space="preserve">that the company </w:t>
      </w:r>
      <w:r w:rsidR="004B3111" w:rsidRPr="62F2F9FF">
        <w:rPr>
          <w:noProof/>
          <w:lang w:val="en-US"/>
        </w:rPr>
        <w:t xml:space="preserve">already </w:t>
      </w:r>
      <w:r w:rsidR="00CD6A60" w:rsidRPr="62F2F9FF">
        <w:rPr>
          <w:noProof/>
          <w:lang w:val="en-US"/>
        </w:rPr>
        <w:t xml:space="preserve">filed </w:t>
      </w:r>
      <w:r w:rsidR="001251FE" w:rsidRPr="62F2F9FF">
        <w:rPr>
          <w:noProof/>
          <w:lang w:val="en-US"/>
        </w:rPr>
        <w:t>in the business register</w:t>
      </w:r>
      <w:r w:rsidR="00A43976" w:rsidRPr="62F2F9FF">
        <w:rPr>
          <w:noProof/>
          <w:lang w:val="en-US"/>
        </w:rPr>
        <w:t>, and covered under option 3a</w:t>
      </w:r>
      <w:r w:rsidRPr="62F2F9FF">
        <w:rPr>
          <w:noProof/>
          <w:lang w:val="en-US"/>
        </w:rPr>
        <w:t xml:space="preserve">. </w:t>
      </w:r>
      <w:r w:rsidR="006C0E42" w:rsidRPr="62F2F9FF">
        <w:rPr>
          <w:noProof/>
          <w:lang w:val="en-US"/>
        </w:rPr>
        <w:t xml:space="preserve">It is estimated that it takes 2 hours to prepare and submit such </w:t>
      </w:r>
      <w:r w:rsidR="001251FE" w:rsidRPr="62F2F9FF">
        <w:rPr>
          <w:noProof/>
          <w:lang w:val="en-US"/>
        </w:rPr>
        <w:t xml:space="preserve">additional </w:t>
      </w:r>
      <w:r w:rsidR="006C0E42" w:rsidRPr="62F2F9FF">
        <w:rPr>
          <w:noProof/>
          <w:lang w:val="en-US"/>
        </w:rPr>
        <w:t>information</w:t>
      </w:r>
      <w:r w:rsidR="001251FE" w:rsidRPr="62F2F9FF">
        <w:rPr>
          <w:noProof/>
          <w:lang w:val="en-US"/>
        </w:rPr>
        <w:t xml:space="preserve"> which is not in the business register and </w:t>
      </w:r>
      <w:r w:rsidR="002E43AC" w:rsidRPr="62F2F9FF">
        <w:rPr>
          <w:noProof/>
          <w:lang w:val="en-US"/>
        </w:rPr>
        <w:t>n</w:t>
      </w:r>
      <w:r w:rsidR="001251FE" w:rsidRPr="62F2F9FF">
        <w:rPr>
          <w:noProof/>
          <w:lang w:val="en-US"/>
        </w:rPr>
        <w:t>ot included in the template</w:t>
      </w:r>
      <w:r w:rsidR="006C0E42" w:rsidRPr="62F2F9FF">
        <w:rPr>
          <w:noProof/>
          <w:lang w:val="en-US"/>
        </w:rPr>
        <w:t xml:space="preserve">. </w:t>
      </w:r>
      <w:r w:rsidR="006C0E42" w:rsidRPr="00004E11">
        <w:rPr>
          <w:noProof/>
        </w:rPr>
        <w:t xml:space="preserve">As to the waiting time receiving the TIN based on public consultation and workshops, it is estimated that </w:t>
      </w:r>
      <w:r w:rsidR="501CD193" w:rsidRPr="62F2F9FF">
        <w:rPr>
          <w:noProof/>
          <w:lang w:val="en-US"/>
        </w:rPr>
        <w:t>o</w:t>
      </w:r>
      <w:r w:rsidR="006C0E42">
        <w:rPr>
          <w:noProof/>
        </w:rPr>
        <w:t>n</w:t>
      </w:r>
      <w:r w:rsidR="006C0E42" w:rsidRPr="00004E11">
        <w:rPr>
          <w:noProof/>
        </w:rPr>
        <w:t xml:space="preserve"> average it takes one week to obtain the </w:t>
      </w:r>
      <w:r w:rsidR="003F7B04" w:rsidRPr="00004E11">
        <w:rPr>
          <w:noProof/>
        </w:rPr>
        <w:t>VAT identification number</w:t>
      </w:r>
      <w:r w:rsidR="5A842B2C">
        <w:rPr>
          <w:noProof/>
        </w:rPr>
        <w:t>.</w:t>
      </w:r>
      <w:r w:rsidR="006C0E42">
        <w:rPr>
          <w:noProof/>
        </w:rPr>
        <w:t xml:space="preserve"> </w:t>
      </w:r>
    </w:p>
    <w:p w14:paraId="6FC06183" w14:textId="1090541A" w:rsidR="004B07E4" w:rsidRPr="00906D93" w:rsidRDefault="004B07E4" w:rsidP="0047481B">
      <w:pPr>
        <w:spacing w:after="0"/>
        <w:jc w:val="both"/>
        <w:rPr>
          <w:b/>
          <w:smallCaps/>
          <w:noProof/>
          <w:szCs w:val="20"/>
          <w:u w:val="single"/>
        </w:rPr>
      </w:pPr>
      <w:r w:rsidRPr="00906D93">
        <w:rPr>
          <w:b/>
          <w:smallCaps/>
          <w:noProof/>
          <w:szCs w:val="20"/>
          <w:u w:val="single"/>
        </w:rPr>
        <w:t xml:space="preserve">Policy options </w:t>
      </w:r>
      <w:r w:rsidR="00F651B8" w:rsidRPr="00906D93">
        <w:rPr>
          <w:b/>
          <w:smallCaps/>
          <w:noProof/>
          <w:szCs w:val="20"/>
          <w:u w:val="single"/>
        </w:rPr>
        <w:t xml:space="preserve">4 to facilitate closure of the company </w:t>
      </w:r>
    </w:p>
    <w:p w14:paraId="238C1ECE" w14:textId="54A6672B" w:rsidR="004B07E4" w:rsidRDefault="004B07E4" w:rsidP="0047481B">
      <w:pPr>
        <w:spacing w:after="0"/>
        <w:jc w:val="both"/>
        <w:rPr>
          <w:b/>
          <w:noProof/>
          <w:szCs w:val="20"/>
        </w:rPr>
      </w:pPr>
      <w:r w:rsidRPr="003B14BB">
        <w:rPr>
          <w:b/>
          <w:noProof/>
          <w:szCs w:val="20"/>
        </w:rPr>
        <w:t>Policy Option 4a</w:t>
      </w:r>
      <w:r>
        <w:rPr>
          <w:b/>
          <w:noProof/>
          <w:szCs w:val="20"/>
        </w:rPr>
        <w:t>:</w:t>
      </w:r>
      <w:r w:rsidR="00843006">
        <w:rPr>
          <w:b/>
          <w:noProof/>
          <w:szCs w:val="20"/>
        </w:rPr>
        <w:t xml:space="preserve"> </w:t>
      </w:r>
      <w:r w:rsidR="00312906">
        <w:rPr>
          <w:b/>
          <w:noProof/>
          <w:szCs w:val="20"/>
        </w:rPr>
        <w:t>Ensure that</w:t>
      </w:r>
      <w:r w:rsidR="00843006" w:rsidRPr="00843006">
        <w:rPr>
          <w:b/>
          <w:noProof/>
          <w:szCs w:val="20"/>
        </w:rPr>
        <w:t xml:space="preserve"> all relevant filings by the liquidator </w:t>
      </w:r>
      <w:r w:rsidR="003917CB">
        <w:rPr>
          <w:b/>
          <w:noProof/>
          <w:szCs w:val="20"/>
        </w:rPr>
        <w:t>for closure outside of insolvency are</w:t>
      </w:r>
      <w:r w:rsidR="00843006" w:rsidRPr="00843006">
        <w:rPr>
          <w:b/>
          <w:noProof/>
          <w:szCs w:val="20"/>
        </w:rPr>
        <w:t xml:space="preserve"> transferred from business register to other authorities</w:t>
      </w:r>
      <w:r w:rsidR="003917CB">
        <w:rPr>
          <w:b/>
          <w:noProof/>
          <w:szCs w:val="20"/>
        </w:rPr>
        <w:t xml:space="preserve"> (“once-only principle”)</w:t>
      </w:r>
      <w:r w:rsidR="00840E45">
        <w:rPr>
          <w:b/>
          <w:noProof/>
          <w:szCs w:val="20"/>
        </w:rPr>
        <w:t xml:space="preserve"> and</w:t>
      </w:r>
      <w:r w:rsidR="00843006">
        <w:rPr>
          <w:b/>
          <w:noProof/>
          <w:szCs w:val="20"/>
        </w:rPr>
        <w:t xml:space="preserve"> </w:t>
      </w:r>
      <w:r w:rsidR="00840E45">
        <w:rPr>
          <w:b/>
          <w:noProof/>
          <w:szCs w:val="20"/>
        </w:rPr>
        <w:t>o</w:t>
      </w:r>
      <w:r w:rsidR="00843006" w:rsidRPr="00843006">
        <w:rPr>
          <w:b/>
          <w:noProof/>
          <w:szCs w:val="20"/>
        </w:rPr>
        <w:t>nline filing of claims from creditors</w:t>
      </w:r>
    </w:p>
    <w:p w14:paraId="29E0FFDB" w14:textId="3CB75B81" w:rsidR="00016C68" w:rsidRDefault="002F157E" w:rsidP="0047481B">
      <w:pPr>
        <w:spacing w:after="0"/>
        <w:jc w:val="both"/>
        <w:rPr>
          <w:noProof/>
          <w:szCs w:val="20"/>
        </w:rPr>
      </w:pPr>
      <w:r>
        <w:rPr>
          <w:noProof/>
          <w:szCs w:val="20"/>
        </w:rPr>
        <w:t xml:space="preserve">This </w:t>
      </w:r>
      <w:r w:rsidR="003156DC">
        <w:rPr>
          <w:noProof/>
          <w:szCs w:val="20"/>
        </w:rPr>
        <w:t>policy option aims to reduce the time of</w:t>
      </w:r>
      <w:r w:rsidR="00840185">
        <w:rPr>
          <w:noProof/>
          <w:szCs w:val="20"/>
        </w:rPr>
        <w:t xml:space="preserve"> completion of such procedures by eliminating the administrative burden of multiple filings to national authorities and</w:t>
      </w:r>
      <w:r w:rsidR="001310F9">
        <w:rPr>
          <w:noProof/>
          <w:szCs w:val="20"/>
        </w:rPr>
        <w:t>,</w:t>
      </w:r>
      <w:r w:rsidR="00840185">
        <w:rPr>
          <w:noProof/>
          <w:szCs w:val="20"/>
        </w:rPr>
        <w:t xml:space="preserve"> in particular</w:t>
      </w:r>
      <w:r w:rsidR="001310F9">
        <w:rPr>
          <w:noProof/>
          <w:szCs w:val="20"/>
        </w:rPr>
        <w:t>,</w:t>
      </w:r>
      <w:r w:rsidR="00840185">
        <w:rPr>
          <w:noProof/>
          <w:szCs w:val="20"/>
        </w:rPr>
        <w:t xml:space="preserve"> to tax and social security authorities. The business registers would forward the necessary information making the procedure less costly and time-consuming. </w:t>
      </w:r>
      <w:r w:rsidR="00CD019A" w:rsidDel="0054179F">
        <w:rPr>
          <w:bCs/>
          <w:noProof/>
          <w:szCs w:val="20"/>
        </w:rPr>
        <w:t xml:space="preserve">In a few Member States, where business registers already inform </w:t>
      </w:r>
      <w:r w:rsidR="00B35BFA" w:rsidDel="0054179F">
        <w:rPr>
          <w:bCs/>
          <w:noProof/>
          <w:szCs w:val="20"/>
        </w:rPr>
        <w:t>tax</w:t>
      </w:r>
      <w:r w:rsidR="00CD019A" w:rsidDel="0054179F">
        <w:rPr>
          <w:bCs/>
          <w:noProof/>
          <w:szCs w:val="20"/>
        </w:rPr>
        <w:t xml:space="preserve"> authorities, e.g. in the Netherlands and in </w:t>
      </w:r>
      <w:r w:rsidR="00CD019A" w:rsidDel="0054179F">
        <w:rPr>
          <w:noProof/>
          <w:szCs w:val="20"/>
        </w:rPr>
        <w:t>France</w:t>
      </w:r>
      <w:r w:rsidR="00B35BFA" w:rsidDel="0054179F">
        <w:rPr>
          <w:bCs/>
          <w:noProof/>
          <w:szCs w:val="20"/>
        </w:rPr>
        <w:t xml:space="preserve">, </w:t>
      </w:r>
      <w:r w:rsidR="00803E72" w:rsidDel="0054179F">
        <w:rPr>
          <w:bCs/>
          <w:noProof/>
          <w:szCs w:val="20"/>
        </w:rPr>
        <w:t xml:space="preserve">there would not be </w:t>
      </w:r>
      <w:r w:rsidR="001073F0" w:rsidDel="0054179F">
        <w:rPr>
          <w:bCs/>
          <w:noProof/>
          <w:szCs w:val="20"/>
        </w:rPr>
        <w:t>significant changes.</w:t>
      </w:r>
      <w:r w:rsidR="005B6E7B">
        <w:rPr>
          <w:bCs/>
          <w:noProof/>
          <w:szCs w:val="20"/>
        </w:rPr>
        <w:t xml:space="preserve"> </w:t>
      </w:r>
      <w:r w:rsidR="00CB4300">
        <w:rPr>
          <w:noProof/>
          <w:szCs w:val="20"/>
        </w:rPr>
        <w:t xml:space="preserve">In addition to that, </w:t>
      </w:r>
      <w:r w:rsidR="001058CF">
        <w:rPr>
          <w:noProof/>
          <w:szCs w:val="20"/>
        </w:rPr>
        <w:t xml:space="preserve">where national laws </w:t>
      </w:r>
      <w:r w:rsidR="006065E2">
        <w:rPr>
          <w:noProof/>
          <w:szCs w:val="20"/>
        </w:rPr>
        <w:t>provide</w:t>
      </w:r>
      <w:r w:rsidR="001058CF">
        <w:rPr>
          <w:noProof/>
          <w:szCs w:val="20"/>
        </w:rPr>
        <w:t xml:space="preserve"> for </w:t>
      </w:r>
      <w:r w:rsidR="00247346">
        <w:rPr>
          <w:noProof/>
          <w:szCs w:val="20"/>
        </w:rPr>
        <w:t>lodging</w:t>
      </w:r>
      <w:r w:rsidR="001058CF">
        <w:rPr>
          <w:noProof/>
          <w:szCs w:val="20"/>
        </w:rPr>
        <w:t xml:space="preserve"> claims against the estate of the company</w:t>
      </w:r>
      <w:r w:rsidR="00CD2056">
        <w:rPr>
          <w:noProof/>
          <w:szCs w:val="20"/>
        </w:rPr>
        <w:t xml:space="preserve"> as part of the solvent liquidation procedure</w:t>
      </w:r>
      <w:r w:rsidR="001058CF">
        <w:rPr>
          <w:noProof/>
          <w:szCs w:val="20"/>
        </w:rPr>
        <w:t xml:space="preserve">, these could be done </w:t>
      </w:r>
      <w:r w:rsidR="00247346">
        <w:rPr>
          <w:noProof/>
          <w:szCs w:val="20"/>
        </w:rPr>
        <w:t>online</w:t>
      </w:r>
      <w:r w:rsidR="00CD2056">
        <w:rPr>
          <w:noProof/>
          <w:szCs w:val="20"/>
        </w:rPr>
        <w:t xml:space="preserve"> reducing the time of reception and process by the liquidation, hence reducing the time of the liquidation itself</w:t>
      </w:r>
      <w:r w:rsidR="00247346">
        <w:rPr>
          <w:noProof/>
          <w:szCs w:val="20"/>
        </w:rPr>
        <w:t>.</w:t>
      </w:r>
      <w:r w:rsidR="00DC11F8">
        <w:rPr>
          <w:noProof/>
          <w:szCs w:val="20"/>
        </w:rPr>
        <w:t xml:space="preserve"> </w:t>
      </w:r>
    </w:p>
    <w:p w14:paraId="764E3E07" w14:textId="7A440E39" w:rsidR="004B5A3E" w:rsidRDefault="00D6690F" w:rsidP="004B5A3E">
      <w:pPr>
        <w:spacing w:after="0"/>
        <w:jc w:val="both"/>
        <w:rPr>
          <w:noProof/>
        </w:rPr>
      </w:pPr>
      <w:r w:rsidRPr="62F2F9FF">
        <w:rPr>
          <w:noProof/>
        </w:rPr>
        <w:t>The calculations are based on the 8,5%</w:t>
      </w:r>
      <w:r w:rsidRPr="62F2F9FF">
        <w:rPr>
          <w:rStyle w:val="FootnoteReference"/>
          <w:noProof/>
        </w:rPr>
        <w:footnoteReference w:id="14"/>
      </w:r>
      <w:r>
        <w:rPr>
          <w:noProof/>
          <w:szCs w:val="20"/>
        </w:rPr>
        <w:t xml:space="preserve"> </w:t>
      </w:r>
      <w:r w:rsidR="00E27C3F" w:rsidRPr="62F2F9FF">
        <w:rPr>
          <w:noProof/>
        </w:rPr>
        <w:t xml:space="preserve">rate of enterprise death. However, </w:t>
      </w:r>
      <w:r w:rsidR="00124F7E" w:rsidRPr="62F2F9FF">
        <w:rPr>
          <w:noProof/>
        </w:rPr>
        <w:t xml:space="preserve">as explained above </w:t>
      </w:r>
      <w:r w:rsidR="00E27C3F" w:rsidRPr="62F2F9FF">
        <w:rPr>
          <w:noProof/>
        </w:rPr>
        <w:t xml:space="preserve">the </w:t>
      </w:r>
      <w:r w:rsidR="00851786" w:rsidRPr="62F2F9FF">
        <w:rPr>
          <w:noProof/>
        </w:rPr>
        <w:t>exp</w:t>
      </w:r>
      <w:r w:rsidR="00751E14" w:rsidRPr="62F2F9FF">
        <w:rPr>
          <w:noProof/>
        </w:rPr>
        <w:t>ec</w:t>
      </w:r>
      <w:r w:rsidR="00851786" w:rsidRPr="62F2F9FF">
        <w:rPr>
          <w:noProof/>
        </w:rPr>
        <w:t>ted up-take of 28</w:t>
      </w:r>
      <w:r w:rsidR="00851786" w:rsidRPr="62F2F9FF">
        <w:rPr>
          <w:noProof/>
          <w:vertAlign w:val="superscript"/>
        </w:rPr>
        <w:t>th</w:t>
      </w:r>
      <w:r w:rsidR="00851786" w:rsidRPr="62F2F9FF">
        <w:rPr>
          <w:noProof/>
        </w:rPr>
        <w:t xml:space="preserve"> regime companies </w:t>
      </w:r>
      <w:r w:rsidR="000A39DA" w:rsidRPr="62F2F9FF">
        <w:rPr>
          <w:noProof/>
        </w:rPr>
        <w:t xml:space="preserve">is based on </w:t>
      </w:r>
      <w:r w:rsidR="00751E14" w:rsidRPr="62F2F9FF">
        <w:rPr>
          <w:noProof/>
        </w:rPr>
        <w:t xml:space="preserve">net </w:t>
      </w:r>
      <w:r w:rsidR="00337A7F" w:rsidRPr="62F2F9FF">
        <w:rPr>
          <w:noProof/>
        </w:rPr>
        <w:t>figures</w:t>
      </w:r>
      <w:r w:rsidR="002460ED">
        <w:rPr>
          <w:noProof/>
          <w:szCs w:val="20"/>
        </w:rPr>
        <w:t xml:space="preserve">, </w:t>
      </w:r>
      <w:r w:rsidR="00124F7E" w:rsidRPr="62F2F9FF">
        <w:rPr>
          <w:noProof/>
        </w:rPr>
        <w:t xml:space="preserve">therefore </w:t>
      </w:r>
      <w:r w:rsidR="002460ED" w:rsidRPr="62F2F9FF">
        <w:rPr>
          <w:noProof/>
        </w:rPr>
        <w:t>8.5%</w:t>
      </w:r>
      <w:r w:rsidR="00751E14">
        <w:rPr>
          <w:noProof/>
          <w:szCs w:val="20"/>
        </w:rPr>
        <w:t xml:space="preserve"> </w:t>
      </w:r>
      <w:r w:rsidRPr="62F2F9FF">
        <w:rPr>
          <w:noProof/>
        </w:rPr>
        <w:t xml:space="preserve">of the expected </w:t>
      </w:r>
      <w:r>
        <w:rPr>
          <w:rFonts w:eastAsia="Calibri"/>
          <w:noProof/>
        </w:rPr>
        <w:t>nearly 309</w:t>
      </w:r>
      <w:r w:rsidRPr="00335CA6">
        <w:rPr>
          <w:rFonts w:eastAsia="Calibri"/>
          <w:noProof/>
        </w:rPr>
        <w:t>.000 new</w:t>
      </w:r>
      <w:r w:rsidRPr="62F2F9FF">
        <w:rPr>
          <w:noProof/>
        </w:rPr>
        <w:t xml:space="preserve"> 28</w:t>
      </w:r>
      <w:r w:rsidRPr="00335CA6">
        <w:rPr>
          <w:rFonts w:eastAsia="Calibri"/>
          <w:noProof/>
          <w:vertAlign w:val="superscript"/>
        </w:rPr>
        <w:t>th</w:t>
      </w:r>
      <w:r w:rsidRPr="62F2F9FF">
        <w:rPr>
          <w:noProof/>
        </w:rPr>
        <w:t xml:space="preserve"> regime companies </w:t>
      </w:r>
      <w:r w:rsidR="0016292E">
        <w:rPr>
          <w:rFonts w:eastAsia="Calibri"/>
          <w:noProof/>
        </w:rPr>
        <w:t>o</w:t>
      </w:r>
      <w:r w:rsidRPr="00335CA6">
        <w:rPr>
          <w:rFonts w:eastAsia="Calibri"/>
          <w:noProof/>
        </w:rPr>
        <w:t xml:space="preserve">ver the 10-year period </w:t>
      </w:r>
      <w:r w:rsidR="0016292E">
        <w:rPr>
          <w:rFonts w:eastAsia="Calibri"/>
          <w:noProof/>
        </w:rPr>
        <w:t xml:space="preserve">is a very </w:t>
      </w:r>
      <w:r w:rsidR="00462179">
        <w:rPr>
          <w:rFonts w:eastAsia="Calibri"/>
          <w:noProof/>
        </w:rPr>
        <w:t>conservative estimate of number of companies that</w:t>
      </w:r>
      <w:r w:rsidR="002341DD">
        <w:rPr>
          <w:rFonts w:eastAsia="Calibri"/>
          <w:noProof/>
        </w:rPr>
        <w:t xml:space="preserve"> </w:t>
      </w:r>
      <w:r w:rsidRPr="00335CA6">
        <w:rPr>
          <w:rFonts w:eastAsia="Calibri"/>
          <w:noProof/>
        </w:rPr>
        <w:t xml:space="preserve">might need to </w:t>
      </w:r>
      <w:r w:rsidRPr="62F2F9FF">
        <w:rPr>
          <w:noProof/>
        </w:rPr>
        <w:t>liquidate</w:t>
      </w:r>
      <w:r w:rsidRPr="00335CA6">
        <w:rPr>
          <w:rFonts w:eastAsia="Calibri"/>
          <w:noProof/>
        </w:rPr>
        <w:t xml:space="preserve">. As automatic exchanges of information between e.g. registers and tax authorities are </w:t>
      </w:r>
      <w:r w:rsidR="00E458C2">
        <w:rPr>
          <w:rFonts w:eastAsia="Calibri"/>
          <w:noProof/>
        </w:rPr>
        <w:t xml:space="preserve">rare and </w:t>
      </w:r>
      <w:r w:rsidRPr="00335CA6">
        <w:rPr>
          <w:rFonts w:eastAsia="Calibri"/>
          <w:noProof/>
        </w:rPr>
        <w:t xml:space="preserve">only present in </w:t>
      </w:r>
      <w:r w:rsidRPr="62F2F9FF">
        <w:rPr>
          <w:noProof/>
        </w:rPr>
        <w:t>a few Member States, e.g. in the Netherlands</w:t>
      </w:r>
      <w:r w:rsidR="26FD1EC8" w:rsidRPr="62F2F9FF">
        <w:rPr>
          <w:noProof/>
        </w:rPr>
        <w:t xml:space="preserve"> and</w:t>
      </w:r>
      <w:r w:rsidRPr="62F2F9FF">
        <w:rPr>
          <w:noProof/>
        </w:rPr>
        <w:t xml:space="preserve"> France, the calculations are done conservatively but for all Member States</w:t>
      </w:r>
      <w:r w:rsidRPr="00E92D66">
        <w:rPr>
          <w:bCs/>
          <w:noProof/>
          <w:szCs w:val="20"/>
        </w:rPr>
        <w:t>.</w:t>
      </w:r>
      <w:r w:rsidRPr="00E92D66">
        <w:rPr>
          <w:rFonts w:eastAsia="Calibri"/>
          <w:noProof/>
        </w:rPr>
        <w:t xml:space="preserve"> It is assumed</w:t>
      </w:r>
      <w:r w:rsidR="009C13ED">
        <w:rPr>
          <w:rFonts w:eastAsia="Calibri"/>
          <w:noProof/>
        </w:rPr>
        <w:t>,</w:t>
      </w:r>
      <w:r w:rsidRPr="00E92D66">
        <w:rPr>
          <w:rFonts w:eastAsia="Calibri"/>
          <w:noProof/>
        </w:rPr>
        <w:t xml:space="preserve"> as above for policy options 3</w:t>
      </w:r>
      <w:r w:rsidR="009C13ED">
        <w:rPr>
          <w:rFonts w:eastAsia="Calibri"/>
          <w:noProof/>
        </w:rPr>
        <w:t>,</w:t>
      </w:r>
      <w:r w:rsidRPr="00E92D66">
        <w:rPr>
          <w:rFonts w:eastAsia="Calibri"/>
          <w:noProof/>
        </w:rPr>
        <w:t xml:space="preserve"> that it would take 2 hours </w:t>
      </w:r>
      <w:r w:rsidRPr="62F2F9FF">
        <w:rPr>
          <w:noProof/>
        </w:rPr>
        <w:t>of work</w:t>
      </w:r>
      <w:r w:rsidRPr="00E92D66" w:rsidDel="002F3838">
        <w:rPr>
          <w:noProof/>
          <w:szCs w:val="20"/>
        </w:rPr>
        <w:t xml:space="preserve"> </w:t>
      </w:r>
      <w:r w:rsidRPr="62F2F9FF">
        <w:rPr>
          <w:noProof/>
        </w:rPr>
        <w:t xml:space="preserve">to </w:t>
      </w:r>
      <w:r w:rsidR="00B50FF7" w:rsidRPr="62F2F9FF">
        <w:rPr>
          <w:noProof/>
        </w:rPr>
        <w:t xml:space="preserve">prepare </w:t>
      </w:r>
      <w:r w:rsidRPr="62F2F9FF">
        <w:rPr>
          <w:noProof/>
        </w:rPr>
        <w:t xml:space="preserve">the </w:t>
      </w:r>
      <w:r w:rsidR="003907F8" w:rsidRPr="62F2F9FF">
        <w:rPr>
          <w:noProof/>
        </w:rPr>
        <w:t xml:space="preserve">company information and to submit it to </w:t>
      </w:r>
      <w:r w:rsidRPr="62F2F9FF">
        <w:rPr>
          <w:noProof/>
        </w:rPr>
        <w:t>tax and social security authorities</w:t>
      </w:r>
      <w:r>
        <w:rPr>
          <w:noProof/>
          <w:szCs w:val="20"/>
        </w:rPr>
        <w:t xml:space="preserve">, </w:t>
      </w:r>
      <w:r w:rsidRPr="62F2F9FF">
        <w:rPr>
          <w:noProof/>
        </w:rPr>
        <w:t>based on submissions of specific company information in the context of company procedures</w:t>
      </w:r>
      <w:r w:rsidRPr="00E92D66" w:rsidDel="003E37BB">
        <w:rPr>
          <w:noProof/>
          <w:szCs w:val="20"/>
        </w:rPr>
        <w:t>.</w:t>
      </w:r>
      <w:r w:rsidRPr="00E92D66">
        <w:rPr>
          <w:noProof/>
          <w:szCs w:val="20"/>
        </w:rPr>
        <w:t xml:space="preserve"> </w:t>
      </w:r>
      <w:r w:rsidR="00941E6B" w:rsidRPr="62F2F9FF">
        <w:rPr>
          <w:noProof/>
        </w:rPr>
        <w:t>A standard cost of 60 EUR/hour for a legal professional/adviser</w:t>
      </w:r>
      <w:r w:rsidR="00941E6B" w:rsidRPr="00E92D66">
        <w:rPr>
          <w:noProof/>
          <w:szCs w:val="20"/>
        </w:rPr>
        <w:t xml:space="preserve"> </w:t>
      </w:r>
      <w:r w:rsidR="00941E6B" w:rsidRPr="62F2F9FF">
        <w:rPr>
          <w:noProof/>
        </w:rPr>
        <w:t xml:space="preserve">is used </w:t>
      </w:r>
      <w:r w:rsidR="00441AFA" w:rsidRPr="62F2F9FF">
        <w:rPr>
          <w:noProof/>
        </w:rPr>
        <w:t>as i</w:t>
      </w:r>
      <w:r w:rsidRPr="62F2F9FF">
        <w:rPr>
          <w:noProof/>
        </w:rPr>
        <w:t xml:space="preserve">t is assumed that a professional adviser </w:t>
      </w:r>
      <w:r w:rsidR="00441AFA" w:rsidRPr="62F2F9FF">
        <w:rPr>
          <w:noProof/>
        </w:rPr>
        <w:t xml:space="preserve">needs to be involved </w:t>
      </w:r>
      <w:r w:rsidRPr="62F2F9FF">
        <w:rPr>
          <w:noProof/>
        </w:rPr>
        <w:t xml:space="preserve">in all Member States, given that </w:t>
      </w:r>
      <w:r w:rsidR="00441AFA" w:rsidRPr="62F2F9FF">
        <w:rPr>
          <w:noProof/>
        </w:rPr>
        <w:t xml:space="preserve">today </w:t>
      </w:r>
      <w:r w:rsidRPr="62F2F9FF">
        <w:rPr>
          <w:noProof/>
        </w:rPr>
        <w:t>the search and filings in many Member States need to be carried out by the liquidator</w:t>
      </w:r>
      <w:r w:rsidRPr="62F2F9FF">
        <w:rPr>
          <w:rStyle w:val="FootnoteReference"/>
          <w:noProof/>
        </w:rPr>
        <w:footnoteReference w:id="15"/>
      </w:r>
      <w:r w:rsidRPr="62F2F9FF">
        <w:rPr>
          <w:noProof/>
        </w:rPr>
        <w:t xml:space="preserve"> and that in most Member States intermediaries are involved in the closure</w:t>
      </w:r>
      <w:r w:rsidRPr="62F2F9FF">
        <w:rPr>
          <w:rStyle w:val="FootnoteReference"/>
          <w:noProof/>
        </w:rPr>
        <w:footnoteReference w:id="16"/>
      </w:r>
      <w:r w:rsidR="0023004B" w:rsidRPr="62F2F9FF">
        <w:rPr>
          <w:noProof/>
        </w:rPr>
        <w:t>; thanks to the application of the once-only principle, professional advisers would not need to be involved any more</w:t>
      </w:r>
      <w:r w:rsidR="009679FB">
        <w:rPr>
          <w:noProof/>
          <w:szCs w:val="20"/>
        </w:rPr>
        <w:t xml:space="preserve"> </w:t>
      </w:r>
      <w:r w:rsidR="00E6453C" w:rsidRPr="62F2F9FF">
        <w:rPr>
          <w:noProof/>
        </w:rPr>
        <w:t xml:space="preserve">in the context of </w:t>
      </w:r>
      <w:r w:rsidR="009679FB" w:rsidRPr="62F2F9FF">
        <w:rPr>
          <w:noProof/>
        </w:rPr>
        <w:t>such filings</w:t>
      </w:r>
      <w:r w:rsidRPr="00E92D66">
        <w:rPr>
          <w:noProof/>
          <w:szCs w:val="20"/>
        </w:rPr>
        <w:t>.</w:t>
      </w:r>
      <w:r w:rsidRPr="00E92D66" w:rsidDel="00144C18">
        <w:rPr>
          <w:noProof/>
          <w:szCs w:val="20"/>
        </w:rPr>
        <w:t xml:space="preserve"> </w:t>
      </w:r>
      <w:r w:rsidR="004B5A3E" w:rsidRPr="62F2F9FF">
        <w:rPr>
          <w:noProof/>
        </w:rPr>
        <w:t>To be noted, that the cost estimations do not include the possible involvement and cost of a lawyer or a notary</w:t>
      </w:r>
      <w:r w:rsidR="002729E0" w:rsidRPr="62F2F9FF">
        <w:rPr>
          <w:noProof/>
        </w:rPr>
        <w:t xml:space="preserve"> in more complex situations requiring further action than the simple filing of the relevant </w:t>
      </w:r>
      <w:r w:rsidR="0033680C" w:rsidRPr="62F2F9FF">
        <w:rPr>
          <w:noProof/>
        </w:rPr>
        <w:t>information to national authorities</w:t>
      </w:r>
      <w:r w:rsidR="004B5A3E" w:rsidRPr="009D159D">
        <w:rPr>
          <w:noProof/>
          <w:szCs w:val="20"/>
        </w:rPr>
        <w:t>.</w:t>
      </w:r>
      <w:r w:rsidR="00CF22BE">
        <w:rPr>
          <w:noProof/>
          <w:szCs w:val="20"/>
        </w:rPr>
        <w:t xml:space="preserve"> </w:t>
      </w:r>
    </w:p>
    <w:p w14:paraId="63A4165C" w14:textId="2D2309E0" w:rsidR="00E21419" w:rsidRDefault="008B287B" w:rsidP="004B5A3E">
      <w:pPr>
        <w:spacing w:after="0"/>
        <w:jc w:val="both"/>
        <w:rPr>
          <w:noProof/>
          <w:szCs w:val="20"/>
        </w:rPr>
      </w:pPr>
      <w:r>
        <w:rPr>
          <w:bCs/>
          <w:noProof/>
          <w:szCs w:val="20"/>
        </w:rPr>
        <w:t xml:space="preserve">The same </w:t>
      </w:r>
      <w:r w:rsidR="00E21419">
        <w:rPr>
          <w:bCs/>
          <w:noProof/>
          <w:szCs w:val="20"/>
        </w:rPr>
        <w:t xml:space="preserve">technical solution </w:t>
      </w:r>
      <w:r>
        <w:rPr>
          <w:bCs/>
          <w:noProof/>
          <w:szCs w:val="20"/>
        </w:rPr>
        <w:t xml:space="preserve">could be used </w:t>
      </w:r>
      <w:r w:rsidR="00E21419">
        <w:rPr>
          <w:bCs/>
          <w:noProof/>
          <w:szCs w:val="20"/>
        </w:rPr>
        <w:t xml:space="preserve">to ensure </w:t>
      </w:r>
      <w:r w:rsidR="0046475A">
        <w:rPr>
          <w:bCs/>
          <w:noProof/>
          <w:szCs w:val="20"/>
        </w:rPr>
        <w:t xml:space="preserve">this </w:t>
      </w:r>
      <w:r w:rsidR="00E21419">
        <w:rPr>
          <w:bCs/>
          <w:noProof/>
          <w:szCs w:val="20"/>
        </w:rPr>
        <w:t>automatic submission of the company information</w:t>
      </w:r>
      <w:r w:rsidR="0046475A">
        <w:rPr>
          <w:bCs/>
          <w:noProof/>
          <w:szCs w:val="20"/>
        </w:rPr>
        <w:t xml:space="preserve"> as already covered under options </w:t>
      </w:r>
      <w:r w:rsidR="00061BB6">
        <w:rPr>
          <w:bCs/>
          <w:noProof/>
          <w:szCs w:val="20"/>
        </w:rPr>
        <w:t>3 and therefore, no additional</w:t>
      </w:r>
      <w:r w:rsidR="00C01AC0">
        <w:rPr>
          <w:bCs/>
          <w:noProof/>
          <w:szCs w:val="20"/>
        </w:rPr>
        <w:t xml:space="preserve"> costs need to be calculated for the authorities</w:t>
      </w:r>
      <w:r w:rsidR="00E21419">
        <w:rPr>
          <w:bCs/>
          <w:noProof/>
          <w:szCs w:val="20"/>
        </w:rPr>
        <w:t xml:space="preserve">. </w:t>
      </w:r>
    </w:p>
    <w:p w14:paraId="262D2978" w14:textId="3971456D" w:rsidR="00840E45" w:rsidRDefault="004B07E4" w:rsidP="0047481B">
      <w:pPr>
        <w:spacing w:after="0"/>
        <w:jc w:val="both"/>
        <w:rPr>
          <w:b/>
          <w:noProof/>
          <w:szCs w:val="20"/>
        </w:rPr>
      </w:pPr>
      <w:r w:rsidRPr="003B14BB">
        <w:rPr>
          <w:b/>
          <w:noProof/>
          <w:szCs w:val="20"/>
        </w:rPr>
        <w:t>Policy Option 4b</w:t>
      </w:r>
      <w:r>
        <w:rPr>
          <w:b/>
          <w:noProof/>
          <w:szCs w:val="20"/>
        </w:rPr>
        <w:t>:</w:t>
      </w:r>
      <w:r w:rsidR="00FA1E82">
        <w:rPr>
          <w:b/>
          <w:noProof/>
          <w:szCs w:val="20"/>
        </w:rPr>
        <w:t xml:space="preserve"> Option 4a + </w:t>
      </w:r>
      <w:r w:rsidR="00361D72">
        <w:rPr>
          <w:b/>
          <w:noProof/>
          <w:szCs w:val="20"/>
        </w:rPr>
        <w:t>s</w:t>
      </w:r>
      <w:r w:rsidR="00E5519A" w:rsidRPr="00E5519A">
        <w:rPr>
          <w:b/>
          <w:noProof/>
          <w:szCs w:val="20"/>
        </w:rPr>
        <w:t>implified liquidation procedure (outside of insolvency) for no assets/no debts to be concluded within a specific deadline.</w:t>
      </w:r>
    </w:p>
    <w:p w14:paraId="436D9B2F" w14:textId="0D9CCEA0" w:rsidR="003B5563" w:rsidRDefault="00B746AE" w:rsidP="002B174E">
      <w:pPr>
        <w:spacing w:after="0"/>
        <w:jc w:val="both"/>
        <w:rPr>
          <w:noProof/>
          <w:szCs w:val="20"/>
        </w:rPr>
      </w:pPr>
      <w:r w:rsidRPr="002B174E">
        <w:rPr>
          <w:noProof/>
          <w:szCs w:val="20"/>
        </w:rPr>
        <w:t xml:space="preserve">A simplified solvent liquidation </w:t>
      </w:r>
      <w:r w:rsidR="00716222" w:rsidRPr="002B174E">
        <w:rPr>
          <w:noProof/>
          <w:szCs w:val="20"/>
        </w:rPr>
        <w:t xml:space="preserve">can </w:t>
      </w:r>
      <w:r w:rsidRPr="002B174E">
        <w:rPr>
          <w:noProof/>
          <w:szCs w:val="20"/>
        </w:rPr>
        <w:t xml:space="preserve">eliminate the need for a professional external liquidator </w:t>
      </w:r>
      <w:r w:rsidR="009E4597" w:rsidRPr="002B174E">
        <w:rPr>
          <w:noProof/>
          <w:szCs w:val="20"/>
        </w:rPr>
        <w:t>(e</w:t>
      </w:r>
      <w:r w:rsidR="00175273">
        <w:rPr>
          <w:noProof/>
          <w:szCs w:val="20"/>
        </w:rPr>
        <w:t>.</w:t>
      </w:r>
      <w:r w:rsidR="009E4597" w:rsidRPr="002B174E">
        <w:rPr>
          <w:noProof/>
          <w:szCs w:val="20"/>
        </w:rPr>
        <w:t>g</w:t>
      </w:r>
      <w:r w:rsidR="003259AC" w:rsidRPr="002B174E">
        <w:rPr>
          <w:noProof/>
          <w:szCs w:val="20"/>
        </w:rPr>
        <w:t>.</w:t>
      </w:r>
      <w:r w:rsidR="009E4597" w:rsidRPr="002B174E">
        <w:rPr>
          <w:noProof/>
          <w:szCs w:val="20"/>
        </w:rPr>
        <w:t xml:space="preserve"> law and accounting firms)</w:t>
      </w:r>
      <w:r w:rsidR="006B3D72" w:rsidRPr="002B174E">
        <w:rPr>
          <w:noProof/>
          <w:szCs w:val="20"/>
        </w:rPr>
        <w:t xml:space="preserve"> or a notary</w:t>
      </w:r>
      <w:r w:rsidR="009E4597" w:rsidRPr="002B174E">
        <w:rPr>
          <w:noProof/>
          <w:szCs w:val="20"/>
        </w:rPr>
        <w:t xml:space="preserve"> </w:t>
      </w:r>
      <w:r w:rsidRPr="002B174E">
        <w:rPr>
          <w:noProof/>
          <w:szCs w:val="20"/>
        </w:rPr>
        <w:t>and the relevant professional fees which could amount to few thousand euro</w:t>
      </w:r>
      <w:r w:rsidR="003A138E" w:rsidRPr="002B174E">
        <w:rPr>
          <w:noProof/>
          <w:szCs w:val="20"/>
        </w:rPr>
        <w:t>s</w:t>
      </w:r>
      <w:r w:rsidRPr="002B174E">
        <w:rPr>
          <w:noProof/>
          <w:szCs w:val="20"/>
        </w:rPr>
        <w:t xml:space="preserve"> for simple cases</w:t>
      </w:r>
      <w:r w:rsidR="005D5545">
        <w:rPr>
          <w:noProof/>
          <w:szCs w:val="20"/>
        </w:rPr>
        <w:t>.</w:t>
      </w:r>
      <w:r w:rsidRPr="002B174E">
        <w:rPr>
          <w:noProof/>
          <w:szCs w:val="20"/>
        </w:rPr>
        <w:t xml:space="preserve"> </w:t>
      </w:r>
      <w:r w:rsidR="00CC4A38">
        <w:rPr>
          <w:noProof/>
          <w:szCs w:val="20"/>
        </w:rPr>
        <w:t>It is assumed that this would amount to 500 EUR, which is a conservative estimative given that f</w:t>
      </w:r>
      <w:r w:rsidR="005D5545">
        <w:rPr>
          <w:noProof/>
          <w:szCs w:val="20"/>
        </w:rPr>
        <w:t xml:space="preserve">or instance, </w:t>
      </w:r>
      <w:r w:rsidR="00CC4A38">
        <w:rPr>
          <w:noProof/>
          <w:szCs w:val="20"/>
        </w:rPr>
        <w:t>a</w:t>
      </w:r>
      <w:r w:rsidR="005D5545">
        <w:rPr>
          <w:noProof/>
          <w:szCs w:val="20"/>
        </w:rPr>
        <w:t xml:space="preserve"> single deed </w:t>
      </w:r>
      <w:r w:rsidR="00036A3C">
        <w:rPr>
          <w:noProof/>
          <w:szCs w:val="20"/>
        </w:rPr>
        <w:t xml:space="preserve">in a simplified closure procedure </w:t>
      </w:r>
      <w:r w:rsidR="004C79D6">
        <w:rPr>
          <w:noProof/>
          <w:szCs w:val="20"/>
        </w:rPr>
        <w:t xml:space="preserve">in Belgium </w:t>
      </w:r>
      <w:r w:rsidR="005D5545">
        <w:rPr>
          <w:noProof/>
          <w:szCs w:val="20"/>
        </w:rPr>
        <w:t xml:space="preserve">costs </w:t>
      </w:r>
      <w:r w:rsidR="00470BA7" w:rsidRPr="002B174E">
        <w:rPr>
          <w:noProof/>
          <w:szCs w:val="20"/>
        </w:rPr>
        <w:t>1500 euro</w:t>
      </w:r>
      <w:r w:rsidR="00166E44" w:rsidRPr="002B174E">
        <w:rPr>
          <w:noProof/>
          <w:szCs w:val="20"/>
        </w:rPr>
        <w:t>s</w:t>
      </w:r>
      <w:r w:rsidR="00470BA7" w:rsidRPr="002B174E">
        <w:rPr>
          <w:noProof/>
          <w:szCs w:val="20"/>
        </w:rPr>
        <w:t xml:space="preserve"> </w:t>
      </w:r>
      <w:r w:rsidR="00CC4A38">
        <w:rPr>
          <w:noProof/>
          <w:szCs w:val="20"/>
        </w:rPr>
        <w:t xml:space="preserve">and participants in the workshop with companies </w:t>
      </w:r>
      <w:r w:rsidR="007C574F">
        <w:rPr>
          <w:noProof/>
          <w:szCs w:val="20"/>
        </w:rPr>
        <w:t xml:space="preserve">estimated that involvement of </w:t>
      </w:r>
      <w:r w:rsidR="00860E1A">
        <w:rPr>
          <w:noProof/>
          <w:szCs w:val="20"/>
        </w:rPr>
        <w:t>notaries, lawyers or other professional advisers could amount to 5</w:t>
      </w:r>
      <w:r>
        <w:rPr>
          <w:noProof/>
          <w:szCs w:val="20"/>
        </w:rPr>
        <w:t> </w:t>
      </w:r>
      <w:r w:rsidR="00860E1A">
        <w:rPr>
          <w:noProof/>
          <w:szCs w:val="20"/>
        </w:rPr>
        <w:t>000 EUR</w:t>
      </w:r>
      <w:r w:rsidR="00470BA7" w:rsidRPr="002B174E">
        <w:rPr>
          <w:noProof/>
          <w:szCs w:val="20"/>
        </w:rPr>
        <w:t>. T</w:t>
      </w:r>
      <w:r w:rsidRPr="002B174E">
        <w:rPr>
          <w:noProof/>
          <w:szCs w:val="20"/>
        </w:rPr>
        <w:t xml:space="preserve">he </w:t>
      </w:r>
      <w:r w:rsidR="003A138E" w:rsidRPr="002B174E">
        <w:rPr>
          <w:noProof/>
          <w:szCs w:val="20"/>
        </w:rPr>
        <w:t>shareholders</w:t>
      </w:r>
      <w:r w:rsidRPr="002B174E">
        <w:rPr>
          <w:noProof/>
          <w:szCs w:val="20"/>
        </w:rPr>
        <w:t xml:space="preserve"> could carry out the administrative steps and conclude the affairs of the company</w:t>
      </w:r>
      <w:r w:rsidR="00470BA7" w:rsidRPr="002B174E">
        <w:rPr>
          <w:noProof/>
          <w:szCs w:val="20"/>
        </w:rPr>
        <w:t xml:space="preserve"> themselves</w:t>
      </w:r>
      <w:r w:rsidRPr="002B174E">
        <w:rPr>
          <w:noProof/>
          <w:szCs w:val="20"/>
        </w:rPr>
        <w:t xml:space="preserve">. </w:t>
      </w:r>
      <w:r w:rsidR="006E04F9">
        <w:rPr>
          <w:noProof/>
          <w:szCs w:val="20"/>
        </w:rPr>
        <w:t xml:space="preserve">This calculation is carried out on the assumption that </w:t>
      </w:r>
      <w:r w:rsidR="00137059" w:rsidRPr="007F386F">
        <w:rPr>
          <w:noProof/>
          <w:szCs w:val="20"/>
        </w:rPr>
        <w:t>1</w:t>
      </w:r>
      <w:r w:rsidR="006E04F9">
        <w:rPr>
          <w:noProof/>
          <w:szCs w:val="20"/>
        </w:rPr>
        <w:t xml:space="preserve">% of the </w:t>
      </w:r>
      <w:r w:rsidR="00247C6F">
        <w:rPr>
          <w:noProof/>
          <w:szCs w:val="20"/>
        </w:rPr>
        <w:t xml:space="preserve">solvent companies </w:t>
      </w:r>
      <w:r w:rsidR="000B752E">
        <w:rPr>
          <w:noProof/>
          <w:szCs w:val="20"/>
        </w:rPr>
        <w:t>which are to undergo a closure procedure, have no debts and no assets and therefore, could benefit from the harmonised simplified procedure.</w:t>
      </w:r>
    </w:p>
    <w:p w14:paraId="71A8FC74" w14:textId="55424E37" w:rsidR="00B746AE" w:rsidRPr="002B174E" w:rsidRDefault="00B746AE" w:rsidP="002B174E">
      <w:pPr>
        <w:spacing w:after="0"/>
        <w:jc w:val="both"/>
        <w:rPr>
          <w:noProof/>
        </w:rPr>
      </w:pPr>
      <w:r w:rsidRPr="591E848D">
        <w:rPr>
          <w:noProof/>
        </w:rPr>
        <w:t xml:space="preserve">Furthermore, the </w:t>
      </w:r>
      <w:r w:rsidR="000B4463" w:rsidRPr="591E848D">
        <w:rPr>
          <w:noProof/>
        </w:rPr>
        <w:t xml:space="preserve">waiting </w:t>
      </w:r>
      <w:r w:rsidRPr="591E848D">
        <w:rPr>
          <w:noProof/>
        </w:rPr>
        <w:t xml:space="preserve">time </w:t>
      </w:r>
      <w:r w:rsidR="000B4463" w:rsidRPr="591E848D">
        <w:rPr>
          <w:noProof/>
        </w:rPr>
        <w:t xml:space="preserve">that a closure would take would be </w:t>
      </w:r>
      <w:r w:rsidR="005959AE" w:rsidRPr="591E848D">
        <w:rPr>
          <w:noProof/>
        </w:rPr>
        <w:t>considerably</w:t>
      </w:r>
      <w:r w:rsidR="004A6CAC">
        <w:rPr>
          <w:noProof/>
          <w:szCs w:val="20"/>
        </w:rPr>
        <w:t xml:space="preserve"> </w:t>
      </w:r>
      <w:r w:rsidRPr="591E848D">
        <w:rPr>
          <w:noProof/>
        </w:rPr>
        <w:t xml:space="preserve">reduced. Where a solvent liquidation might take from </w:t>
      </w:r>
      <w:r w:rsidR="002613DC" w:rsidRPr="591E848D">
        <w:rPr>
          <w:noProof/>
        </w:rPr>
        <w:t>6</w:t>
      </w:r>
      <w:r w:rsidRPr="591E848D">
        <w:rPr>
          <w:noProof/>
        </w:rPr>
        <w:t xml:space="preserve"> to 12 months </w:t>
      </w:r>
      <w:r w:rsidR="00A0705B" w:rsidRPr="591E848D">
        <w:rPr>
          <w:noProof/>
        </w:rPr>
        <w:t xml:space="preserve">or longer </w:t>
      </w:r>
      <w:r w:rsidR="002D786E" w:rsidRPr="002B174E">
        <w:rPr>
          <w:noProof/>
          <w:szCs w:val="20"/>
        </w:rPr>
        <w:t>(</w:t>
      </w:r>
      <w:r w:rsidR="00A0705B" w:rsidRPr="591E848D">
        <w:rPr>
          <w:noProof/>
        </w:rPr>
        <w:t>given</w:t>
      </w:r>
      <w:r w:rsidR="0027327C">
        <w:rPr>
          <w:noProof/>
          <w:szCs w:val="20"/>
        </w:rPr>
        <w:t xml:space="preserve">, </w:t>
      </w:r>
      <w:r w:rsidR="002D786E" w:rsidRPr="591E848D">
        <w:rPr>
          <w:noProof/>
        </w:rPr>
        <w:t>e.g.</w:t>
      </w:r>
      <w:r w:rsidR="0027327C">
        <w:rPr>
          <w:noProof/>
          <w:szCs w:val="20"/>
        </w:rPr>
        <w:t>,</w:t>
      </w:r>
      <w:r w:rsidR="002D786E" w:rsidRPr="591E848D">
        <w:rPr>
          <w:noProof/>
        </w:rPr>
        <w:t xml:space="preserve"> a mandatory waiting period, often a "</w:t>
      </w:r>
      <w:r w:rsidR="00EB1026">
        <w:rPr>
          <w:noProof/>
        </w:rPr>
        <w:t>S</w:t>
      </w:r>
      <w:r w:rsidR="002D786E" w:rsidRPr="591E848D">
        <w:rPr>
          <w:noProof/>
        </w:rPr>
        <w:t>perrjahr" or blocking year, to allow creditors to register claims</w:t>
      </w:r>
      <w:r w:rsidR="001B67F7" w:rsidRPr="591E848D">
        <w:rPr>
          <w:noProof/>
        </w:rPr>
        <w:t>, e.g. in DE)</w:t>
      </w:r>
      <w:r w:rsidR="003E2E3E" w:rsidRPr="591E848D">
        <w:rPr>
          <w:rStyle w:val="FootnoteReference"/>
          <w:noProof/>
        </w:rPr>
        <w:footnoteReference w:id="17"/>
      </w:r>
      <w:r w:rsidR="002D786E" w:rsidRPr="002B174E">
        <w:rPr>
          <w:noProof/>
          <w:szCs w:val="20"/>
        </w:rPr>
        <w:t xml:space="preserve"> </w:t>
      </w:r>
      <w:r w:rsidRPr="591E848D">
        <w:rPr>
          <w:noProof/>
        </w:rPr>
        <w:t>due to mandatory legal steps and waiting periods</w:t>
      </w:r>
      <w:r w:rsidR="002613DC" w:rsidRPr="591E848D">
        <w:rPr>
          <w:noProof/>
        </w:rPr>
        <w:t xml:space="preserve"> for tax clearance</w:t>
      </w:r>
      <w:r w:rsidRPr="002B174E">
        <w:rPr>
          <w:noProof/>
          <w:szCs w:val="20"/>
        </w:rPr>
        <w:t xml:space="preserve">, </w:t>
      </w:r>
      <w:r w:rsidR="00E077ED" w:rsidRPr="591E848D">
        <w:rPr>
          <w:noProof/>
        </w:rPr>
        <w:t>a</w:t>
      </w:r>
      <w:r w:rsidRPr="591E848D">
        <w:rPr>
          <w:noProof/>
        </w:rPr>
        <w:t xml:space="preserve"> simplified procedure for a company with no assets/no debts can be completed within 3 to 4 months or even faster</w:t>
      </w:r>
      <w:r w:rsidR="00EE1B7C" w:rsidRPr="591E848D">
        <w:rPr>
          <w:rStyle w:val="FootnoteReference"/>
          <w:noProof/>
        </w:rPr>
        <w:footnoteReference w:id="18"/>
      </w:r>
      <w:r w:rsidR="001F2DFE">
        <w:rPr>
          <w:noProof/>
          <w:szCs w:val="20"/>
        </w:rPr>
        <w:t>.</w:t>
      </w:r>
      <w:r w:rsidRPr="002B174E">
        <w:rPr>
          <w:noProof/>
          <w:szCs w:val="20"/>
        </w:rPr>
        <w:t xml:space="preserve"> </w:t>
      </w:r>
      <w:r w:rsidR="00D13427" w:rsidRPr="591E848D">
        <w:rPr>
          <w:noProof/>
        </w:rPr>
        <w:t xml:space="preserve">Therefore, </w:t>
      </w:r>
      <w:r w:rsidR="00795737" w:rsidRPr="591E848D">
        <w:rPr>
          <w:noProof/>
        </w:rPr>
        <w:t xml:space="preserve">it is assumed that waiting time could be </w:t>
      </w:r>
      <w:r w:rsidRPr="591E848D">
        <w:rPr>
          <w:noProof/>
        </w:rPr>
        <w:t xml:space="preserve">potentially cut by </w:t>
      </w:r>
      <w:r w:rsidR="00795737" w:rsidRPr="591E848D">
        <w:rPr>
          <w:noProof/>
        </w:rPr>
        <w:t xml:space="preserve">around 8 months (from 12 to 4 months). </w:t>
      </w:r>
    </w:p>
    <w:p w14:paraId="657DD695" w14:textId="77777777" w:rsidR="004B07E4" w:rsidRDefault="004B07E4" w:rsidP="004A6CAC">
      <w:pPr>
        <w:spacing w:before="0" w:after="0"/>
        <w:jc w:val="both"/>
        <w:rPr>
          <w:noProof/>
          <w:szCs w:val="20"/>
        </w:rPr>
      </w:pPr>
    </w:p>
    <w:p w14:paraId="279E05AC" w14:textId="453B14B0" w:rsidR="004B07E4" w:rsidRDefault="004B07E4" w:rsidP="0047481B">
      <w:pPr>
        <w:spacing w:after="0"/>
        <w:jc w:val="both"/>
        <w:rPr>
          <w:noProof/>
        </w:rPr>
      </w:pPr>
      <w:r w:rsidRPr="003B14BB">
        <w:rPr>
          <w:b/>
          <w:noProof/>
          <w:szCs w:val="20"/>
        </w:rPr>
        <w:t>Policy Option 4c</w:t>
      </w:r>
      <w:r>
        <w:rPr>
          <w:b/>
          <w:noProof/>
          <w:szCs w:val="20"/>
        </w:rPr>
        <w:t>:</w:t>
      </w:r>
      <w:r w:rsidR="00F82BC5">
        <w:rPr>
          <w:b/>
          <w:noProof/>
          <w:szCs w:val="20"/>
        </w:rPr>
        <w:t xml:space="preserve"> </w:t>
      </w:r>
      <w:r w:rsidR="00BA09C9">
        <w:rPr>
          <w:b/>
          <w:noProof/>
          <w:szCs w:val="20"/>
        </w:rPr>
        <w:t xml:space="preserve">Option 4b </w:t>
      </w:r>
      <w:r w:rsidR="00E446DC">
        <w:rPr>
          <w:noProof/>
        </w:rPr>
        <w:t>+</w:t>
      </w:r>
      <w:r w:rsidR="00E446DC" w:rsidRPr="004C599B">
        <w:rPr>
          <w:noProof/>
        </w:rPr>
        <w:t xml:space="preserve"> </w:t>
      </w:r>
      <w:r w:rsidR="00E446DC">
        <w:rPr>
          <w:noProof/>
        </w:rPr>
        <w:t xml:space="preserve">a </w:t>
      </w:r>
      <w:r w:rsidR="000B37E1">
        <w:rPr>
          <w:noProof/>
        </w:rPr>
        <w:t>simplification of</w:t>
      </w:r>
      <w:r w:rsidR="0048375E" w:rsidRPr="003E5B0E">
        <w:rPr>
          <w:noProof/>
        </w:rPr>
        <w:t xml:space="preserve"> insolvency procedure</w:t>
      </w:r>
      <w:r w:rsidR="000B37E1">
        <w:rPr>
          <w:noProof/>
        </w:rPr>
        <w:t>s thanks to their full digitalisation</w:t>
      </w:r>
    </w:p>
    <w:p w14:paraId="6D483387" w14:textId="3781EC71" w:rsidR="00B72D3C" w:rsidRDefault="00B72D3C" w:rsidP="00B72D3C">
      <w:pPr>
        <w:spacing w:after="0"/>
        <w:jc w:val="both"/>
        <w:rPr>
          <w:bCs/>
          <w:noProof/>
          <w:szCs w:val="20"/>
        </w:rPr>
      </w:pPr>
      <w:r w:rsidRPr="00807AD0">
        <w:rPr>
          <w:bCs/>
          <w:noProof/>
          <w:szCs w:val="20"/>
        </w:rPr>
        <w:t>Th</w:t>
      </w:r>
      <w:r w:rsidR="008E5540">
        <w:rPr>
          <w:bCs/>
          <w:noProof/>
          <w:szCs w:val="20"/>
        </w:rPr>
        <w:t>is policy option would also add</w:t>
      </w:r>
      <w:r w:rsidRPr="00807AD0">
        <w:rPr>
          <w:bCs/>
          <w:noProof/>
          <w:szCs w:val="20"/>
        </w:rPr>
        <w:t xml:space="preserve"> full digitalisation </w:t>
      </w:r>
      <w:r w:rsidR="008E5540">
        <w:rPr>
          <w:bCs/>
          <w:noProof/>
          <w:szCs w:val="20"/>
        </w:rPr>
        <w:t>of insolvency procedures, which</w:t>
      </w:r>
      <w:r w:rsidRPr="00807AD0">
        <w:rPr>
          <w:bCs/>
          <w:noProof/>
          <w:szCs w:val="20"/>
        </w:rPr>
        <w:t xml:space="preserve"> would include, in particular, that all communications between participants</w:t>
      </w:r>
      <w:r w:rsidR="00AE10B5">
        <w:rPr>
          <w:bCs/>
          <w:noProof/>
          <w:szCs w:val="20"/>
        </w:rPr>
        <w:t xml:space="preserve"> (with the exception of the communication between courts)</w:t>
      </w:r>
      <w:r w:rsidRPr="00807AD0">
        <w:rPr>
          <w:bCs/>
          <w:noProof/>
          <w:szCs w:val="20"/>
        </w:rPr>
        <w:t xml:space="preserve"> of such proceedings would be performed by electronic means, establishment of electronic auction systems for the sale of the assets of the debtor and performance of asset sales through such electronic auction systems. </w:t>
      </w:r>
      <w:r w:rsidRPr="00674A96">
        <w:rPr>
          <w:bCs/>
          <w:noProof/>
          <w:szCs w:val="20"/>
        </w:rPr>
        <w:t xml:space="preserve">Communication in cross-border cases between the parties (debtors, creditors, shareholders etc.), between parties and practitioners appointed by a court and between courts would be greatly facilitated and made speedier </w:t>
      </w:r>
      <w:r w:rsidR="00565535">
        <w:rPr>
          <w:bCs/>
          <w:noProof/>
          <w:szCs w:val="20"/>
        </w:rPr>
        <w:t>by digitalised</w:t>
      </w:r>
      <w:r w:rsidRPr="00674A96">
        <w:rPr>
          <w:bCs/>
          <w:noProof/>
          <w:szCs w:val="20"/>
        </w:rPr>
        <w:t xml:space="preserve"> procedures.</w:t>
      </w:r>
    </w:p>
    <w:p w14:paraId="567FD685" w14:textId="68C18679" w:rsidR="00CE71FA" w:rsidRDefault="00CE71FA" w:rsidP="00B72D3C">
      <w:pPr>
        <w:spacing w:after="0"/>
        <w:jc w:val="both"/>
        <w:rPr>
          <w:bCs/>
          <w:noProof/>
          <w:szCs w:val="20"/>
        </w:rPr>
      </w:pPr>
      <w:r w:rsidRPr="00CE71FA">
        <w:rPr>
          <w:bCs/>
          <w:noProof/>
          <w:szCs w:val="20"/>
        </w:rPr>
        <w:t>Electronic communication with courts and insolvency practitioners is currently standard in about 75% of EU Member States</w:t>
      </w:r>
      <w:r w:rsidRPr="00CE71FA">
        <w:rPr>
          <w:bCs/>
          <w:noProof/>
          <w:szCs w:val="20"/>
          <w:vertAlign w:val="superscript"/>
        </w:rPr>
        <w:footnoteReference w:id="19"/>
      </w:r>
      <w:r w:rsidRPr="00CE71FA">
        <w:rPr>
          <w:bCs/>
          <w:noProof/>
          <w:szCs w:val="20"/>
        </w:rPr>
        <w:t>. Hence, a full digitalisation of this communication between the competent authorities and the insolvency practitioners as well as with all other parties to the proceedings (the debtor, the creditors) would further facilitate this communication and make it speedier; thus, the full digitalisation would reduce the administrative burden for all parties involved which would result in shorter length of the insolvency liquidation procedures.</w:t>
      </w:r>
    </w:p>
    <w:p w14:paraId="1252EA21" w14:textId="195797D9" w:rsidR="00F60510" w:rsidRPr="00DF707F" w:rsidRDefault="00F60510" w:rsidP="00F60510">
      <w:pPr>
        <w:spacing w:after="0"/>
        <w:jc w:val="both"/>
        <w:rPr>
          <w:bCs/>
          <w:noProof/>
          <w:szCs w:val="20"/>
        </w:rPr>
      </w:pPr>
      <w:r w:rsidRPr="00DF707F">
        <w:rPr>
          <w:bCs/>
          <w:noProof/>
          <w:szCs w:val="20"/>
        </w:rPr>
        <w:t>The longer insolvency proceedings last, the bigger are the adverse effects on the value that can be recovered in a liquidation (“melting ice cube” phenomenon)</w:t>
      </w:r>
      <w:r>
        <w:rPr>
          <w:rStyle w:val="FootnoteReference"/>
          <w:bCs/>
          <w:noProof/>
          <w:szCs w:val="20"/>
        </w:rPr>
        <w:footnoteReference w:id="20"/>
      </w:r>
      <w:r>
        <w:rPr>
          <w:bCs/>
          <w:noProof/>
          <w:szCs w:val="20"/>
        </w:rPr>
        <w:t>.</w:t>
      </w:r>
      <w:r w:rsidRPr="00DF707F">
        <w:rPr>
          <w:bCs/>
          <w:noProof/>
          <w:szCs w:val="20"/>
        </w:rPr>
        <w:t xml:space="preserve"> Thus, the reduction of cost of failure through full digitalisation of insolvency procedures would encourage investments in European companies. Electronic auctions would further reduce costs and would facilitate reaching a wider circle of interested bidders thus contributing to the sale of assets at higher prices. Traditionally innovative sectors, such as tech and biopharma, are considered of high-risk for investors due to high volatility in business valuations mainly at the startup phase but also during scaling</w:t>
      </w:r>
      <w:r>
        <w:rPr>
          <w:bCs/>
          <w:noProof/>
          <w:szCs w:val="20"/>
        </w:rPr>
        <w:t xml:space="preserve"> </w:t>
      </w:r>
      <w:r w:rsidRPr="00DF707F">
        <w:rPr>
          <w:bCs/>
          <w:noProof/>
          <w:szCs w:val="20"/>
        </w:rPr>
        <w:t>up. In the context of technological companies, about 80% of projects started by large tech companies fail: as a result, the cost of failure - that is, the expense of shutting down unsuccessful projects and launching new ones – is one of the critical elements in profitability analysis</w:t>
      </w:r>
      <w:r>
        <w:rPr>
          <w:rStyle w:val="FootnoteReference"/>
          <w:bCs/>
          <w:noProof/>
          <w:szCs w:val="20"/>
        </w:rPr>
        <w:footnoteReference w:id="21"/>
      </w:r>
      <w:r w:rsidRPr="00DF707F">
        <w:rPr>
          <w:bCs/>
          <w:noProof/>
          <w:szCs w:val="20"/>
        </w:rPr>
        <w:t xml:space="preserve">.  </w:t>
      </w:r>
    </w:p>
    <w:p w14:paraId="3FFD8AC2" w14:textId="112FDA65" w:rsidR="00F60510" w:rsidRDefault="00F60510" w:rsidP="00F60510">
      <w:pPr>
        <w:spacing w:after="0"/>
        <w:jc w:val="both"/>
        <w:rPr>
          <w:bCs/>
          <w:noProof/>
          <w:szCs w:val="20"/>
        </w:rPr>
      </w:pPr>
      <w:r w:rsidRPr="00DF707F">
        <w:rPr>
          <w:bCs/>
          <w:noProof/>
          <w:szCs w:val="20"/>
        </w:rPr>
        <w:t>A similar situation exists in relation to scaleups and startups: investors in high-risk tech sectors rely on their ability to scale rapidly or reallocate resources; if the cost of failure is too high, the expected returns on large bets diminish – thereby reducing incentives to invest in European tech firms</w:t>
      </w:r>
      <w:r>
        <w:rPr>
          <w:rStyle w:val="FootnoteReference"/>
          <w:bCs/>
          <w:noProof/>
          <w:szCs w:val="20"/>
        </w:rPr>
        <w:footnoteReference w:id="22"/>
      </w:r>
      <w:r w:rsidRPr="00DF707F">
        <w:rPr>
          <w:bCs/>
          <w:noProof/>
          <w:szCs w:val="20"/>
        </w:rPr>
        <w:t>. As a result, businesses are investing less</w:t>
      </w:r>
      <w:r>
        <w:rPr>
          <w:rStyle w:val="FootnoteReference"/>
          <w:bCs/>
          <w:noProof/>
          <w:szCs w:val="20"/>
        </w:rPr>
        <w:footnoteReference w:id="23"/>
      </w:r>
      <w:r w:rsidRPr="00DF707F">
        <w:rPr>
          <w:bCs/>
          <w:noProof/>
          <w:szCs w:val="20"/>
        </w:rPr>
        <w:t xml:space="preserve"> and are less likely to pursue innovative activity, which slows down the diffusion of technical progress and ultimately the growth potential</w:t>
      </w:r>
      <w:r w:rsidR="004423CD">
        <w:rPr>
          <w:bCs/>
          <w:noProof/>
          <w:szCs w:val="20"/>
        </w:rPr>
        <w:t>. A</w:t>
      </w:r>
      <w:r w:rsidRPr="00DF707F">
        <w:rPr>
          <w:bCs/>
          <w:noProof/>
          <w:szCs w:val="20"/>
        </w:rPr>
        <w:t>t the same time, capital allocation is impaired because economic resources locked in distressed entities (zombie companies undergoing lengthy insolvency procedures) are not available for more productive uses</w:t>
      </w:r>
      <w:r>
        <w:rPr>
          <w:rStyle w:val="FootnoteReference"/>
          <w:bCs/>
          <w:noProof/>
          <w:szCs w:val="20"/>
        </w:rPr>
        <w:footnoteReference w:id="24"/>
      </w:r>
      <w:r w:rsidRPr="00DF707F">
        <w:rPr>
          <w:bCs/>
          <w:noProof/>
          <w:szCs w:val="20"/>
        </w:rPr>
        <w:t>. The study of the University of Namur has found a correlation between high bankruptcy recovery rate and future innovations as well as a reduction of credit interest rates and reduction of constraints for SMEs. This indicates that a functioning legal bankruptcy system which optimises recoveries aids in upscaling an economy especially as regards SMEs.</w:t>
      </w:r>
      <w:r>
        <w:rPr>
          <w:rStyle w:val="FootnoteReference"/>
          <w:bCs/>
          <w:noProof/>
          <w:szCs w:val="20"/>
        </w:rPr>
        <w:footnoteReference w:id="25"/>
      </w:r>
    </w:p>
    <w:p w14:paraId="0B78B120" w14:textId="0BEBF387" w:rsidR="00B72D3C" w:rsidRDefault="00B72D3C" w:rsidP="00B72D3C">
      <w:pPr>
        <w:spacing w:after="0"/>
        <w:jc w:val="both"/>
        <w:rPr>
          <w:bCs/>
          <w:noProof/>
          <w:szCs w:val="20"/>
        </w:rPr>
      </w:pPr>
      <w:r>
        <w:rPr>
          <w:bCs/>
          <w:noProof/>
          <w:szCs w:val="20"/>
        </w:rPr>
        <w:t>D</w:t>
      </w:r>
      <w:r w:rsidRPr="0039133D">
        <w:rPr>
          <w:bCs/>
          <w:noProof/>
          <w:szCs w:val="20"/>
        </w:rPr>
        <w:t>igit</w:t>
      </w:r>
      <w:r>
        <w:rPr>
          <w:bCs/>
          <w:noProof/>
          <w:szCs w:val="20"/>
        </w:rPr>
        <w:t>ali</w:t>
      </w:r>
      <w:r w:rsidRPr="0039133D">
        <w:rPr>
          <w:bCs/>
          <w:noProof/>
          <w:szCs w:val="20"/>
        </w:rPr>
        <w:t xml:space="preserve">sation of procedures is a trend in all Member States, any upfront costs </w:t>
      </w:r>
      <w:r w:rsidR="006C1950">
        <w:rPr>
          <w:bCs/>
          <w:noProof/>
          <w:szCs w:val="20"/>
        </w:rPr>
        <w:t>of</w:t>
      </w:r>
      <w:r w:rsidRPr="0039133D">
        <w:rPr>
          <w:bCs/>
          <w:noProof/>
          <w:szCs w:val="20"/>
        </w:rPr>
        <w:t xml:space="preserve"> putting </w:t>
      </w:r>
      <w:r w:rsidR="006C1950">
        <w:rPr>
          <w:bCs/>
          <w:noProof/>
          <w:szCs w:val="20"/>
        </w:rPr>
        <w:t>such digital procedures</w:t>
      </w:r>
      <w:r w:rsidRPr="0039133D">
        <w:rPr>
          <w:bCs/>
          <w:noProof/>
          <w:szCs w:val="20"/>
        </w:rPr>
        <w:t xml:space="preserve"> in place are likely to be quickly offset by the gains in the reduction of the length of procedures.</w:t>
      </w:r>
      <w:r>
        <w:rPr>
          <w:bCs/>
          <w:noProof/>
          <w:szCs w:val="20"/>
        </w:rPr>
        <w:t xml:space="preserve"> </w:t>
      </w:r>
    </w:p>
    <w:p w14:paraId="302FCEB9" w14:textId="0E8183A2" w:rsidR="00B72D3C" w:rsidRDefault="00B72D3C" w:rsidP="00B72D3C">
      <w:pPr>
        <w:spacing w:after="0"/>
        <w:jc w:val="both"/>
        <w:rPr>
          <w:bCs/>
          <w:noProof/>
          <w:szCs w:val="20"/>
        </w:rPr>
      </w:pPr>
      <w:r w:rsidRPr="001A0C3C">
        <w:rPr>
          <w:bCs/>
          <w:noProof/>
          <w:szCs w:val="20"/>
        </w:rPr>
        <w:t>Regarding costs of digitalisation of insolvency proceedings</w:t>
      </w:r>
      <w:r w:rsidR="00445CAB">
        <w:rPr>
          <w:bCs/>
          <w:noProof/>
          <w:szCs w:val="20"/>
        </w:rPr>
        <w:t>,</w:t>
      </w:r>
      <w:r w:rsidRPr="001A0C3C">
        <w:rPr>
          <w:bCs/>
          <w:noProof/>
          <w:szCs w:val="20"/>
        </w:rPr>
        <w:t xml:space="preserve"> no or little additional costs could be expected, since the work on digitalisation of judicial procedures in Member States, including insolvency procedures</w:t>
      </w:r>
      <w:r w:rsidR="0098407A">
        <w:rPr>
          <w:bCs/>
          <w:noProof/>
          <w:szCs w:val="20"/>
        </w:rPr>
        <w:t>,</w:t>
      </w:r>
      <w:r w:rsidRPr="001A0C3C">
        <w:rPr>
          <w:bCs/>
          <w:noProof/>
          <w:szCs w:val="20"/>
        </w:rPr>
        <w:t xml:space="preserve"> are already ongoing and usually cover all aspects of judicial proceedings not only their specific parts or aspects, such as insolvency or restructuring.</w:t>
      </w:r>
    </w:p>
    <w:p w14:paraId="351A6E97" w14:textId="2257BB4F" w:rsidR="00B72D3C" w:rsidRPr="00807AD0" w:rsidRDefault="00B72D3C" w:rsidP="00B72D3C">
      <w:pPr>
        <w:spacing w:after="0"/>
        <w:jc w:val="both"/>
        <w:rPr>
          <w:bCs/>
          <w:noProof/>
          <w:szCs w:val="20"/>
        </w:rPr>
      </w:pPr>
      <w:r w:rsidRPr="001A0C3C">
        <w:rPr>
          <w:bCs/>
          <w:noProof/>
          <w:szCs w:val="20"/>
        </w:rPr>
        <w:t xml:space="preserve">Regarding specific costs of establishment of electronic auctions systems in insolvency, </w:t>
      </w:r>
      <w:r w:rsidRPr="00807AD0">
        <w:rPr>
          <w:bCs/>
          <w:noProof/>
          <w:szCs w:val="20"/>
        </w:rPr>
        <w:t>14 Member States already have such platforms in place for online judicial auctions, but only three seem to use them for insolvency cases. Member States would need to spend resources on the development and maintenance</w:t>
      </w:r>
      <w:r w:rsidR="00D415D0">
        <w:rPr>
          <w:bCs/>
          <w:noProof/>
          <w:szCs w:val="20"/>
        </w:rPr>
        <w:t xml:space="preserve"> of such platforms</w:t>
      </w:r>
      <w:r w:rsidRPr="00807AD0">
        <w:rPr>
          <w:bCs/>
          <w:noProof/>
          <w:szCs w:val="20"/>
        </w:rPr>
        <w:t>. According to IT experts, the amounts could be EUR</w:t>
      </w:r>
      <w:r w:rsidR="00A6233A">
        <w:rPr>
          <w:bCs/>
          <w:noProof/>
          <w:szCs w:val="20"/>
        </w:rPr>
        <w:t> </w:t>
      </w:r>
      <w:r w:rsidRPr="00807AD0">
        <w:rPr>
          <w:bCs/>
          <w:noProof/>
          <w:szCs w:val="20"/>
        </w:rPr>
        <w:t>5</w:t>
      </w:r>
      <w:r w:rsidR="002A5553">
        <w:rPr>
          <w:bCs/>
          <w:noProof/>
          <w:szCs w:val="20"/>
        </w:rPr>
        <w:t> </w:t>
      </w:r>
      <w:r w:rsidRPr="00807AD0">
        <w:rPr>
          <w:bCs/>
          <w:noProof/>
          <w:szCs w:val="20"/>
        </w:rPr>
        <w:t xml:space="preserve">000 </w:t>
      </w:r>
      <w:r w:rsidR="70F6ACCF">
        <w:rPr>
          <w:noProof/>
        </w:rPr>
        <w:t xml:space="preserve">to </w:t>
      </w:r>
      <w:r w:rsidRPr="00807AD0">
        <w:rPr>
          <w:bCs/>
          <w:noProof/>
          <w:szCs w:val="20"/>
        </w:rPr>
        <w:t>10</w:t>
      </w:r>
      <w:r w:rsidR="002A5553">
        <w:rPr>
          <w:bCs/>
          <w:noProof/>
          <w:szCs w:val="20"/>
        </w:rPr>
        <w:t> </w:t>
      </w:r>
      <w:r w:rsidRPr="00807AD0">
        <w:rPr>
          <w:bCs/>
          <w:noProof/>
          <w:szCs w:val="20"/>
        </w:rPr>
        <w:t>000 one off developments costs for a medium complex platform, plus 12</w:t>
      </w:r>
      <w:r w:rsidR="00A6233A">
        <w:rPr>
          <w:bCs/>
          <w:noProof/>
          <w:szCs w:val="20"/>
        </w:rPr>
        <w:t> </w:t>
      </w:r>
      <w:r w:rsidRPr="00807AD0">
        <w:rPr>
          <w:bCs/>
          <w:noProof/>
          <w:szCs w:val="20"/>
        </w:rPr>
        <w:t xml:space="preserve">000 </w:t>
      </w:r>
      <w:r w:rsidR="003B70FE">
        <w:rPr>
          <w:bCs/>
          <w:noProof/>
          <w:szCs w:val="20"/>
        </w:rPr>
        <w:t xml:space="preserve">of annual </w:t>
      </w:r>
      <w:r w:rsidRPr="00807AD0">
        <w:rPr>
          <w:bCs/>
          <w:noProof/>
          <w:szCs w:val="20"/>
        </w:rPr>
        <w:t>maintenance costs. There was no information to estimate the additional costs for the specificity of using such platforms for insolvency cases. As conservative assumption, the adjustment costs could be as high as the development costs. Using these data, development cost for all those Member States that do not have a judicial platform and adjustment costs for all those that are not using it for insolvency cases would sum up to EUR</w:t>
      </w:r>
      <w:r w:rsidR="005F4A7D">
        <w:rPr>
          <w:bCs/>
          <w:noProof/>
          <w:szCs w:val="20"/>
        </w:rPr>
        <w:t> </w:t>
      </w:r>
      <w:r w:rsidRPr="00807AD0">
        <w:rPr>
          <w:bCs/>
          <w:noProof/>
          <w:szCs w:val="20"/>
        </w:rPr>
        <w:t>185</w:t>
      </w:r>
      <w:r w:rsidR="005F4A7D">
        <w:rPr>
          <w:bCs/>
          <w:noProof/>
          <w:szCs w:val="20"/>
        </w:rPr>
        <w:t> </w:t>
      </w:r>
      <w:r w:rsidRPr="00807AD0">
        <w:rPr>
          <w:bCs/>
          <w:noProof/>
          <w:szCs w:val="20"/>
        </w:rPr>
        <w:t>000 to 370</w:t>
      </w:r>
      <w:r w:rsidR="005F4A7D">
        <w:rPr>
          <w:bCs/>
          <w:noProof/>
          <w:szCs w:val="20"/>
        </w:rPr>
        <w:t> </w:t>
      </w:r>
      <w:r w:rsidRPr="00807AD0">
        <w:rPr>
          <w:bCs/>
          <w:noProof/>
          <w:szCs w:val="20"/>
        </w:rPr>
        <w:t>000. All 27 Member States’ maintenance costs would be EUR</w:t>
      </w:r>
      <w:r w:rsidR="005F4A7D">
        <w:rPr>
          <w:bCs/>
          <w:noProof/>
          <w:szCs w:val="20"/>
        </w:rPr>
        <w:t> </w:t>
      </w:r>
      <w:r w:rsidRPr="00807AD0">
        <w:rPr>
          <w:bCs/>
          <w:noProof/>
          <w:szCs w:val="20"/>
        </w:rPr>
        <w:t>324</w:t>
      </w:r>
      <w:r w:rsidR="005F4A7D">
        <w:rPr>
          <w:bCs/>
          <w:noProof/>
          <w:szCs w:val="20"/>
        </w:rPr>
        <w:t> </w:t>
      </w:r>
      <w:r w:rsidRPr="00807AD0">
        <w:rPr>
          <w:bCs/>
          <w:noProof/>
          <w:szCs w:val="20"/>
        </w:rPr>
        <w:t>000.</w:t>
      </w:r>
    </w:p>
    <w:p w14:paraId="5574CFF1" w14:textId="7BC80216" w:rsidR="008D203B" w:rsidRDefault="008D203B" w:rsidP="0047481B">
      <w:pPr>
        <w:spacing w:after="0"/>
        <w:jc w:val="both"/>
        <w:rPr>
          <w:b/>
          <w:noProof/>
          <w:szCs w:val="20"/>
        </w:rPr>
      </w:pPr>
    </w:p>
    <w:p w14:paraId="18DAD07F" w14:textId="663AEB2F" w:rsidR="00BA09C9" w:rsidRPr="00906D93" w:rsidRDefault="00BA09C9" w:rsidP="0047481B">
      <w:pPr>
        <w:spacing w:after="0"/>
        <w:jc w:val="both"/>
        <w:rPr>
          <w:b/>
          <w:smallCaps/>
          <w:noProof/>
          <w:szCs w:val="20"/>
          <w:u w:val="single"/>
        </w:rPr>
      </w:pPr>
      <w:r w:rsidRPr="00906D93">
        <w:rPr>
          <w:b/>
          <w:smallCaps/>
          <w:noProof/>
          <w:szCs w:val="20"/>
          <w:u w:val="single"/>
        </w:rPr>
        <w:t xml:space="preserve">Policy options 5 </w:t>
      </w:r>
      <w:r w:rsidR="00DF696E" w:rsidRPr="00906D93">
        <w:rPr>
          <w:b/>
          <w:smallCaps/>
          <w:noProof/>
          <w:szCs w:val="20"/>
          <w:u w:val="single"/>
        </w:rPr>
        <w:t>for attracting talent</w:t>
      </w:r>
    </w:p>
    <w:p w14:paraId="318641BF" w14:textId="039805F4" w:rsidR="00CD64B9" w:rsidRPr="00CD64B9" w:rsidRDefault="00BA09C9" w:rsidP="0047481B">
      <w:pPr>
        <w:spacing w:after="0"/>
        <w:jc w:val="both"/>
        <w:rPr>
          <w:b/>
          <w:noProof/>
          <w:szCs w:val="20"/>
        </w:rPr>
      </w:pPr>
      <w:r w:rsidRPr="003B14BB">
        <w:rPr>
          <w:b/>
          <w:noProof/>
          <w:szCs w:val="20"/>
        </w:rPr>
        <w:t xml:space="preserve">Policy Option </w:t>
      </w:r>
      <w:r w:rsidR="00463D08">
        <w:rPr>
          <w:b/>
          <w:noProof/>
          <w:szCs w:val="20"/>
        </w:rPr>
        <w:t>5</w:t>
      </w:r>
      <w:r w:rsidRPr="003B14BB">
        <w:rPr>
          <w:b/>
          <w:noProof/>
          <w:szCs w:val="20"/>
        </w:rPr>
        <w:t>a</w:t>
      </w:r>
      <w:r>
        <w:rPr>
          <w:b/>
          <w:noProof/>
          <w:szCs w:val="20"/>
        </w:rPr>
        <w:t xml:space="preserve">: </w:t>
      </w:r>
      <w:r w:rsidR="00CD64B9" w:rsidRPr="00CD64B9">
        <w:rPr>
          <w:b/>
          <w:noProof/>
          <w:szCs w:val="20"/>
        </w:rPr>
        <w:t>Possibility for 28</w:t>
      </w:r>
      <w:r w:rsidR="00CD64B9" w:rsidRPr="00CD64B9">
        <w:rPr>
          <w:b/>
          <w:noProof/>
          <w:szCs w:val="20"/>
          <w:vertAlign w:val="superscript"/>
        </w:rPr>
        <w:t>th</w:t>
      </w:r>
      <w:r w:rsidR="00CD64B9" w:rsidRPr="00CD64B9">
        <w:rPr>
          <w:b/>
          <w:noProof/>
          <w:szCs w:val="20"/>
        </w:rPr>
        <w:t xml:space="preserve"> regime companies to set up employee </w:t>
      </w:r>
      <w:r w:rsidR="00934E19">
        <w:rPr>
          <w:b/>
          <w:noProof/>
          <w:szCs w:val="20"/>
        </w:rPr>
        <w:t xml:space="preserve">stock </w:t>
      </w:r>
      <w:r w:rsidR="00CD64B9" w:rsidRPr="00CD64B9">
        <w:rPr>
          <w:b/>
          <w:noProof/>
          <w:szCs w:val="20"/>
        </w:rPr>
        <w:t>ownership plans (ESOPs) and issue classes of shares with distinct voting rights</w:t>
      </w:r>
      <w:r w:rsidR="00CD64B9" w:rsidRPr="00CD64B9" w:rsidDel="00150FB5">
        <w:rPr>
          <w:b/>
          <w:noProof/>
          <w:szCs w:val="20"/>
        </w:rPr>
        <w:t xml:space="preserve"> </w:t>
      </w:r>
    </w:p>
    <w:p w14:paraId="39F7A4B9" w14:textId="511CBF7C" w:rsidR="002A001E" w:rsidRDefault="00FF1CF6" w:rsidP="00372587">
      <w:pPr>
        <w:spacing w:after="0"/>
        <w:jc w:val="both"/>
        <w:rPr>
          <w:noProof/>
          <w:szCs w:val="20"/>
        </w:rPr>
      </w:pPr>
      <w:r>
        <w:rPr>
          <w:noProof/>
          <w:szCs w:val="20"/>
        </w:rPr>
        <w:t xml:space="preserve">Under this policy option, </w:t>
      </w:r>
      <w:r w:rsidR="004603FA">
        <w:rPr>
          <w:noProof/>
          <w:szCs w:val="20"/>
        </w:rPr>
        <w:t>28</w:t>
      </w:r>
      <w:r w:rsidR="004603FA" w:rsidRPr="00B93E19">
        <w:rPr>
          <w:noProof/>
          <w:szCs w:val="20"/>
          <w:vertAlign w:val="superscript"/>
        </w:rPr>
        <w:t>th</w:t>
      </w:r>
      <w:r w:rsidR="004603FA">
        <w:rPr>
          <w:noProof/>
          <w:szCs w:val="20"/>
        </w:rPr>
        <w:t xml:space="preserve"> regime companies</w:t>
      </w:r>
      <w:r w:rsidR="00076812">
        <w:rPr>
          <w:noProof/>
          <w:szCs w:val="20"/>
        </w:rPr>
        <w:t xml:space="preserve"> would</w:t>
      </w:r>
      <w:r w:rsidR="007D7793">
        <w:rPr>
          <w:noProof/>
          <w:szCs w:val="20"/>
        </w:rPr>
        <w:t xml:space="preserve"> be able to </w:t>
      </w:r>
      <w:r w:rsidR="00E500E1">
        <w:rPr>
          <w:noProof/>
          <w:szCs w:val="20"/>
        </w:rPr>
        <w:t xml:space="preserve">set up </w:t>
      </w:r>
      <w:r w:rsidR="004D3542">
        <w:rPr>
          <w:noProof/>
          <w:szCs w:val="20"/>
        </w:rPr>
        <w:t>ESOPs</w:t>
      </w:r>
      <w:r w:rsidR="004B27D7">
        <w:rPr>
          <w:noProof/>
          <w:szCs w:val="20"/>
        </w:rPr>
        <w:t>, cho</w:t>
      </w:r>
      <w:r w:rsidR="00350706">
        <w:rPr>
          <w:noProof/>
          <w:szCs w:val="20"/>
        </w:rPr>
        <w:t xml:space="preserve">osing their preferred </w:t>
      </w:r>
      <w:r w:rsidR="00D41281">
        <w:rPr>
          <w:noProof/>
          <w:szCs w:val="20"/>
        </w:rPr>
        <w:t>type and structure</w:t>
      </w:r>
      <w:r w:rsidR="006107CE">
        <w:rPr>
          <w:noProof/>
          <w:szCs w:val="20"/>
        </w:rPr>
        <w:t xml:space="preserve"> including th</w:t>
      </w:r>
      <w:r w:rsidR="007244EA">
        <w:rPr>
          <w:noProof/>
          <w:szCs w:val="20"/>
        </w:rPr>
        <w:t xml:space="preserve">e voting rights of </w:t>
      </w:r>
      <w:r w:rsidR="004F1A4A">
        <w:rPr>
          <w:noProof/>
          <w:szCs w:val="20"/>
        </w:rPr>
        <w:t>employee stocks</w:t>
      </w:r>
      <w:r w:rsidR="00372587">
        <w:rPr>
          <w:noProof/>
          <w:szCs w:val="20"/>
        </w:rPr>
        <w:t>. Based on a workshop with companies and desk research, internal time spent by companies for setting up an employee ownership plan is estimated at an average of 9 hours. I</w:t>
      </w:r>
      <w:r w:rsidR="00647CA9">
        <w:rPr>
          <w:noProof/>
          <w:szCs w:val="20"/>
        </w:rPr>
        <w:t xml:space="preserve">t is </w:t>
      </w:r>
      <w:r w:rsidR="00CE0B97">
        <w:rPr>
          <w:noProof/>
          <w:szCs w:val="20"/>
        </w:rPr>
        <w:t xml:space="preserve">conservatively assumed that this </w:t>
      </w:r>
      <w:r w:rsidR="00322201">
        <w:rPr>
          <w:noProof/>
          <w:szCs w:val="20"/>
        </w:rPr>
        <w:t xml:space="preserve">option will not reduce </w:t>
      </w:r>
      <w:r w:rsidR="003524CD">
        <w:rPr>
          <w:noProof/>
          <w:szCs w:val="20"/>
        </w:rPr>
        <w:t xml:space="preserve">internal time spent by companies, given that </w:t>
      </w:r>
      <w:r w:rsidR="0022791B">
        <w:rPr>
          <w:noProof/>
          <w:szCs w:val="20"/>
        </w:rPr>
        <w:t xml:space="preserve">companies would </w:t>
      </w:r>
      <w:r w:rsidR="00465F7E">
        <w:rPr>
          <w:noProof/>
          <w:szCs w:val="20"/>
        </w:rPr>
        <w:t>typically</w:t>
      </w:r>
      <w:r w:rsidR="0022791B">
        <w:rPr>
          <w:noProof/>
          <w:szCs w:val="20"/>
        </w:rPr>
        <w:t xml:space="preserve"> still have to </w:t>
      </w:r>
      <w:r w:rsidR="007E6A6B">
        <w:rPr>
          <w:noProof/>
          <w:szCs w:val="20"/>
        </w:rPr>
        <w:t xml:space="preserve">carry out </w:t>
      </w:r>
      <w:r w:rsidR="006757D6">
        <w:rPr>
          <w:noProof/>
          <w:szCs w:val="20"/>
        </w:rPr>
        <w:t>the same</w:t>
      </w:r>
      <w:r w:rsidR="007E6A6B">
        <w:rPr>
          <w:noProof/>
          <w:szCs w:val="20"/>
        </w:rPr>
        <w:t xml:space="preserve"> internal steps </w:t>
      </w:r>
      <w:r w:rsidR="006757D6">
        <w:rPr>
          <w:noProof/>
          <w:szCs w:val="20"/>
        </w:rPr>
        <w:t>as</w:t>
      </w:r>
      <w:r w:rsidR="007E6A6B">
        <w:rPr>
          <w:noProof/>
          <w:szCs w:val="20"/>
        </w:rPr>
        <w:t xml:space="preserve"> under the baseline, including</w:t>
      </w:r>
      <w:r w:rsidR="0022791B">
        <w:rPr>
          <w:noProof/>
          <w:szCs w:val="20"/>
        </w:rPr>
        <w:t xml:space="preserve"> </w:t>
      </w:r>
      <w:r w:rsidR="006C4F15">
        <w:rPr>
          <w:noProof/>
          <w:szCs w:val="20"/>
        </w:rPr>
        <w:t>consulting</w:t>
      </w:r>
      <w:r w:rsidR="00465F7E">
        <w:rPr>
          <w:noProof/>
          <w:szCs w:val="20"/>
        </w:rPr>
        <w:t xml:space="preserve"> professional advisers</w:t>
      </w:r>
      <w:r w:rsidR="008D2152">
        <w:rPr>
          <w:noProof/>
          <w:szCs w:val="20"/>
        </w:rPr>
        <w:t>,</w:t>
      </w:r>
      <w:r w:rsidR="00465F7E">
        <w:rPr>
          <w:noProof/>
          <w:szCs w:val="20"/>
        </w:rPr>
        <w:t xml:space="preserve"> </w:t>
      </w:r>
      <w:r w:rsidR="00FC2A7B">
        <w:rPr>
          <w:noProof/>
          <w:szCs w:val="20"/>
        </w:rPr>
        <w:t>choo</w:t>
      </w:r>
      <w:r w:rsidR="0028030D">
        <w:rPr>
          <w:noProof/>
          <w:szCs w:val="20"/>
        </w:rPr>
        <w:t>s</w:t>
      </w:r>
      <w:r w:rsidR="008D2152">
        <w:rPr>
          <w:noProof/>
          <w:szCs w:val="20"/>
        </w:rPr>
        <w:t>ing</w:t>
      </w:r>
      <w:r w:rsidR="0028030D">
        <w:rPr>
          <w:noProof/>
          <w:szCs w:val="20"/>
        </w:rPr>
        <w:t xml:space="preserve"> an appropriate scheme based on</w:t>
      </w:r>
      <w:r w:rsidR="00260C53">
        <w:rPr>
          <w:noProof/>
          <w:szCs w:val="20"/>
        </w:rPr>
        <w:t xml:space="preserve"> the</w:t>
      </w:r>
      <w:r w:rsidR="0028030D">
        <w:rPr>
          <w:noProof/>
          <w:szCs w:val="20"/>
        </w:rPr>
        <w:t xml:space="preserve"> </w:t>
      </w:r>
      <w:r w:rsidR="00260C53">
        <w:rPr>
          <w:noProof/>
          <w:szCs w:val="20"/>
        </w:rPr>
        <w:t>advice</w:t>
      </w:r>
      <w:r w:rsidR="00D75B44">
        <w:rPr>
          <w:noProof/>
          <w:szCs w:val="20"/>
        </w:rPr>
        <w:t xml:space="preserve"> </w:t>
      </w:r>
      <w:r w:rsidR="00260C53">
        <w:rPr>
          <w:noProof/>
          <w:szCs w:val="20"/>
        </w:rPr>
        <w:t xml:space="preserve">received </w:t>
      </w:r>
      <w:r w:rsidR="007A14F0">
        <w:rPr>
          <w:noProof/>
          <w:szCs w:val="20"/>
        </w:rPr>
        <w:t>and informing employees about it</w:t>
      </w:r>
      <w:r w:rsidR="00260C53">
        <w:rPr>
          <w:noProof/>
          <w:szCs w:val="20"/>
        </w:rPr>
        <w:t>.</w:t>
      </w:r>
      <w:r w:rsidR="00A70F1C">
        <w:rPr>
          <w:noProof/>
          <w:szCs w:val="20"/>
        </w:rPr>
        <w:t xml:space="preserve"> </w:t>
      </w:r>
      <w:r w:rsidR="00D63E75">
        <w:rPr>
          <w:noProof/>
          <w:szCs w:val="20"/>
        </w:rPr>
        <w:t>C</w:t>
      </w:r>
      <w:r w:rsidR="00E23EDA">
        <w:rPr>
          <w:noProof/>
          <w:szCs w:val="20"/>
        </w:rPr>
        <w:t>osts for professional advi</w:t>
      </w:r>
      <w:r w:rsidR="004A4FC9">
        <w:rPr>
          <w:noProof/>
          <w:szCs w:val="20"/>
        </w:rPr>
        <w:t>c</w:t>
      </w:r>
      <w:r w:rsidR="00E23EDA">
        <w:rPr>
          <w:noProof/>
          <w:szCs w:val="20"/>
        </w:rPr>
        <w:t>e,</w:t>
      </w:r>
      <w:r w:rsidR="00BC363A">
        <w:rPr>
          <w:noProof/>
          <w:szCs w:val="20"/>
        </w:rPr>
        <w:t xml:space="preserve"> currently estimated at an average of </w:t>
      </w:r>
      <w:r w:rsidR="00BC363A" w:rsidRPr="00B93E19">
        <w:rPr>
          <w:noProof/>
          <w:szCs w:val="20"/>
        </w:rPr>
        <w:t>EUR</w:t>
      </w:r>
      <w:r w:rsidR="00D91037">
        <w:rPr>
          <w:noProof/>
          <w:szCs w:val="20"/>
        </w:rPr>
        <w:t> </w:t>
      </w:r>
      <w:r w:rsidR="00BC363A" w:rsidRPr="00B93E19">
        <w:rPr>
          <w:noProof/>
          <w:szCs w:val="20"/>
        </w:rPr>
        <w:t>2800</w:t>
      </w:r>
      <w:r w:rsidR="00BC363A" w:rsidRPr="00BC363A">
        <w:rPr>
          <w:noProof/>
          <w:szCs w:val="20"/>
        </w:rPr>
        <w:t xml:space="preserve"> bas</w:t>
      </w:r>
      <w:r w:rsidR="00BC363A">
        <w:rPr>
          <w:noProof/>
          <w:szCs w:val="20"/>
        </w:rPr>
        <w:t xml:space="preserve">ed on the independent expert report for the European Innovation Act, a workshop with companies and desk research, </w:t>
      </w:r>
      <w:r w:rsidR="00CB0F98">
        <w:rPr>
          <w:noProof/>
          <w:szCs w:val="20"/>
        </w:rPr>
        <w:t xml:space="preserve">is estimated to moderately </w:t>
      </w:r>
      <w:r w:rsidR="00293F74">
        <w:rPr>
          <w:noProof/>
          <w:szCs w:val="20"/>
        </w:rPr>
        <w:t xml:space="preserve">decline </w:t>
      </w:r>
      <w:r w:rsidR="00BC363A">
        <w:rPr>
          <w:noProof/>
          <w:szCs w:val="20"/>
        </w:rPr>
        <w:t>by 5%</w:t>
      </w:r>
      <w:r w:rsidR="00293F74">
        <w:rPr>
          <w:noProof/>
          <w:szCs w:val="20"/>
        </w:rPr>
        <w:t xml:space="preserve"> </w:t>
      </w:r>
      <w:r w:rsidR="00150128">
        <w:rPr>
          <w:noProof/>
          <w:szCs w:val="20"/>
        </w:rPr>
        <w:t xml:space="preserve">due </w:t>
      </w:r>
      <w:r w:rsidR="004A4FC9">
        <w:rPr>
          <w:noProof/>
          <w:szCs w:val="20"/>
        </w:rPr>
        <w:t>to</w:t>
      </w:r>
      <w:r w:rsidR="00B24CC3">
        <w:rPr>
          <w:noProof/>
          <w:szCs w:val="20"/>
        </w:rPr>
        <w:t xml:space="preserve"> </w:t>
      </w:r>
      <w:r w:rsidR="00B24CC3" w:rsidRPr="00D91037">
        <w:rPr>
          <w:noProof/>
          <w:szCs w:val="20"/>
        </w:rPr>
        <w:t xml:space="preserve">greater competition </w:t>
      </w:r>
      <w:r w:rsidR="00855FA6">
        <w:rPr>
          <w:noProof/>
          <w:szCs w:val="20"/>
        </w:rPr>
        <w:t xml:space="preserve">resulting from </w:t>
      </w:r>
      <w:r w:rsidR="006653F8">
        <w:rPr>
          <w:noProof/>
          <w:szCs w:val="20"/>
        </w:rPr>
        <w:t xml:space="preserve">professional advisers being able to </w:t>
      </w:r>
      <w:r w:rsidR="00E56F5F">
        <w:rPr>
          <w:noProof/>
          <w:szCs w:val="20"/>
        </w:rPr>
        <w:t xml:space="preserve">better </w:t>
      </w:r>
      <w:r w:rsidR="004E335E">
        <w:rPr>
          <w:noProof/>
          <w:szCs w:val="20"/>
        </w:rPr>
        <w:t>provid</w:t>
      </w:r>
      <w:r w:rsidR="00E56F5F">
        <w:rPr>
          <w:noProof/>
          <w:szCs w:val="20"/>
        </w:rPr>
        <w:t>e</w:t>
      </w:r>
      <w:r w:rsidR="004E335E">
        <w:rPr>
          <w:noProof/>
          <w:szCs w:val="20"/>
        </w:rPr>
        <w:t xml:space="preserve"> their services</w:t>
      </w:r>
      <w:r w:rsidR="00E56F5F">
        <w:rPr>
          <w:noProof/>
          <w:szCs w:val="20"/>
        </w:rPr>
        <w:t xml:space="preserve"> </w:t>
      </w:r>
      <w:r w:rsidR="0051674C">
        <w:rPr>
          <w:noProof/>
          <w:szCs w:val="20"/>
        </w:rPr>
        <w:t>across borders</w:t>
      </w:r>
      <w:r w:rsidR="00D91037" w:rsidRPr="00D91037">
        <w:rPr>
          <w:noProof/>
          <w:szCs w:val="20"/>
        </w:rPr>
        <w:t xml:space="preserve"> </w:t>
      </w:r>
      <w:r w:rsidR="00DF5E3B">
        <w:rPr>
          <w:noProof/>
          <w:szCs w:val="20"/>
        </w:rPr>
        <w:t>under the 28</w:t>
      </w:r>
      <w:r w:rsidR="00DF5E3B" w:rsidRPr="00B93E19">
        <w:rPr>
          <w:noProof/>
          <w:szCs w:val="20"/>
          <w:vertAlign w:val="superscript"/>
        </w:rPr>
        <w:t>th</w:t>
      </w:r>
      <w:r w:rsidR="00DF5E3B">
        <w:rPr>
          <w:noProof/>
          <w:szCs w:val="20"/>
        </w:rPr>
        <w:t xml:space="preserve"> regime</w:t>
      </w:r>
      <w:r w:rsidR="00F6644A">
        <w:rPr>
          <w:noProof/>
          <w:szCs w:val="20"/>
        </w:rPr>
        <w:t xml:space="preserve"> corporate legal framework</w:t>
      </w:r>
      <w:r w:rsidR="00D91037" w:rsidRPr="00D91037">
        <w:rPr>
          <w:noProof/>
          <w:szCs w:val="20"/>
        </w:rPr>
        <w:t>.</w:t>
      </w:r>
      <w:r w:rsidR="000F159D">
        <w:rPr>
          <w:noProof/>
          <w:szCs w:val="20"/>
        </w:rPr>
        <w:t xml:space="preserve"> </w:t>
      </w:r>
      <w:r w:rsidR="00934E19">
        <w:rPr>
          <w:noProof/>
          <w:szCs w:val="20"/>
        </w:rPr>
        <w:t>Based on a projection of historical data on the use of ESOPs by private companies presented in the PEPPER V Report</w:t>
      </w:r>
      <w:r w:rsidR="00934E19">
        <w:rPr>
          <w:rStyle w:val="FootnoteReference"/>
          <w:noProof/>
          <w:szCs w:val="20"/>
        </w:rPr>
        <w:footnoteReference w:id="26"/>
      </w:r>
      <w:r w:rsidR="00934E19">
        <w:rPr>
          <w:noProof/>
          <w:szCs w:val="20"/>
        </w:rPr>
        <w:t>, i</w:t>
      </w:r>
      <w:r w:rsidR="002965A9">
        <w:rPr>
          <w:noProof/>
          <w:szCs w:val="20"/>
        </w:rPr>
        <w:t xml:space="preserve">t is estimated that </w:t>
      </w:r>
      <w:r w:rsidR="003C32C3">
        <w:rPr>
          <w:noProof/>
          <w:szCs w:val="20"/>
        </w:rPr>
        <w:t xml:space="preserve">6.4% of </w:t>
      </w:r>
      <w:r w:rsidR="00B51386">
        <w:rPr>
          <w:noProof/>
          <w:szCs w:val="20"/>
        </w:rPr>
        <w:t>28</w:t>
      </w:r>
      <w:r w:rsidR="00B51386" w:rsidRPr="00B93E19">
        <w:rPr>
          <w:noProof/>
          <w:szCs w:val="20"/>
          <w:vertAlign w:val="superscript"/>
        </w:rPr>
        <w:t>th</w:t>
      </w:r>
      <w:r w:rsidR="00B51386">
        <w:rPr>
          <w:noProof/>
          <w:szCs w:val="20"/>
        </w:rPr>
        <w:t xml:space="preserve"> regime companies </w:t>
      </w:r>
      <w:r w:rsidR="002965A9">
        <w:rPr>
          <w:noProof/>
          <w:szCs w:val="20"/>
        </w:rPr>
        <w:t xml:space="preserve">would </w:t>
      </w:r>
      <w:r w:rsidR="00B51386">
        <w:rPr>
          <w:noProof/>
          <w:szCs w:val="20"/>
        </w:rPr>
        <w:t xml:space="preserve">set up an </w:t>
      </w:r>
      <w:r w:rsidR="00A53E32">
        <w:rPr>
          <w:noProof/>
          <w:szCs w:val="20"/>
        </w:rPr>
        <w:t>ESOP</w:t>
      </w:r>
      <w:r w:rsidR="00F17D97">
        <w:rPr>
          <w:noProof/>
          <w:szCs w:val="20"/>
        </w:rPr>
        <w:t>.</w:t>
      </w:r>
    </w:p>
    <w:p w14:paraId="587714F4" w14:textId="0F76A75F" w:rsidR="00795FC2" w:rsidRDefault="00BA09C9" w:rsidP="0047481B">
      <w:pPr>
        <w:spacing w:after="0"/>
        <w:jc w:val="both"/>
        <w:rPr>
          <w:b/>
          <w:bCs/>
          <w:i/>
          <w:iCs/>
          <w:noProof/>
          <w:szCs w:val="20"/>
          <w:lang w:val="en-US"/>
        </w:rPr>
      </w:pPr>
      <w:r w:rsidRPr="003B14BB">
        <w:rPr>
          <w:b/>
          <w:noProof/>
          <w:szCs w:val="20"/>
        </w:rPr>
        <w:t xml:space="preserve">Policy Option </w:t>
      </w:r>
      <w:r w:rsidR="00463D08">
        <w:rPr>
          <w:b/>
          <w:noProof/>
          <w:szCs w:val="20"/>
        </w:rPr>
        <w:t>5</w:t>
      </w:r>
      <w:r w:rsidRPr="003B14BB">
        <w:rPr>
          <w:b/>
          <w:noProof/>
          <w:szCs w:val="20"/>
        </w:rPr>
        <w:t>b</w:t>
      </w:r>
      <w:r>
        <w:rPr>
          <w:b/>
          <w:noProof/>
          <w:szCs w:val="20"/>
        </w:rPr>
        <w:t xml:space="preserve">: Option </w:t>
      </w:r>
      <w:r w:rsidR="00463D08">
        <w:rPr>
          <w:b/>
          <w:noProof/>
          <w:szCs w:val="20"/>
        </w:rPr>
        <w:t>5</w:t>
      </w:r>
      <w:r>
        <w:rPr>
          <w:b/>
          <w:noProof/>
          <w:szCs w:val="20"/>
        </w:rPr>
        <w:t xml:space="preserve">a + </w:t>
      </w:r>
      <w:r w:rsidR="00795FC2" w:rsidRPr="00795FC2">
        <w:rPr>
          <w:b/>
          <w:noProof/>
          <w:szCs w:val="20"/>
        </w:rPr>
        <w:t>introduc</w:t>
      </w:r>
      <w:r w:rsidR="004321BC">
        <w:rPr>
          <w:b/>
          <w:noProof/>
          <w:szCs w:val="20"/>
        </w:rPr>
        <w:t>e</w:t>
      </w:r>
      <w:r w:rsidR="00795FC2" w:rsidRPr="00795FC2">
        <w:rPr>
          <w:b/>
          <w:noProof/>
          <w:szCs w:val="20"/>
        </w:rPr>
        <w:t xml:space="preserve"> an optional common employee stock ownership scheme for 28</w:t>
      </w:r>
      <w:r w:rsidR="00795FC2" w:rsidRPr="00795FC2">
        <w:rPr>
          <w:b/>
          <w:noProof/>
          <w:szCs w:val="20"/>
          <w:vertAlign w:val="superscript"/>
        </w:rPr>
        <w:t>th</w:t>
      </w:r>
      <w:r w:rsidR="00795FC2" w:rsidRPr="00795FC2">
        <w:rPr>
          <w:b/>
          <w:noProof/>
          <w:szCs w:val="20"/>
        </w:rPr>
        <w:t xml:space="preserve"> regime companies</w:t>
      </w:r>
      <w:r w:rsidR="00877621">
        <w:rPr>
          <w:b/>
          <w:noProof/>
          <w:szCs w:val="20"/>
        </w:rPr>
        <w:t>, based on employee stock options and with common criteria</w:t>
      </w:r>
      <w:r w:rsidR="00795FC2" w:rsidRPr="00795FC2">
        <w:rPr>
          <w:b/>
          <w:bCs/>
          <w:i/>
          <w:iCs/>
          <w:noProof/>
          <w:szCs w:val="20"/>
          <w:lang w:val="en-US"/>
        </w:rPr>
        <w:t xml:space="preserve"> </w:t>
      </w:r>
      <w:r w:rsidR="00877621" w:rsidRPr="00795FC2">
        <w:rPr>
          <w:b/>
          <w:noProof/>
          <w:szCs w:val="20"/>
        </w:rPr>
        <w:t>(EU-ESO)</w:t>
      </w:r>
    </w:p>
    <w:p w14:paraId="30F9A561" w14:textId="75FC6A5E" w:rsidR="00AE45CA" w:rsidRDefault="00B54E92" w:rsidP="0047481B">
      <w:pPr>
        <w:spacing w:after="0"/>
        <w:jc w:val="both"/>
        <w:rPr>
          <w:noProof/>
          <w:szCs w:val="20"/>
        </w:rPr>
      </w:pPr>
      <w:r>
        <w:rPr>
          <w:noProof/>
          <w:szCs w:val="20"/>
        </w:rPr>
        <w:t xml:space="preserve">Under this policy option, </w:t>
      </w:r>
      <w:r w:rsidR="0003443D">
        <w:rPr>
          <w:noProof/>
          <w:szCs w:val="20"/>
        </w:rPr>
        <w:t>companies would be provided with a</w:t>
      </w:r>
      <w:r w:rsidR="00884079">
        <w:rPr>
          <w:noProof/>
          <w:szCs w:val="20"/>
        </w:rPr>
        <w:t>n optional</w:t>
      </w:r>
      <w:r w:rsidR="0003443D">
        <w:rPr>
          <w:noProof/>
          <w:szCs w:val="20"/>
        </w:rPr>
        <w:t xml:space="preserve"> common </w:t>
      </w:r>
      <w:r w:rsidR="001636EA">
        <w:rPr>
          <w:noProof/>
          <w:szCs w:val="20"/>
        </w:rPr>
        <w:t xml:space="preserve">EU </w:t>
      </w:r>
      <w:r w:rsidR="009D24B0">
        <w:rPr>
          <w:noProof/>
          <w:szCs w:val="20"/>
        </w:rPr>
        <w:t>employee stock ownership</w:t>
      </w:r>
      <w:r w:rsidR="001D4D16">
        <w:rPr>
          <w:noProof/>
          <w:szCs w:val="20"/>
        </w:rPr>
        <w:t xml:space="preserve"> </w:t>
      </w:r>
      <w:r w:rsidR="00AA2E7E">
        <w:rPr>
          <w:noProof/>
          <w:szCs w:val="20"/>
        </w:rPr>
        <w:t>scheme</w:t>
      </w:r>
      <w:r w:rsidR="00A53E32">
        <w:rPr>
          <w:noProof/>
          <w:szCs w:val="20"/>
        </w:rPr>
        <w:t xml:space="preserve"> which </w:t>
      </w:r>
      <w:r w:rsidR="00116A1C">
        <w:rPr>
          <w:noProof/>
          <w:szCs w:val="20"/>
        </w:rPr>
        <w:t>is based on stock options</w:t>
      </w:r>
      <w:r w:rsidR="005B0485">
        <w:rPr>
          <w:noProof/>
          <w:szCs w:val="20"/>
        </w:rPr>
        <w:t xml:space="preserve">, </w:t>
      </w:r>
      <w:r w:rsidR="000F016C">
        <w:rPr>
          <w:noProof/>
          <w:szCs w:val="20"/>
        </w:rPr>
        <w:t xml:space="preserve">facilitating the emergence of low-cost </w:t>
      </w:r>
      <w:r w:rsidR="00156AF8">
        <w:rPr>
          <w:noProof/>
          <w:szCs w:val="20"/>
        </w:rPr>
        <w:t>professional advice on</w:t>
      </w:r>
      <w:r w:rsidR="00F5709D">
        <w:rPr>
          <w:noProof/>
          <w:szCs w:val="20"/>
        </w:rPr>
        <w:t xml:space="preserve"> this</w:t>
      </w:r>
      <w:r w:rsidR="00156AF8">
        <w:rPr>
          <w:noProof/>
          <w:szCs w:val="20"/>
        </w:rPr>
        <w:t xml:space="preserve"> </w:t>
      </w:r>
      <w:r w:rsidR="00BB63B9">
        <w:rPr>
          <w:noProof/>
          <w:szCs w:val="20"/>
        </w:rPr>
        <w:t>EU-</w:t>
      </w:r>
      <w:r w:rsidR="00ED1FFA">
        <w:rPr>
          <w:noProof/>
          <w:szCs w:val="20"/>
        </w:rPr>
        <w:t>ESO</w:t>
      </w:r>
      <w:r w:rsidR="00792529">
        <w:rPr>
          <w:noProof/>
          <w:szCs w:val="20"/>
        </w:rPr>
        <w:t xml:space="preserve"> throughout the EU</w:t>
      </w:r>
      <w:r w:rsidR="001636EA">
        <w:rPr>
          <w:noProof/>
          <w:szCs w:val="20"/>
        </w:rPr>
        <w:t xml:space="preserve">. </w:t>
      </w:r>
      <w:r w:rsidR="00F16728">
        <w:rPr>
          <w:noProof/>
          <w:szCs w:val="20"/>
        </w:rPr>
        <w:t>I</w:t>
      </w:r>
      <w:r w:rsidR="004275FE">
        <w:rPr>
          <w:noProof/>
          <w:szCs w:val="20"/>
        </w:rPr>
        <w:t>nternal company</w:t>
      </w:r>
      <w:r w:rsidR="00302FA9">
        <w:rPr>
          <w:noProof/>
          <w:szCs w:val="20"/>
        </w:rPr>
        <w:t xml:space="preserve"> time spent </w:t>
      </w:r>
      <w:r w:rsidR="00F16728">
        <w:rPr>
          <w:noProof/>
          <w:szCs w:val="20"/>
        </w:rPr>
        <w:t>is</w:t>
      </w:r>
      <w:r w:rsidR="00302FA9">
        <w:rPr>
          <w:noProof/>
          <w:szCs w:val="20"/>
        </w:rPr>
        <w:t xml:space="preserve"> </w:t>
      </w:r>
      <w:r w:rsidR="00BB2A3C">
        <w:rPr>
          <w:noProof/>
          <w:szCs w:val="20"/>
        </w:rPr>
        <w:t>assume</w:t>
      </w:r>
      <w:r w:rsidR="004275FE">
        <w:rPr>
          <w:noProof/>
          <w:szCs w:val="20"/>
        </w:rPr>
        <w:t xml:space="preserve">d </w:t>
      </w:r>
      <w:r w:rsidR="00BB2A3C">
        <w:rPr>
          <w:noProof/>
          <w:szCs w:val="20"/>
        </w:rPr>
        <w:t xml:space="preserve">to </w:t>
      </w:r>
      <w:r w:rsidR="00F16728">
        <w:rPr>
          <w:noProof/>
          <w:szCs w:val="20"/>
        </w:rPr>
        <w:t>remain unaffected</w:t>
      </w:r>
      <w:r w:rsidR="00A07105">
        <w:rPr>
          <w:noProof/>
          <w:szCs w:val="20"/>
        </w:rPr>
        <w:t>,</w:t>
      </w:r>
      <w:r w:rsidR="00632093">
        <w:rPr>
          <w:noProof/>
          <w:szCs w:val="20"/>
        </w:rPr>
        <w:t xml:space="preserve"> while </w:t>
      </w:r>
      <w:r w:rsidR="00B22F20">
        <w:rPr>
          <w:noProof/>
          <w:szCs w:val="20"/>
        </w:rPr>
        <w:t>costs</w:t>
      </w:r>
      <w:r w:rsidR="0061059C">
        <w:rPr>
          <w:noProof/>
          <w:szCs w:val="20"/>
        </w:rPr>
        <w:t xml:space="preserve"> </w:t>
      </w:r>
      <w:r w:rsidR="00EF035D">
        <w:rPr>
          <w:noProof/>
          <w:szCs w:val="20"/>
        </w:rPr>
        <w:t xml:space="preserve">per company </w:t>
      </w:r>
      <w:r w:rsidR="0061059C">
        <w:rPr>
          <w:noProof/>
          <w:szCs w:val="20"/>
        </w:rPr>
        <w:t>for professional advice</w:t>
      </w:r>
      <w:r w:rsidR="00EF035D">
        <w:rPr>
          <w:noProof/>
          <w:szCs w:val="20"/>
        </w:rPr>
        <w:t xml:space="preserve"> on setting up </w:t>
      </w:r>
      <w:r w:rsidR="00BB63B9">
        <w:rPr>
          <w:noProof/>
          <w:szCs w:val="20"/>
        </w:rPr>
        <w:t>the EU-ESO</w:t>
      </w:r>
      <w:r w:rsidR="00B22F20">
        <w:rPr>
          <w:noProof/>
          <w:szCs w:val="20"/>
        </w:rPr>
        <w:t xml:space="preserve"> are </w:t>
      </w:r>
      <w:r w:rsidR="00C21FCD">
        <w:rPr>
          <w:noProof/>
          <w:szCs w:val="20"/>
        </w:rPr>
        <w:t xml:space="preserve">conservatively </w:t>
      </w:r>
      <w:r w:rsidR="00F52747">
        <w:rPr>
          <w:noProof/>
          <w:szCs w:val="20"/>
        </w:rPr>
        <w:t>estimated to</w:t>
      </w:r>
      <w:r w:rsidR="0061059C">
        <w:rPr>
          <w:noProof/>
          <w:szCs w:val="20"/>
        </w:rPr>
        <w:t xml:space="preserve"> </w:t>
      </w:r>
      <w:r w:rsidR="002C10EB">
        <w:rPr>
          <w:noProof/>
          <w:szCs w:val="20"/>
        </w:rPr>
        <w:t xml:space="preserve">decline </w:t>
      </w:r>
      <w:r w:rsidR="001F4D00">
        <w:rPr>
          <w:noProof/>
          <w:szCs w:val="20"/>
        </w:rPr>
        <w:t xml:space="preserve">by 10% </w:t>
      </w:r>
      <w:r w:rsidR="001F4D00" w:rsidDel="00491962">
        <w:rPr>
          <w:noProof/>
          <w:szCs w:val="20"/>
        </w:rPr>
        <w:t xml:space="preserve">compared with the </w:t>
      </w:r>
      <w:r w:rsidR="00AE30A0" w:rsidDel="00491962">
        <w:rPr>
          <w:noProof/>
          <w:szCs w:val="20"/>
        </w:rPr>
        <w:t>baseline</w:t>
      </w:r>
      <w:r w:rsidR="009728FF">
        <w:rPr>
          <w:noProof/>
          <w:szCs w:val="20"/>
        </w:rPr>
        <w:t>,</w:t>
      </w:r>
      <w:r w:rsidR="00915588" w:rsidDel="00491962">
        <w:rPr>
          <w:noProof/>
          <w:szCs w:val="20"/>
        </w:rPr>
        <w:t xml:space="preserve"> </w:t>
      </w:r>
      <w:r w:rsidR="001F4D00">
        <w:rPr>
          <w:noProof/>
          <w:szCs w:val="20"/>
        </w:rPr>
        <w:t>base</w:t>
      </w:r>
      <w:r w:rsidR="00EE69E0">
        <w:rPr>
          <w:noProof/>
          <w:szCs w:val="20"/>
        </w:rPr>
        <w:t>d on the independent expert report for the European Innovation Act and expert judgment</w:t>
      </w:r>
      <w:r w:rsidR="0091709C">
        <w:rPr>
          <w:noProof/>
          <w:szCs w:val="20"/>
        </w:rPr>
        <w:t>.</w:t>
      </w:r>
      <w:r w:rsidR="00E1383B">
        <w:rPr>
          <w:noProof/>
          <w:szCs w:val="20"/>
        </w:rPr>
        <w:t xml:space="preserve"> </w:t>
      </w:r>
      <w:r w:rsidR="00BB63B9">
        <w:rPr>
          <w:noProof/>
          <w:szCs w:val="20"/>
        </w:rPr>
        <w:t xml:space="preserve">Due to </w:t>
      </w:r>
      <w:r w:rsidR="00D928AA">
        <w:rPr>
          <w:noProof/>
          <w:szCs w:val="20"/>
        </w:rPr>
        <w:t xml:space="preserve">the cost-effectiveness of the </w:t>
      </w:r>
      <w:r>
        <w:rPr>
          <w:noProof/>
          <w:szCs w:val="20"/>
        </w:rPr>
        <w:t xml:space="preserve">scheme </w:t>
      </w:r>
      <w:r w:rsidR="00E57D19">
        <w:rPr>
          <w:noProof/>
          <w:szCs w:val="20"/>
        </w:rPr>
        <w:t>and its EU-wide recognisability to companies and employees</w:t>
      </w:r>
      <w:r w:rsidR="00491962">
        <w:rPr>
          <w:noProof/>
          <w:szCs w:val="20"/>
        </w:rPr>
        <w:t xml:space="preserve">, </w:t>
      </w:r>
      <w:r w:rsidR="00C02932">
        <w:rPr>
          <w:noProof/>
          <w:szCs w:val="20"/>
        </w:rPr>
        <w:t xml:space="preserve">an increased uptake of </w:t>
      </w:r>
      <w:r w:rsidR="00F16CF7">
        <w:rPr>
          <w:noProof/>
          <w:szCs w:val="20"/>
        </w:rPr>
        <w:t>8%</w:t>
      </w:r>
      <w:r w:rsidR="00FA11DB">
        <w:rPr>
          <w:noProof/>
          <w:szCs w:val="20"/>
        </w:rPr>
        <w:t xml:space="preserve"> of</w:t>
      </w:r>
      <w:r w:rsidR="00E0253E">
        <w:rPr>
          <w:noProof/>
          <w:szCs w:val="20"/>
        </w:rPr>
        <w:t xml:space="preserve"> the EU-ESO by</w:t>
      </w:r>
      <w:r w:rsidR="00FA11DB">
        <w:rPr>
          <w:noProof/>
          <w:szCs w:val="20"/>
        </w:rPr>
        <w:t xml:space="preserve"> 28</w:t>
      </w:r>
      <w:r w:rsidR="00FA11DB" w:rsidRPr="00470FF3">
        <w:rPr>
          <w:noProof/>
          <w:szCs w:val="20"/>
          <w:vertAlign w:val="superscript"/>
        </w:rPr>
        <w:t>th</w:t>
      </w:r>
      <w:r w:rsidR="00FA11DB">
        <w:rPr>
          <w:noProof/>
          <w:szCs w:val="20"/>
        </w:rPr>
        <w:t xml:space="preserve"> regime companies</w:t>
      </w:r>
      <w:r w:rsidR="00F16CF7">
        <w:rPr>
          <w:noProof/>
          <w:szCs w:val="20"/>
        </w:rPr>
        <w:t xml:space="preserve"> (representing a 25% higher </w:t>
      </w:r>
      <w:r w:rsidR="0064536D">
        <w:rPr>
          <w:noProof/>
          <w:szCs w:val="20"/>
        </w:rPr>
        <w:t xml:space="preserve">ESOP </w:t>
      </w:r>
      <w:r w:rsidR="00F16CF7">
        <w:rPr>
          <w:noProof/>
          <w:szCs w:val="20"/>
        </w:rPr>
        <w:t>uptake than under PO5a</w:t>
      </w:r>
      <w:r w:rsidR="00FA11DB">
        <w:rPr>
          <w:noProof/>
          <w:szCs w:val="20"/>
        </w:rPr>
        <w:t>)</w:t>
      </w:r>
      <w:r w:rsidR="00491962">
        <w:rPr>
          <w:noProof/>
          <w:szCs w:val="20"/>
        </w:rPr>
        <w:t xml:space="preserve"> </w:t>
      </w:r>
      <w:r w:rsidR="00FA11DB">
        <w:rPr>
          <w:noProof/>
          <w:szCs w:val="20"/>
        </w:rPr>
        <w:t>is</w:t>
      </w:r>
      <w:r w:rsidR="00E0253E">
        <w:rPr>
          <w:noProof/>
          <w:szCs w:val="20"/>
        </w:rPr>
        <w:t xml:space="preserve"> assumed</w:t>
      </w:r>
      <w:r w:rsidR="000C3BB2">
        <w:rPr>
          <w:noProof/>
          <w:szCs w:val="20"/>
        </w:rPr>
        <w:t>.</w:t>
      </w:r>
    </w:p>
    <w:p w14:paraId="429A1B0F" w14:textId="426DB80D" w:rsidR="00BA09C9" w:rsidRDefault="00BA09C9" w:rsidP="0047481B">
      <w:pPr>
        <w:spacing w:after="0"/>
        <w:jc w:val="both"/>
        <w:rPr>
          <w:b/>
          <w:noProof/>
          <w:szCs w:val="20"/>
        </w:rPr>
      </w:pPr>
      <w:r w:rsidRPr="003B14BB">
        <w:rPr>
          <w:b/>
          <w:noProof/>
          <w:szCs w:val="20"/>
        </w:rPr>
        <w:t xml:space="preserve">Policy Option </w:t>
      </w:r>
      <w:r w:rsidR="00463D08">
        <w:rPr>
          <w:b/>
          <w:noProof/>
          <w:szCs w:val="20"/>
        </w:rPr>
        <w:t>5</w:t>
      </w:r>
      <w:r w:rsidRPr="003B14BB">
        <w:rPr>
          <w:b/>
          <w:noProof/>
          <w:szCs w:val="20"/>
        </w:rPr>
        <w:t>c</w:t>
      </w:r>
      <w:r>
        <w:rPr>
          <w:b/>
          <w:noProof/>
          <w:szCs w:val="20"/>
        </w:rPr>
        <w:t xml:space="preserve">: Option </w:t>
      </w:r>
      <w:r w:rsidR="00463D08">
        <w:rPr>
          <w:b/>
          <w:noProof/>
          <w:szCs w:val="20"/>
        </w:rPr>
        <w:t>5</w:t>
      </w:r>
      <w:r>
        <w:rPr>
          <w:b/>
          <w:noProof/>
          <w:szCs w:val="20"/>
        </w:rPr>
        <w:t xml:space="preserve">b + </w:t>
      </w:r>
      <w:r w:rsidR="0047481B" w:rsidRPr="0047481B">
        <w:rPr>
          <w:b/>
          <w:noProof/>
          <w:szCs w:val="20"/>
        </w:rPr>
        <w:t>provid</w:t>
      </w:r>
      <w:r w:rsidR="00D07D9E">
        <w:rPr>
          <w:b/>
          <w:noProof/>
          <w:szCs w:val="20"/>
        </w:rPr>
        <w:t>e</w:t>
      </w:r>
      <w:r w:rsidR="0047481B" w:rsidRPr="0047481B">
        <w:rPr>
          <w:b/>
          <w:noProof/>
          <w:szCs w:val="20"/>
        </w:rPr>
        <w:t xml:space="preserve"> harmonised timing for the taxation of employee </w:t>
      </w:r>
      <w:r w:rsidR="003E5EF7" w:rsidRPr="00746405">
        <w:rPr>
          <w:b/>
          <w:noProof/>
          <w:szCs w:val="20"/>
        </w:rPr>
        <w:t>stock options granted in the context of the EU-ESO</w:t>
      </w:r>
      <w:r w:rsidR="003E5EF7" w:rsidRPr="0047481B">
        <w:rPr>
          <w:b/>
          <w:noProof/>
          <w:szCs w:val="20"/>
        </w:rPr>
        <w:t xml:space="preserve"> </w:t>
      </w:r>
    </w:p>
    <w:p w14:paraId="5A09944B" w14:textId="1ED6200F" w:rsidR="00322A54" w:rsidRDefault="0038516E" w:rsidP="0047481B">
      <w:pPr>
        <w:jc w:val="both"/>
        <w:rPr>
          <w:noProof/>
          <w:szCs w:val="20"/>
          <w:highlight w:val="yellow"/>
          <w:lang w:val="en-US"/>
        </w:rPr>
      </w:pPr>
      <w:r>
        <w:rPr>
          <w:noProof/>
          <w:szCs w:val="20"/>
        </w:rPr>
        <w:t>In addition to option 5</w:t>
      </w:r>
      <w:r w:rsidR="009D0B3B">
        <w:rPr>
          <w:noProof/>
          <w:szCs w:val="20"/>
        </w:rPr>
        <w:t>b</w:t>
      </w:r>
      <w:r w:rsidR="00A840E7">
        <w:rPr>
          <w:noProof/>
          <w:szCs w:val="20"/>
        </w:rPr>
        <w:t xml:space="preserve">, </w:t>
      </w:r>
      <w:r w:rsidR="005042D6">
        <w:rPr>
          <w:noProof/>
          <w:szCs w:val="20"/>
        </w:rPr>
        <w:t xml:space="preserve">the timing of </w:t>
      </w:r>
      <w:r w:rsidR="00A840E7">
        <w:rPr>
          <w:noProof/>
          <w:szCs w:val="20"/>
        </w:rPr>
        <w:t>t</w:t>
      </w:r>
      <w:r w:rsidR="007A3E59">
        <w:rPr>
          <w:noProof/>
          <w:szCs w:val="20"/>
        </w:rPr>
        <w:t>axation of employee</w:t>
      </w:r>
      <w:r w:rsidR="00AF74F2">
        <w:rPr>
          <w:noProof/>
          <w:szCs w:val="20"/>
        </w:rPr>
        <w:t xml:space="preserve"> </w:t>
      </w:r>
      <w:r w:rsidR="007A3E59">
        <w:rPr>
          <w:noProof/>
          <w:szCs w:val="20"/>
        </w:rPr>
        <w:t>s</w:t>
      </w:r>
      <w:r w:rsidR="00AF74F2">
        <w:rPr>
          <w:noProof/>
          <w:szCs w:val="20"/>
        </w:rPr>
        <w:t>tock options granted in the context of</w:t>
      </w:r>
      <w:r w:rsidR="007A3E59">
        <w:rPr>
          <w:noProof/>
          <w:szCs w:val="20"/>
        </w:rPr>
        <w:t xml:space="preserve"> </w:t>
      </w:r>
      <w:r w:rsidR="00A840E7">
        <w:rPr>
          <w:noProof/>
          <w:szCs w:val="20"/>
        </w:rPr>
        <w:t>the optional common EU</w:t>
      </w:r>
      <w:r w:rsidR="00B27278">
        <w:rPr>
          <w:noProof/>
          <w:szCs w:val="20"/>
        </w:rPr>
        <w:t>-ESO</w:t>
      </w:r>
      <w:r w:rsidR="00A840E7" w:rsidDel="00B27278">
        <w:rPr>
          <w:noProof/>
          <w:szCs w:val="20"/>
        </w:rPr>
        <w:t xml:space="preserve"> </w:t>
      </w:r>
      <w:r w:rsidR="00A840E7">
        <w:rPr>
          <w:noProof/>
          <w:szCs w:val="20"/>
        </w:rPr>
        <w:t xml:space="preserve">would be </w:t>
      </w:r>
      <w:r w:rsidR="00B53187">
        <w:rPr>
          <w:noProof/>
          <w:szCs w:val="20"/>
        </w:rPr>
        <w:t>harmonised throughout the EU</w:t>
      </w:r>
      <w:r w:rsidR="006733E6">
        <w:rPr>
          <w:noProof/>
          <w:szCs w:val="20"/>
        </w:rPr>
        <w:t xml:space="preserve">, deferring it to the point of </w:t>
      </w:r>
      <w:r w:rsidR="00B27278">
        <w:rPr>
          <w:noProof/>
          <w:szCs w:val="20"/>
        </w:rPr>
        <w:t>disposal</w:t>
      </w:r>
      <w:r w:rsidR="006733E6">
        <w:rPr>
          <w:noProof/>
          <w:szCs w:val="20"/>
        </w:rPr>
        <w:t xml:space="preserve"> of the shares </w:t>
      </w:r>
      <w:r w:rsidR="006B24AF">
        <w:rPr>
          <w:noProof/>
          <w:szCs w:val="20"/>
        </w:rPr>
        <w:t>acquired through the</w:t>
      </w:r>
      <w:r w:rsidR="001B0700">
        <w:rPr>
          <w:noProof/>
          <w:szCs w:val="20"/>
        </w:rPr>
        <w:t xml:space="preserve"> scheme.</w:t>
      </w:r>
      <w:r w:rsidR="00A45596">
        <w:rPr>
          <w:noProof/>
          <w:szCs w:val="20"/>
        </w:rPr>
        <w:t xml:space="preserve"> Internal company time spent is again assumed to </w:t>
      </w:r>
      <w:r w:rsidR="00FD4FA8">
        <w:rPr>
          <w:noProof/>
          <w:szCs w:val="20"/>
        </w:rPr>
        <w:t xml:space="preserve">remain constant while costs per company for professional </w:t>
      </w:r>
      <w:r w:rsidR="00A118DC">
        <w:rPr>
          <w:noProof/>
          <w:szCs w:val="20"/>
        </w:rPr>
        <w:t>advice</w:t>
      </w:r>
      <w:r w:rsidR="00FD4FA8">
        <w:rPr>
          <w:noProof/>
          <w:szCs w:val="20"/>
        </w:rPr>
        <w:t xml:space="preserve"> </w:t>
      </w:r>
      <w:r w:rsidR="00C1117A">
        <w:rPr>
          <w:noProof/>
          <w:szCs w:val="20"/>
        </w:rPr>
        <w:t xml:space="preserve">on setting up </w:t>
      </w:r>
      <w:r w:rsidR="00203740">
        <w:rPr>
          <w:noProof/>
          <w:szCs w:val="20"/>
        </w:rPr>
        <w:t>the EU-</w:t>
      </w:r>
      <w:r w:rsidR="00C1117A">
        <w:rPr>
          <w:noProof/>
          <w:szCs w:val="20"/>
        </w:rPr>
        <w:t>ESO</w:t>
      </w:r>
      <w:r w:rsidR="00705F49">
        <w:rPr>
          <w:noProof/>
          <w:szCs w:val="20"/>
        </w:rPr>
        <w:t xml:space="preserve"> are estimated to further decline </w:t>
      </w:r>
      <w:r w:rsidR="008A74D6">
        <w:rPr>
          <w:noProof/>
          <w:szCs w:val="20"/>
        </w:rPr>
        <w:t xml:space="preserve">due to </w:t>
      </w:r>
      <w:r w:rsidR="00B45B8E">
        <w:rPr>
          <w:noProof/>
          <w:szCs w:val="20"/>
        </w:rPr>
        <w:t>reduced</w:t>
      </w:r>
      <w:r w:rsidR="00110D35">
        <w:rPr>
          <w:noProof/>
          <w:szCs w:val="20"/>
        </w:rPr>
        <w:t xml:space="preserve"> costs for</w:t>
      </w:r>
      <w:r w:rsidR="00B45B8E">
        <w:rPr>
          <w:noProof/>
          <w:szCs w:val="20"/>
        </w:rPr>
        <w:t xml:space="preserve"> </w:t>
      </w:r>
      <w:r w:rsidR="00765DCF">
        <w:rPr>
          <w:noProof/>
          <w:szCs w:val="20"/>
        </w:rPr>
        <w:t>tax advice</w:t>
      </w:r>
      <w:r w:rsidR="00E07D84">
        <w:rPr>
          <w:noProof/>
          <w:szCs w:val="20"/>
        </w:rPr>
        <w:t>, leading to a 15% cost reduction</w:t>
      </w:r>
      <w:r w:rsidR="008B33E4">
        <w:rPr>
          <w:noProof/>
          <w:szCs w:val="20"/>
        </w:rPr>
        <w:t xml:space="preserve"> compared with the baseline.</w:t>
      </w:r>
      <w:r w:rsidR="00765DCF">
        <w:rPr>
          <w:noProof/>
          <w:szCs w:val="20"/>
        </w:rPr>
        <w:t xml:space="preserve"> </w:t>
      </w:r>
      <w:r w:rsidR="005646A0">
        <w:rPr>
          <w:noProof/>
          <w:szCs w:val="20"/>
        </w:rPr>
        <w:t xml:space="preserve">In light of </w:t>
      </w:r>
      <w:r w:rsidR="00320436">
        <w:rPr>
          <w:noProof/>
          <w:szCs w:val="20"/>
        </w:rPr>
        <w:t>the higher</w:t>
      </w:r>
      <w:r w:rsidR="005646A0">
        <w:rPr>
          <w:noProof/>
          <w:szCs w:val="20"/>
        </w:rPr>
        <w:t xml:space="preserve"> </w:t>
      </w:r>
      <w:r w:rsidR="002451D3">
        <w:rPr>
          <w:noProof/>
          <w:szCs w:val="20"/>
        </w:rPr>
        <w:t>cost-</w:t>
      </w:r>
      <w:r w:rsidR="00320436">
        <w:rPr>
          <w:noProof/>
          <w:szCs w:val="20"/>
        </w:rPr>
        <w:t>effecti</w:t>
      </w:r>
      <w:r w:rsidR="005646A0">
        <w:rPr>
          <w:noProof/>
          <w:szCs w:val="20"/>
        </w:rPr>
        <w:t>veness of the EU-ESOP</w:t>
      </w:r>
      <w:r w:rsidR="00320436">
        <w:rPr>
          <w:noProof/>
          <w:szCs w:val="20"/>
        </w:rPr>
        <w:t>, an</w:t>
      </w:r>
      <w:r w:rsidR="00B740BA">
        <w:rPr>
          <w:noProof/>
          <w:szCs w:val="20"/>
        </w:rPr>
        <w:t xml:space="preserve"> even higher uptake of 10% of the EU-ESO by 28</w:t>
      </w:r>
      <w:r w:rsidR="00B740BA" w:rsidRPr="00470FF3">
        <w:rPr>
          <w:noProof/>
          <w:szCs w:val="20"/>
          <w:vertAlign w:val="superscript"/>
        </w:rPr>
        <w:t>th</w:t>
      </w:r>
      <w:r w:rsidR="00B740BA">
        <w:rPr>
          <w:noProof/>
          <w:szCs w:val="20"/>
        </w:rPr>
        <w:t xml:space="preserve"> regime companies (representing a 25%</w:t>
      </w:r>
      <w:r w:rsidR="002935CF">
        <w:rPr>
          <w:noProof/>
          <w:szCs w:val="20"/>
        </w:rPr>
        <w:t xml:space="preserve"> higher uptake than under PO5b)</w:t>
      </w:r>
      <w:r w:rsidR="00320436">
        <w:rPr>
          <w:noProof/>
          <w:szCs w:val="20"/>
        </w:rPr>
        <w:t xml:space="preserve"> </w:t>
      </w:r>
      <w:r w:rsidR="005646A0">
        <w:rPr>
          <w:noProof/>
          <w:szCs w:val="20"/>
        </w:rPr>
        <w:t xml:space="preserve"> </w:t>
      </w:r>
      <w:r w:rsidR="0008147E">
        <w:rPr>
          <w:noProof/>
          <w:szCs w:val="20"/>
        </w:rPr>
        <w:t>is assumed</w:t>
      </w:r>
      <w:r w:rsidR="003A355D">
        <w:rPr>
          <w:noProof/>
          <w:szCs w:val="20"/>
        </w:rPr>
        <w:t>.</w:t>
      </w:r>
      <w:r w:rsidR="00705F49">
        <w:rPr>
          <w:noProof/>
          <w:szCs w:val="20"/>
        </w:rPr>
        <w:t xml:space="preserve"> </w:t>
      </w:r>
    </w:p>
    <w:p w14:paraId="3ECFA3E6" w14:textId="1BC8C4AD" w:rsidR="00E72B57" w:rsidRPr="00E72B57" w:rsidRDefault="00E3722D" w:rsidP="005466D8">
      <w:pPr>
        <w:jc w:val="both"/>
        <w:rPr>
          <w:rFonts w:ascii="Calibri" w:eastAsia="Calibri" w:hAnsi="Calibri" w:cs="Arial"/>
          <w:noProof/>
          <w:color w:val="auto"/>
          <w:kern w:val="2"/>
          <w:sz w:val="22"/>
          <w:lang w:val="en-IE"/>
          <w14:ligatures w14:val="standardContextual"/>
        </w:rPr>
      </w:pPr>
      <w:r>
        <w:rPr>
          <w:noProof/>
          <w:lang w:val="en-US"/>
        </w:rPr>
        <w:t>Option 5c comes with negative liquidity effects for EU tax authorities</w:t>
      </w:r>
      <w:r w:rsidR="0011414D">
        <w:rPr>
          <w:noProof/>
          <w:lang w:val="en-US"/>
        </w:rPr>
        <w:t xml:space="preserve"> </w:t>
      </w:r>
      <w:r>
        <w:rPr>
          <w:noProof/>
          <w:lang w:val="en-US"/>
        </w:rPr>
        <w:t>due to the tax deferral that occurs in</w:t>
      </w:r>
      <w:r w:rsidR="00235C40">
        <w:rPr>
          <w:noProof/>
          <w:lang w:val="en-US"/>
        </w:rPr>
        <w:t xml:space="preserve"> relation to the employee stock options granted in</w:t>
      </w:r>
      <w:r>
        <w:rPr>
          <w:noProof/>
          <w:lang w:val="en-US"/>
        </w:rPr>
        <w:t xml:space="preserve"> the context of the common EU-ESO</w:t>
      </w:r>
      <w:r w:rsidR="0011414D">
        <w:rPr>
          <w:noProof/>
          <w:lang w:val="en-US"/>
        </w:rPr>
        <w:t>, with corresponding positive liquidity effects for employees</w:t>
      </w:r>
      <w:r>
        <w:rPr>
          <w:noProof/>
          <w:lang w:val="en-US"/>
        </w:rPr>
        <w:t xml:space="preserve">. As </w:t>
      </w:r>
      <w:r w:rsidR="005873D2">
        <w:rPr>
          <w:noProof/>
          <w:lang w:val="en-US"/>
        </w:rPr>
        <w:t>employees</w:t>
      </w:r>
      <w:r>
        <w:rPr>
          <w:noProof/>
          <w:lang w:val="en-US"/>
        </w:rPr>
        <w:t xml:space="preserve"> receive </w:t>
      </w:r>
      <w:r w:rsidR="009F65A5">
        <w:rPr>
          <w:noProof/>
          <w:lang w:val="en-US"/>
        </w:rPr>
        <w:t>stock options and</w:t>
      </w:r>
      <w:r>
        <w:rPr>
          <w:noProof/>
          <w:lang w:val="en-US"/>
        </w:rPr>
        <w:t xml:space="preserve"> shares</w:t>
      </w:r>
      <w:r w:rsidR="009F65A5">
        <w:rPr>
          <w:noProof/>
          <w:lang w:val="en-US"/>
        </w:rPr>
        <w:t xml:space="preserve"> </w:t>
      </w:r>
      <w:r w:rsidR="002E6B2F">
        <w:rPr>
          <w:noProof/>
          <w:lang w:val="en-US"/>
        </w:rPr>
        <w:t>upon</w:t>
      </w:r>
      <w:r w:rsidR="009F65A5">
        <w:rPr>
          <w:noProof/>
          <w:lang w:val="en-US"/>
        </w:rPr>
        <w:t xml:space="preserve"> exerci</w:t>
      </w:r>
      <w:r w:rsidR="002E6B2F">
        <w:rPr>
          <w:noProof/>
          <w:lang w:val="en-US"/>
        </w:rPr>
        <w:t>se</w:t>
      </w:r>
      <w:r w:rsidR="009F65A5">
        <w:rPr>
          <w:noProof/>
          <w:lang w:val="en-US"/>
        </w:rPr>
        <w:t xml:space="preserve"> </w:t>
      </w:r>
      <w:r w:rsidR="002E6B2F">
        <w:rPr>
          <w:noProof/>
          <w:lang w:val="en-US"/>
        </w:rPr>
        <w:t xml:space="preserve">of </w:t>
      </w:r>
      <w:r w:rsidR="009F65A5">
        <w:rPr>
          <w:noProof/>
          <w:lang w:val="en-US"/>
        </w:rPr>
        <w:t>th</w:t>
      </w:r>
      <w:r w:rsidR="002E6B2F">
        <w:rPr>
          <w:noProof/>
          <w:lang w:val="en-US"/>
        </w:rPr>
        <w:t>ose stock options</w:t>
      </w:r>
      <w:r>
        <w:rPr>
          <w:noProof/>
          <w:lang w:val="en-US"/>
        </w:rPr>
        <w:t xml:space="preserve">, taxation would be deferred to the point in time when the corresponding gains are realised. Therefore, tax authorities sustain lower cash-flow at least during the years after starting the new scheme. These costs are estimated </w:t>
      </w:r>
      <w:r w:rsidR="00DB28A5">
        <w:rPr>
          <w:noProof/>
          <w:lang w:val="en-US"/>
        </w:rPr>
        <w:t>on the basis of the</w:t>
      </w:r>
      <w:r w:rsidR="00F61F92">
        <w:rPr>
          <w:noProof/>
          <w:lang w:val="en-US"/>
        </w:rPr>
        <w:t xml:space="preserve"> net</w:t>
      </w:r>
      <w:r w:rsidR="00DB28A5">
        <w:rPr>
          <w:noProof/>
          <w:lang w:val="en-US"/>
        </w:rPr>
        <w:t xml:space="preserve"> take-up rate of the 28</w:t>
      </w:r>
      <w:r w:rsidR="00DB28A5" w:rsidRPr="00BC0D07">
        <w:rPr>
          <w:noProof/>
          <w:vertAlign w:val="superscript"/>
          <w:lang w:val="en-US"/>
        </w:rPr>
        <w:t>th</w:t>
      </w:r>
      <w:r w:rsidR="00DB28A5">
        <w:rPr>
          <w:noProof/>
          <w:lang w:val="en-US"/>
        </w:rPr>
        <w:t xml:space="preserve"> regime </w:t>
      </w:r>
      <w:r w:rsidR="001A1625">
        <w:rPr>
          <w:noProof/>
          <w:lang w:val="en-US"/>
        </w:rPr>
        <w:t xml:space="preserve">company legal form, </w:t>
      </w:r>
      <w:r w:rsidR="00492953">
        <w:rPr>
          <w:noProof/>
          <w:lang w:val="en-US"/>
        </w:rPr>
        <w:t xml:space="preserve">the </w:t>
      </w:r>
      <w:r w:rsidR="007E769A">
        <w:rPr>
          <w:noProof/>
          <w:lang w:val="en-US"/>
        </w:rPr>
        <w:t xml:space="preserve">above-mentioned </w:t>
      </w:r>
      <w:r w:rsidR="00AC5EA8">
        <w:rPr>
          <w:noProof/>
          <w:lang w:val="en-US"/>
        </w:rPr>
        <w:t>10</w:t>
      </w:r>
      <w:r w:rsidR="007E769A">
        <w:rPr>
          <w:noProof/>
          <w:lang w:val="en-US"/>
        </w:rPr>
        <w:t>% share of 28</w:t>
      </w:r>
      <w:r w:rsidR="007E769A" w:rsidRPr="00BC0D07">
        <w:rPr>
          <w:noProof/>
          <w:vertAlign w:val="superscript"/>
          <w:lang w:val="en-US"/>
        </w:rPr>
        <w:t>th</w:t>
      </w:r>
      <w:r w:rsidR="007E769A">
        <w:rPr>
          <w:noProof/>
          <w:lang w:val="en-US"/>
        </w:rPr>
        <w:t xml:space="preserve"> regime companies </w:t>
      </w:r>
      <w:r w:rsidR="00ED6471">
        <w:rPr>
          <w:noProof/>
          <w:lang w:val="en-US"/>
        </w:rPr>
        <w:t xml:space="preserve">setting up </w:t>
      </w:r>
      <w:r w:rsidR="00AC5EA8">
        <w:rPr>
          <w:noProof/>
          <w:lang w:val="en-US"/>
        </w:rPr>
        <w:t>the</w:t>
      </w:r>
      <w:r w:rsidR="00ED6471">
        <w:rPr>
          <w:noProof/>
          <w:lang w:val="en-US"/>
        </w:rPr>
        <w:t xml:space="preserve"> </w:t>
      </w:r>
      <w:r w:rsidR="00AC5EA8">
        <w:rPr>
          <w:noProof/>
          <w:lang w:val="en-US"/>
        </w:rPr>
        <w:t>EU-</w:t>
      </w:r>
      <w:r w:rsidR="00ED6471">
        <w:rPr>
          <w:noProof/>
          <w:lang w:val="en-US"/>
        </w:rPr>
        <w:t>ESO</w:t>
      </w:r>
      <w:r w:rsidR="00BE1E27">
        <w:rPr>
          <w:noProof/>
          <w:lang w:val="en-US"/>
        </w:rPr>
        <w:t xml:space="preserve"> and</w:t>
      </w:r>
      <w:r w:rsidR="00F24567">
        <w:rPr>
          <w:noProof/>
          <w:lang w:val="en-US"/>
        </w:rPr>
        <w:t xml:space="preserve"> the </w:t>
      </w:r>
      <w:r w:rsidR="004F689B">
        <w:rPr>
          <w:noProof/>
          <w:lang w:val="en-US"/>
        </w:rPr>
        <w:t xml:space="preserve">assumption that </w:t>
      </w:r>
      <w:r w:rsidR="00F24567" w:rsidRPr="00566876">
        <w:rPr>
          <w:rFonts w:eastAsia="Times New Roman"/>
          <w:noProof/>
          <w:szCs w:val="20"/>
          <w:lang w:val="en-US"/>
        </w:rPr>
        <w:t>20% of employees of 28</w:t>
      </w:r>
      <w:r w:rsidR="00F24567" w:rsidRPr="00566876">
        <w:rPr>
          <w:rFonts w:eastAsia="Times New Roman"/>
          <w:noProof/>
          <w:szCs w:val="20"/>
          <w:vertAlign w:val="superscript"/>
          <w:lang w:val="en-US"/>
        </w:rPr>
        <w:t>th</w:t>
      </w:r>
      <w:r w:rsidR="00F24567" w:rsidRPr="00566876">
        <w:rPr>
          <w:rFonts w:eastAsia="Times New Roman"/>
          <w:noProof/>
          <w:szCs w:val="20"/>
          <w:lang w:val="en-US"/>
        </w:rPr>
        <w:t>-regime</w:t>
      </w:r>
      <w:r w:rsidR="004F689B">
        <w:rPr>
          <w:rFonts w:eastAsia="Times New Roman"/>
          <w:noProof/>
          <w:szCs w:val="20"/>
          <w:lang w:val="en-US"/>
        </w:rPr>
        <w:t xml:space="preserve"> companies</w:t>
      </w:r>
      <w:r w:rsidR="00F24567" w:rsidRPr="00566876">
        <w:rPr>
          <w:rFonts w:eastAsia="Times New Roman"/>
          <w:noProof/>
          <w:szCs w:val="20"/>
          <w:lang w:val="en-US"/>
        </w:rPr>
        <w:t xml:space="preserve"> actually invest in stocks</w:t>
      </w:r>
      <w:r w:rsidR="000575B0">
        <w:rPr>
          <w:rFonts w:eastAsia="Times New Roman"/>
          <w:noProof/>
          <w:szCs w:val="20"/>
          <w:lang w:val="en-US"/>
        </w:rPr>
        <w:t xml:space="preserve"> </w:t>
      </w:r>
      <w:r w:rsidR="00C84603">
        <w:rPr>
          <w:rFonts w:eastAsia="Times New Roman"/>
          <w:noProof/>
          <w:szCs w:val="20"/>
          <w:lang w:val="en-US"/>
        </w:rPr>
        <w:t xml:space="preserve">by exercising </w:t>
      </w:r>
      <w:r w:rsidR="003A6C1F">
        <w:rPr>
          <w:rFonts w:eastAsia="Times New Roman"/>
          <w:noProof/>
          <w:szCs w:val="20"/>
          <w:lang w:val="en-US"/>
        </w:rPr>
        <w:t xml:space="preserve">their options </w:t>
      </w:r>
      <w:r w:rsidR="0020110A">
        <w:rPr>
          <w:rFonts w:eastAsia="Times New Roman"/>
          <w:noProof/>
          <w:szCs w:val="20"/>
          <w:lang w:val="en-US"/>
        </w:rPr>
        <w:t>granted through the EU-ESO</w:t>
      </w:r>
      <w:r w:rsidR="00AA025E">
        <w:rPr>
          <w:rFonts w:eastAsia="Times New Roman"/>
          <w:noProof/>
          <w:szCs w:val="20"/>
          <w:lang w:val="en-US"/>
        </w:rPr>
        <w:t>.</w:t>
      </w:r>
      <w:r w:rsidR="00773298">
        <w:rPr>
          <w:rFonts w:eastAsia="Times New Roman"/>
          <w:noProof/>
          <w:szCs w:val="20"/>
          <w:lang w:val="en-US"/>
        </w:rPr>
        <w:t xml:space="preserve"> It is further assumed that these</w:t>
      </w:r>
      <w:r w:rsidR="00F24567" w:rsidRPr="00566876">
        <w:rPr>
          <w:rFonts w:eastAsia="Times New Roman"/>
          <w:noProof/>
          <w:szCs w:val="20"/>
          <w:lang w:val="en-US"/>
        </w:rPr>
        <w:t xml:space="preserve"> employees receive an equivalent of 10%  of their compensation </w:t>
      </w:r>
      <w:r w:rsidR="004960B9">
        <w:rPr>
          <w:rFonts w:eastAsia="Times New Roman"/>
          <w:noProof/>
          <w:szCs w:val="20"/>
          <w:lang w:val="en-US"/>
        </w:rPr>
        <w:t>through the EU-ESO</w:t>
      </w:r>
      <w:r w:rsidR="00BE5305">
        <w:rPr>
          <w:rFonts w:eastAsia="Times New Roman"/>
          <w:noProof/>
          <w:szCs w:val="20"/>
          <w:lang w:val="en-US"/>
        </w:rPr>
        <w:t xml:space="preserve"> and </w:t>
      </w:r>
      <w:r w:rsidR="00BE5305" w:rsidRPr="00566876">
        <w:rPr>
          <w:rFonts w:eastAsia="Times New Roman"/>
          <w:noProof/>
          <w:szCs w:val="20"/>
          <w:lang w:val="en-US"/>
        </w:rPr>
        <w:t xml:space="preserve">that </w:t>
      </w:r>
      <w:r w:rsidR="00F24567" w:rsidRPr="00566876">
        <w:rPr>
          <w:rFonts w:eastAsia="Times New Roman"/>
          <w:noProof/>
          <w:szCs w:val="20"/>
          <w:lang w:val="en-US"/>
        </w:rPr>
        <w:t>tax payments are deferred by 10 years</w:t>
      </w:r>
      <w:r w:rsidR="00BE5305" w:rsidRPr="00566876">
        <w:rPr>
          <w:rFonts w:eastAsia="Times New Roman"/>
          <w:noProof/>
          <w:szCs w:val="20"/>
          <w:lang w:val="en-US"/>
        </w:rPr>
        <w:t xml:space="preserve"> </w:t>
      </w:r>
      <w:r w:rsidR="004A3672">
        <w:rPr>
          <w:rFonts w:eastAsia="Times New Roman"/>
          <w:noProof/>
          <w:szCs w:val="20"/>
          <w:lang w:val="en-US"/>
        </w:rPr>
        <w:t>(t</w:t>
      </w:r>
      <w:r w:rsidR="00BE5305" w:rsidRPr="00566876">
        <w:rPr>
          <w:rFonts w:eastAsia="Times New Roman"/>
          <w:noProof/>
          <w:szCs w:val="20"/>
          <w:lang w:val="en-US"/>
        </w:rPr>
        <w:t>hat</w:t>
      </w:r>
      <w:r w:rsidR="00F24567" w:rsidRPr="00566876">
        <w:rPr>
          <w:rFonts w:eastAsia="Times New Roman"/>
          <w:noProof/>
          <w:szCs w:val="20"/>
          <w:lang w:val="en-US"/>
        </w:rPr>
        <w:t xml:space="preserve"> is, gains are realized </w:t>
      </w:r>
      <w:r w:rsidR="00F24567" w:rsidRPr="00566876">
        <w:rPr>
          <w:rFonts w:eastAsia="Times New Roman"/>
          <w:i/>
          <w:iCs/>
          <w:noProof/>
          <w:szCs w:val="20"/>
          <w:lang w:val="en-US"/>
        </w:rPr>
        <w:t>after</w:t>
      </w:r>
      <w:r w:rsidR="00F24567" w:rsidRPr="00566876">
        <w:rPr>
          <w:rFonts w:eastAsia="Times New Roman"/>
          <w:noProof/>
          <w:szCs w:val="20"/>
          <w:lang w:val="en-US"/>
        </w:rPr>
        <w:t xml:space="preserve"> the 10</w:t>
      </w:r>
      <w:r w:rsidR="00F24567" w:rsidRPr="00566876">
        <w:rPr>
          <w:rFonts w:eastAsia="Times New Roman"/>
          <w:noProof/>
          <w:szCs w:val="20"/>
          <w:vertAlign w:val="superscript"/>
          <w:lang w:val="en-US"/>
        </w:rPr>
        <w:t>th</w:t>
      </w:r>
      <w:r w:rsidR="00F24567" w:rsidRPr="00566876">
        <w:rPr>
          <w:rFonts w:eastAsia="Times New Roman"/>
          <w:noProof/>
          <w:szCs w:val="20"/>
          <w:lang w:val="en-US"/>
        </w:rPr>
        <w:t xml:space="preserve"> year</w:t>
      </w:r>
      <w:r w:rsidR="004A3672">
        <w:rPr>
          <w:rFonts w:eastAsia="Times New Roman"/>
          <w:noProof/>
          <w:szCs w:val="20"/>
          <w:lang w:val="en-US"/>
        </w:rPr>
        <w:t>)</w:t>
      </w:r>
      <w:r w:rsidR="00BE5305" w:rsidRPr="00566876">
        <w:rPr>
          <w:rFonts w:eastAsia="Times New Roman"/>
          <w:noProof/>
          <w:szCs w:val="20"/>
          <w:lang w:val="en-US"/>
        </w:rPr>
        <w:t>.</w:t>
      </w:r>
      <w:r w:rsidR="00F24567" w:rsidRPr="00566876">
        <w:rPr>
          <w:rFonts w:eastAsia="Times New Roman"/>
          <w:noProof/>
          <w:szCs w:val="20"/>
          <w:lang w:val="en-US"/>
        </w:rPr>
        <w:t xml:space="preserve"> The negative liquidity effect will therefore decline after year 10 as more and more deferred taxes</w:t>
      </w:r>
      <w:r w:rsidR="004B5B35">
        <w:rPr>
          <w:rFonts w:eastAsia="Times New Roman"/>
          <w:noProof/>
          <w:szCs w:val="20"/>
          <w:lang w:val="en-US"/>
        </w:rPr>
        <w:t xml:space="preserve"> (including social security contributions)</w:t>
      </w:r>
      <w:r w:rsidR="00F24567" w:rsidRPr="00566876">
        <w:rPr>
          <w:rFonts w:eastAsia="Times New Roman"/>
          <w:noProof/>
          <w:szCs w:val="20"/>
          <w:lang w:val="en-US"/>
        </w:rPr>
        <w:t xml:space="preserve"> </w:t>
      </w:r>
      <w:r w:rsidR="000B057D">
        <w:rPr>
          <w:rFonts w:eastAsia="Times New Roman"/>
          <w:noProof/>
          <w:szCs w:val="20"/>
          <w:lang w:val="en-US"/>
        </w:rPr>
        <w:t>would become due.</w:t>
      </w:r>
      <w:r w:rsidR="00547E7A">
        <w:rPr>
          <w:rFonts w:eastAsia="Times New Roman"/>
          <w:noProof/>
          <w:szCs w:val="20"/>
          <w:lang w:val="en-US"/>
        </w:rPr>
        <w:t xml:space="preserve"> </w:t>
      </w:r>
      <w:r w:rsidR="008F4C62">
        <w:rPr>
          <w:noProof/>
          <w:szCs w:val="20"/>
          <w:lang w:val="en-US"/>
        </w:rPr>
        <w:t>All</w:t>
      </w:r>
      <w:r w:rsidR="0041397F">
        <w:rPr>
          <w:noProof/>
          <w:szCs w:val="20"/>
          <w:lang w:val="en-US"/>
        </w:rPr>
        <w:t xml:space="preserve"> estim</w:t>
      </w:r>
      <w:r w:rsidR="008F4C62">
        <w:rPr>
          <w:noProof/>
          <w:szCs w:val="20"/>
          <w:lang w:val="en-US"/>
        </w:rPr>
        <w:t>ations are</w:t>
      </w:r>
      <w:r w:rsidR="00F24567" w:rsidRPr="00566876">
        <w:rPr>
          <w:noProof/>
          <w:szCs w:val="20"/>
          <w:lang w:val="en-US"/>
        </w:rPr>
        <w:t xml:space="preserve"> aggregates for </w:t>
      </w:r>
      <w:r w:rsidR="008F4C62">
        <w:rPr>
          <w:noProof/>
          <w:szCs w:val="20"/>
          <w:lang w:val="en-US"/>
        </w:rPr>
        <w:t>the</w:t>
      </w:r>
      <w:r w:rsidR="00F24567" w:rsidRPr="00566876">
        <w:rPr>
          <w:noProof/>
          <w:szCs w:val="20"/>
          <w:lang w:val="en-US"/>
        </w:rPr>
        <w:t xml:space="preserve"> EU-27. </w:t>
      </w:r>
      <w:r w:rsidR="00F24567" w:rsidRPr="00662B1E">
        <w:rPr>
          <w:noProof/>
          <w:szCs w:val="20"/>
          <w:lang w:val="en-US"/>
        </w:rPr>
        <w:t xml:space="preserve">Current take-up of already existing </w:t>
      </w:r>
      <w:r w:rsidR="00547E7A" w:rsidRPr="00662B1E">
        <w:rPr>
          <w:noProof/>
          <w:szCs w:val="20"/>
          <w:lang w:val="en-US"/>
        </w:rPr>
        <w:t xml:space="preserve">employee </w:t>
      </w:r>
      <w:r w:rsidR="008F4C62" w:rsidRPr="00662B1E">
        <w:rPr>
          <w:noProof/>
          <w:szCs w:val="20"/>
          <w:lang w:val="en-US"/>
        </w:rPr>
        <w:t>stock option</w:t>
      </w:r>
      <w:r w:rsidR="00F24567" w:rsidRPr="00662B1E">
        <w:rPr>
          <w:noProof/>
          <w:szCs w:val="20"/>
          <w:lang w:val="en-US"/>
        </w:rPr>
        <w:t xml:space="preserve"> schemes in EU Member States cannot be modelled explicitly. The cost for tax authorities is therefore likely lower than indicated</w:t>
      </w:r>
      <w:r w:rsidR="00B1403A" w:rsidRPr="00662B1E">
        <w:rPr>
          <w:noProof/>
          <w:szCs w:val="20"/>
          <w:lang w:val="en-US"/>
        </w:rPr>
        <w:t xml:space="preserve">, also considering that </w:t>
      </w:r>
      <w:r w:rsidR="00BC7B66" w:rsidRPr="00662B1E">
        <w:rPr>
          <w:noProof/>
          <w:szCs w:val="20"/>
          <w:lang w:val="en-US"/>
        </w:rPr>
        <w:t xml:space="preserve">some Member States already </w:t>
      </w:r>
      <w:r w:rsidR="00445046" w:rsidRPr="00662B1E">
        <w:rPr>
          <w:noProof/>
          <w:szCs w:val="20"/>
          <w:lang w:val="en-US"/>
        </w:rPr>
        <w:t xml:space="preserve">provide deferred taxation for </w:t>
      </w:r>
      <w:r w:rsidR="00A14F12" w:rsidRPr="00662B1E">
        <w:rPr>
          <w:noProof/>
          <w:szCs w:val="20"/>
          <w:lang w:val="en-US"/>
        </w:rPr>
        <w:t xml:space="preserve">employee stock option schemes under </w:t>
      </w:r>
      <w:r w:rsidR="00174519" w:rsidRPr="00662B1E">
        <w:rPr>
          <w:noProof/>
          <w:szCs w:val="20"/>
          <w:lang w:val="en-US"/>
        </w:rPr>
        <w:t>specific condition</w:t>
      </w:r>
      <w:r w:rsidR="002E4CB2" w:rsidRPr="00662B1E">
        <w:rPr>
          <w:noProof/>
          <w:szCs w:val="20"/>
          <w:lang w:val="en-US"/>
        </w:rPr>
        <w:t>s.</w:t>
      </w:r>
    </w:p>
    <w:p w14:paraId="431471A9" w14:textId="7A2EC79C" w:rsidR="00F6052A" w:rsidRPr="00F6052A" w:rsidRDefault="00BA09C9" w:rsidP="00AA21CC">
      <w:pPr>
        <w:spacing w:after="0"/>
        <w:jc w:val="both"/>
        <w:rPr>
          <w:b/>
          <w:noProof/>
          <w:szCs w:val="20"/>
          <w:u w:val="single"/>
        </w:rPr>
      </w:pPr>
      <w:r w:rsidRPr="003B14BB">
        <w:rPr>
          <w:b/>
          <w:noProof/>
          <w:szCs w:val="20"/>
          <w:u w:val="single"/>
        </w:rPr>
        <w:t xml:space="preserve">Policy options </w:t>
      </w:r>
      <w:r>
        <w:rPr>
          <w:b/>
          <w:noProof/>
          <w:szCs w:val="20"/>
          <w:u w:val="single"/>
        </w:rPr>
        <w:t xml:space="preserve">6 </w:t>
      </w:r>
      <w:r w:rsidR="00F6052A" w:rsidRPr="00F6052A">
        <w:rPr>
          <w:b/>
          <w:noProof/>
          <w:szCs w:val="20"/>
          <w:u w:val="single"/>
        </w:rPr>
        <w:t>to provide a flexible governance and capital regime for founders and investors</w:t>
      </w:r>
      <w:r w:rsidR="00F6052A" w:rsidRPr="00F6052A" w:rsidDel="00CA2738">
        <w:rPr>
          <w:b/>
          <w:noProof/>
          <w:szCs w:val="20"/>
          <w:u w:val="single"/>
        </w:rPr>
        <w:t xml:space="preserve"> </w:t>
      </w:r>
      <w:r w:rsidR="00F6052A" w:rsidRPr="00F6052A">
        <w:rPr>
          <w:b/>
          <w:noProof/>
          <w:szCs w:val="20"/>
          <w:u w:val="single"/>
        </w:rPr>
        <w:t xml:space="preserve">  </w:t>
      </w:r>
    </w:p>
    <w:p w14:paraId="50AA35A1" w14:textId="160F7186" w:rsidR="00BA09C9" w:rsidRPr="00612C90" w:rsidRDefault="00BA09C9" w:rsidP="0047481B">
      <w:pPr>
        <w:spacing w:after="0"/>
        <w:jc w:val="both"/>
        <w:rPr>
          <w:b/>
          <w:noProof/>
          <w:szCs w:val="20"/>
        </w:rPr>
      </w:pPr>
      <w:r w:rsidRPr="003B14BB">
        <w:rPr>
          <w:b/>
          <w:noProof/>
          <w:szCs w:val="20"/>
        </w:rPr>
        <w:t xml:space="preserve">Policy Option </w:t>
      </w:r>
      <w:r w:rsidR="0047481B">
        <w:rPr>
          <w:b/>
          <w:noProof/>
          <w:szCs w:val="20"/>
        </w:rPr>
        <w:t>6</w:t>
      </w:r>
      <w:r w:rsidRPr="003B14BB">
        <w:rPr>
          <w:b/>
          <w:noProof/>
          <w:szCs w:val="20"/>
        </w:rPr>
        <w:t>a</w:t>
      </w:r>
      <w:r>
        <w:rPr>
          <w:b/>
          <w:noProof/>
          <w:szCs w:val="20"/>
        </w:rPr>
        <w:t xml:space="preserve">: </w:t>
      </w:r>
      <w:r w:rsidR="007B1BC9" w:rsidRPr="00612C90">
        <w:rPr>
          <w:b/>
          <w:noProof/>
          <w:szCs w:val="20"/>
        </w:rPr>
        <w:t>Create a flexible governance system</w:t>
      </w:r>
      <w:r w:rsidR="007B1BC9" w:rsidRPr="007B1BC9">
        <w:rPr>
          <w:b/>
          <w:bCs/>
          <w:noProof/>
        </w:rPr>
        <w:t>, provide simple and fully digital procedures for increasing capital and issuing shares and enable the use of modern early-stage financing instruments like SAFEs</w:t>
      </w:r>
      <w:r w:rsidR="007B1BC9" w:rsidRPr="004C599B">
        <w:rPr>
          <w:noProof/>
        </w:rPr>
        <w:t>.</w:t>
      </w:r>
    </w:p>
    <w:p w14:paraId="517B80B0" w14:textId="586E76B0" w:rsidR="001F6011" w:rsidRDefault="003F3E72" w:rsidP="007B1BC9">
      <w:pPr>
        <w:jc w:val="both"/>
        <w:rPr>
          <w:rFonts w:eastAsia="Calibri"/>
          <w:noProof/>
        </w:rPr>
      </w:pPr>
      <w:r w:rsidRPr="007B1BC9">
        <w:rPr>
          <w:rFonts w:eastAsia="Calibri"/>
          <w:noProof/>
        </w:rPr>
        <w:t>Under th</w:t>
      </w:r>
      <w:r w:rsidR="00E146D2">
        <w:rPr>
          <w:rFonts w:eastAsia="Calibri"/>
          <w:noProof/>
        </w:rPr>
        <w:t>is</w:t>
      </w:r>
      <w:r>
        <w:rPr>
          <w:rFonts w:eastAsia="Calibri"/>
          <w:noProof/>
        </w:rPr>
        <w:t xml:space="preserve"> </w:t>
      </w:r>
      <w:r w:rsidRPr="007B1BC9">
        <w:rPr>
          <w:rFonts w:eastAsia="Calibri"/>
          <w:noProof/>
        </w:rPr>
        <w:t>policy option</w:t>
      </w:r>
      <w:r>
        <w:rPr>
          <w:rFonts w:eastAsia="Calibri"/>
          <w:noProof/>
        </w:rPr>
        <w:t>, 28</w:t>
      </w:r>
      <w:r w:rsidRPr="007B1BC9">
        <w:rPr>
          <w:rFonts w:eastAsia="Calibri"/>
          <w:noProof/>
          <w:vertAlign w:val="superscript"/>
        </w:rPr>
        <w:t>th</w:t>
      </w:r>
      <w:r>
        <w:rPr>
          <w:rFonts w:eastAsia="Calibri"/>
          <w:noProof/>
        </w:rPr>
        <w:t xml:space="preserve"> regime companies would </w:t>
      </w:r>
      <w:r w:rsidR="00226425">
        <w:rPr>
          <w:rFonts w:eastAsia="Calibri"/>
          <w:noProof/>
        </w:rPr>
        <w:t>need</w:t>
      </w:r>
      <w:r>
        <w:rPr>
          <w:rFonts w:eastAsia="Calibri"/>
          <w:noProof/>
        </w:rPr>
        <w:t xml:space="preserve"> to </w:t>
      </w:r>
      <w:r w:rsidR="007031CD">
        <w:rPr>
          <w:rFonts w:eastAsia="Calibri"/>
          <w:noProof/>
        </w:rPr>
        <w:t>hav</w:t>
      </w:r>
      <w:r w:rsidR="00E146D2">
        <w:rPr>
          <w:rFonts w:eastAsia="Calibri"/>
          <w:noProof/>
        </w:rPr>
        <w:t>e</w:t>
      </w:r>
      <w:r w:rsidR="007031CD">
        <w:rPr>
          <w:rFonts w:eastAsia="Calibri"/>
          <w:noProof/>
        </w:rPr>
        <w:t xml:space="preserve"> </w:t>
      </w:r>
      <w:r w:rsidR="00226425">
        <w:rPr>
          <w:rFonts w:eastAsia="Calibri"/>
          <w:noProof/>
        </w:rPr>
        <w:t>onl</w:t>
      </w:r>
      <w:r w:rsidR="00C17430">
        <w:rPr>
          <w:rFonts w:eastAsia="Calibri"/>
          <w:noProof/>
        </w:rPr>
        <w:t>y</w:t>
      </w:r>
      <w:r>
        <w:rPr>
          <w:rFonts w:eastAsia="Calibri"/>
          <w:noProof/>
        </w:rPr>
        <w:t xml:space="preserve"> 1 shareholder and 1 director </w:t>
      </w:r>
      <w:r w:rsidR="00C17430">
        <w:rPr>
          <w:rFonts w:eastAsia="Calibri"/>
          <w:noProof/>
        </w:rPr>
        <w:t>and have</w:t>
      </w:r>
      <w:r>
        <w:rPr>
          <w:rFonts w:eastAsia="Calibri"/>
          <w:noProof/>
        </w:rPr>
        <w:t xml:space="preserve"> the possibility to conduct the meetings of the corporate bodies online, either fully or in hybrid mode. This option </w:t>
      </w:r>
      <w:r w:rsidRPr="00CE13C5">
        <w:rPr>
          <w:rFonts w:eastAsia="Calibri"/>
          <w:noProof/>
        </w:rPr>
        <w:t xml:space="preserve">would </w:t>
      </w:r>
      <w:r>
        <w:rPr>
          <w:rFonts w:eastAsia="Calibri"/>
          <w:noProof/>
        </w:rPr>
        <w:t xml:space="preserve">also allow </w:t>
      </w:r>
      <w:r w:rsidR="00E146D2" w:rsidRPr="00CE13C5">
        <w:rPr>
          <w:rFonts w:eastAsia="Calibri"/>
          <w:noProof/>
        </w:rPr>
        <w:t>capital increase and share issuance</w:t>
      </w:r>
      <w:r w:rsidR="00E146D2">
        <w:rPr>
          <w:rFonts w:eastAsia="Calibri"/>
          <w:noProof/>
        </w:rPr>
        <w:t xml:space="preserve"> procedures</w:t>
      </w:r>
      <w:r w:rsidR="00E146D2" w:rsidRPr="00CE13C5">
        <w:rPr>
          <w:rFonts w:eastAsia="Calibri"/>
          <w:noProof/>
        </w:rPr>
        <w:t xml:space="preserve"> </w:t>
      </w:r>
      <w:r w:rsidR="00E146D2">
        <w:rPr>
          <w:rFonts w:eastAsia="Calibri"/>
          <w:noProof/>
        </w:rPr>
        <w:t xml:space="preserve">to be carried out </w:t>
      </w:r>
      <w:r>
        <w:rPr>
          <w:rFonts w:eastAsia="Calibri"/>
          <w:noProof/>
        </w:rPr>
        <w:t xml:space="preserve">fully digitally and </w:t>
      </w:r>
      <w:r w:rsidR="003C69F6">
        <w:rPr>
          <w:rFonts w:eastAsia="Calibri"/>
          <w:noProof/>
        </w:rPr>
        <w:t xml:space="preserve">simplify </w:t>
      </w:r>
      <w:r w:rsidRPr="00CE13C5">
        <w:rPr>
          <w:rFonts w:eastAsia="Calibri"/>
          <w:noProof/>
        </w:rPr>
        <w:t xml:space="preserve">formalities </w:t>
      </w:r>
      <w:r>
        <w:rPr>
          <w:rFonts w:eastAsia="Calibri"/>
          <w:noProof/>
        </w:rPr>
        <w:t xml:space="preserve">such as obtaining the </w:t>
      </w:r>
      <w:r w:rsidRPr="00CE13C5">
        <w:rPr>
          <w:rFonts w:eastAsia="Calibri"/>
          <w:noProof/>
        </w:rPr>
        <w:t xml:space="preserve">TIN </w:t>
      </w:r>
      <w:r>
        <w:rPr>
          <w:rFonts w:eastAsia="Calibri"/>
          <w:noProof/>
        </w:rPr>
        <w:t>for</w:t>
      </w:r>
      <w:r w:rsidRPr="00CE13C5">
        <w:rPr>
          <w:rFonts w:eastAsia="Calibri"/>
          <w:noProof/>
        </w:rPr>
        <w:t xml:space="preserve"> </w:t>
      </w:r>
      <w:r>
        <w:rPr>
          <w:rFonts w:eastAsia="Calibri"/>
          <w:noProof/>
        </w:rPr>
        <w:t xml:space="preserve">foreign </w:t>
      </w:r>
      <w:r w:rsidRPr="00CE13C5">
        <w:rPr>
          <w:rFonts w:eastAsia="Calibri"/>
          <w:noProof/>
        </w:rPr>
        <w:t>investors</w:t>
      </w:r>
      <w:r w:rsidR="00C96119">
        <w:rPr>
          <w:rFonts w:eastAsia="Calibri"/>
          <w:noProof/>
        </w:rPr>
        <w:t xml:space="preserve"> and </w:t>
      </w:r>
      <w:r w:rsidR="00762100">
        <w:rPr>
          <w:rFonts w:eastAsia="Calibri"/>
          <w:noProof/>
        </w:rPr>
        <w:t>enable the use of modern early</w:t>
      </w:r>
      <w:r w:rsidR="002F1203">
        <w:rPr>
          <w:rFonts w:eastAsia="Calibri"/>
          <w:noProof/>
        </w:rPr>
        <w:t>-</w:t>
      </w:r>
      <w:r w:rsidR="00762100">
        <w:rPr>
          <w:rFonts w:eastAsia="Calibri"/>
          <w:noProof/>
        </w:rPr>
        <w:t>stage financing instruments like SAFEs</w:t>
      </w:r>
      <w:r w:rsidR="001F6011" w:rsidRPr="00CE13C5">
        <w:rPr>
          <w:rFonts w:eastAsia="Calibri"/>
          <w:bCs/>
          <w:noProof/>
        </w:rPr>
        <w:t>.</w:t>
      </w:r>
      <w:r w:rsidR="001F6011" w:rsidRPr="00CE13C5">
        <w:rPr>
          <w:rFonts w:eastAsia="Calibri"/>
          <w:noProof/>
        </w:rPr>
        <w:t xml:space="preserve"> </w:t>
      </w:r>
      <w:r w:rsidR="001F6011" w:rsidRPr="00CE13C5">
        <w:rPr>
          <w:rFonts w:eastAsia="Calibri"/>
          <w:bCs/>
          <w:noProof/>
        </w:rPr>
        <w:t xml:space="preserve"> </w:t>
      </w:r>
    </w:p>
    <w:p w14:paraId="59E2FFB6" w14:textId="6FADE74F" w:rsidR="00A314B2" w:rsidRDefault="001F6011" w:rsidP="6F00936E">
      <w:pPr>
        <w:spacing w:after="0"/>
        <w:jc w:val="both"/>
        <w:rPr>
          <w:noProof/>
        </w:rPr>
      </w:pPr>
      <w:r>
        <w:rPr>
          <w:noProof/>
        </w:rPr>
        <w:t>Compared to today, through these measures, the policy option</w:t>
      </w:r>
      <w:r w:rsidR="00A314B2">
        <w:rPr>
          <w:noProof/>
        </w:rPr>
        <w:t xml:space="preserve"> 6a would reduce the </w:t>
      </w:r>
      <w:r w:rsidR="00A314B2" w:rsidRPr="6F00936E">
        <w:rPr>
          <w:b/>
          <w:bCs/>
          <w:noProof/>
        </w:rPr>
        <w:t>time spent</w:t>
      </w:r>
      <w:r w:rsidR="00A314B2">
        <w:rPr>
          <w:noProof/>
        </w:rPr>
        <w:t xml:space="preserve"> </w:t>
      </w:r>
      <w:r w:rsidR="004609B2">
        <w:rPr>
          <w:noProof/>
        </w:rPr>
        <w:t xml:space="preserve">regarding </w:t>
      </w:r>
      <w:r w:rsidR="00590064">
        <w:rPr>
          <w:noProof/>
        </w:rPr>
        <w:t>the</w:t>
      </w:r>
      <w:r w:rsidR="00497570">
        <w:rPr>
          <w:noProof/>
        </w:rPr>
        <w:t xml:space="preserve"> </w:t>
      </w:r>
      <w:r w:rsidR="00A314B2">
        <w:rPr>
          <w:noProof/>
        </w:rPr>
        <w:t xml:space="preserve">preparation of physical meetings, coordination with intermediaries, </w:t>
      </w:r>
      <w:r w:rsidR="005B014D">
        <w:rPr>
          <w:noProof/>
        </w:rPr>
        <w:t>and the</w:t>
      </w:r>
      <w:r w:rsidR="00A314B2">
        <w:rPr>
          <w:noProof/>
        </w:rPr>
        <w:t xml:space="preserve"> documentation</w:t>
      </w:r>
      <w:r w:rsidR="00497570">
        <w:rPr>
          <w:noProof/>
        </w:rPr>
        <w:t xml:space="preserve"> per financing or governance event for founders, directors, and investors</w:t>
      </w:r>
      <w:r w:rsidR="00A314B2">
        <w:rPr>
          <w:noProof/>
        </w:rPr>
        <w:t xml:space="preserve">. </w:t>
      </w:r>
      <w:r w:rsidR="00CE4CA3">
        <w:rPr>
          <w:noProof/>
        </w:rPr>
        <w:t>Based on stake</w:t>
      </w:r>
      <w:r w:rsidR="0051119F">
        <w:rPr>
          <w:noProof/>
        </w:rPr>
        <w:t>holder</w:t>
      </w:r>
      <w:r w:rsidR="00CE4CA3">
        <w:rPr>
          <w:noProof/>
        </w:rPr>
        <w:t xml:space="preserve"> input,</w:t>
      </w:r>
      <w:r w:rsidR="0051119F">
        <w:rPr>
          <w:noProof/>
        </w:rPr>
        <w:t xml:space="preserve"> i</w:t>
      </w:r>
      <w:r w:rsidR="00F5226B">
        <w:rPr>
          <w:noProof/>
        </w:rPr>
        <w:t xml:space="preserve">t is estimated that </w:t>
      </w:r>
      <w:r w:rsidR="0051119F">
        <w:rPr>
          <w:noProof/>
        </w:rPr>
        <w:t>the ti</w:t>
      </w:r>
      <w:r w:rsidR="00777B4D">
        <w:rPr>
          <w:noProof/>
        </w:rPr>
        <w:t>m</w:t>
      </w:r>
      <w:r w:rsidR="0051119F">
        <w:rPr>
          <w:noProof/>
        </w:rPr>
        <w:t xml:space="preserve">e reduction </w:t>
      </w:r>
      <w:r w:rsidR="00777B4D">
        <w:rPr>
          <w:noProof/>
        </w:rPr>
        <w:t xml:space="preserve">amounts to 15 hours </w:t>
      </w:r>
      <w:r w:rsidR="006F6CF6">
        <w:rPr>
          <w:noProof/>
        </w:rPr>
        <w:t xml:space="preserve">with </w:t>
      </w:r>
      <w:r w:rsidR="00A314B2">
        <w:rPr>
          <w:noProof/>
        </w:rPr>
        <w:t xml:space="preserve">a </w:t>
      </w:r>
      <w:r w:rsidR="00FB3C4A">
        <w:rPr>
          <w:noProof/>
        </w:rPr>
        <w:t xml:space="preserve">standard </w:t>
      </w:r>
      <w:r w:rsidR="00A314B2">
        <w:rPr>
          <w:noProof/>
        </w:rPr>
        <w:t xml:space="preserve">hourly cost of </w:t>
      </w:r>
      <w:r w:rsidR="6A4317AF">
        <w:rPr>
          <w:noProof/>
        </w:rPr>
        <w:t xml:space="preserve">EUR </w:t>
      </w:r>
      <w:r w:rsidR="00A314B2">
        <w:rPr>
          <w:noProof/>
        </w:rPr>
        <w:t>40/hour</w:t>
      </w:r>
      <w:r w:rsidR="006F6CF6">
        <w:rPr>
          <w:noProof/>
        </w:rPr>
        <w:t>. T</w:t>
      </w:r>
      <w:r w:rsidR="00A314B2">
        <w:rPr>
          <w:noProof/>
        </w:rPr>
        <w:t xml:space="preserve">his corresponds to </w:t>
      </w:r>
      <w:r w:rsidR="64B5DA59">
        <w:rPr>
          <w:noProof/>
        </w:rPr>
        <w:t xml:space="preserve">EUR </w:t>
      </w:r>
      <w:r w:rsidR="00A314B2">
        <w:rPr>
          <w:noProof/>
        </w:rPr>
        <w:t>600 per operation in direct savings. As with PO7a</w:t>
      </w:r>
      <w:r w:rsidR="00E44789">
        <w:rPr>
          <w:noProof/>
        </w:rPr>
        <w:t xml:space="preserve"> (see below)</w:t>
      </w:r>
      <w:r w:rsidR="00A314B2">
        <w:rPr>
          <w:noProof/>
        </w:rPr>
        <w:t>, higher opportunity costs for senior management or professional investors are not monetised to avoid overestimation.</w:t>
      </w:r>
    </w:p>
    <w:p w14:paraId="6BF08906" w14:textId="2D575127" w:rsidR="006C34EB" w:rsidRDefault="00E5041E" w:rsidP="6F00936E">
      <w:pPr>
        <w:spacing w:after="0"/>
        <w:jc w:val="both"/>
        <w:rPr>
          <w:noProof/>
        </w:rPr>
      </w:pPr>
      <w:r>
        <w:rPr>
          <w:noProof/>
        </w:rPr>
        <w:t>P</w:t>
      </w:r>
      <w:r w:rsidR="00F13235">
        <w:rPr>
          <w:noProof/>
        </w:rPr>
        <w:t xml:space="preserve">olicy option </w:t>
      </w:r>
      <w:r>
        <w:rPr>
          <w:noProof/>
        </w:rPr>
        <w:t xml:space="preserve">6a would also reduce or eliminate several recurring </w:t>
      </w:r>
      <w:r w:rsidRPr="6F00936E">
        <w:rPr>
          <w:b/>
          <w:bCs/>
          <w:noProof/>
        </w:rPr>
        <w:t>administrative and professional costs</w:t>
      </w:r>
      <w:r>
        <w:rPr>
          <w:noProof/>
        </w:rPr>
        <w:t xml:space="preserve"> commonly associated with governance and capital operations, including costs linked to physical general meetings (travel, accommodation, venue or representation costs);</w:t>
      </w:r>
      <w:r w:rsidR="00CC7CFA">
        <w:rPr>
          <w:noProof/>
        </w:rPr>
        <w:t xml:space="preserve"> </w:t>
      </w:r>
      <w:r>
        <w:rPr>
          <w:noProof/>
        </w:rPr>
        <w:t>repeated legal or notarial involvement for routine capital increases;</w:t>
      </w:r>
      <w:r w:rsidR="00CC7CFA">
        <w:rPr>
          <w:noProof/>
        </w:rPr>
        <w:t xml:space="preserve"> </w:t>
      </w:r>
      <w:r>
        <w:rPr>
          <w:noProof/>
        </w:rPr>
        <w:t>external advisory costs to adapt early-stage instruments (e.g. SAFEs) to restrictive national capital regimes.</w:t>
      </w:r>
      <w:r w:rsidR="00DA33A6">
        <w:rPr>
          <w:noProof/>
        </w:rPr>
        <w:t xml:space="preserve"> </w:t>
      </w:r>
      <w:r>
        <w:rPr>
          <w:noProof/>
        </w:rPr>
        <w:t xml:space="preserve">While these savings vary by Member State and transaction type, conservative stakeholder-based estimates indicate additional </w:t>
      </w:r>
      <w:r w:rsidR="004573EF">
        <w:rPr>
          <w:noProof/>
        </w:rPr>
        <w:t xml:space="preserve">savings of </w:t>
      </w:r>
      <w:r w:rsidR="64B5DA59">
        <w:rPr>
          <w:noProof/>
        </w:rPr>
        <w:t xml:space="preserve">EUR </w:t>
      </w:r>
      <w:r w:rsidR="00C83459">
        <w:rPr>
          <w:noProof/>
        </w:rPr>
        <w:t>500</w:t>
      </w:r>
      <w:r>
        <w:rPr>
          <w:noProof/>
        </w:rPr>
        <w:t xml:space="preserve"> per transaction in reduced legal, administrative and coordination costs for standard early-stage or follow-on financing rounds.</w:t>
      </w:r>
    </w:p>
    <w:p w14:paraId="1F07CF02" w14:textId="650D7DA1" w:rsidR="001D53BD" w:rsidRPr="006C34EB" w:rsidRDefault="001D53BD" w:rsidP="001D53BD">
      <w:pPr>
        <w:spacing w:after="0"/>
        <w:jc w:val="both"/>
        <w:rPr>
          <w:noProof/>
          <w:szCs w:val="20"/>
        </w:rPr>
      </w:pPr>
      <w:r>
        <w:rPr>
          <w:noProof/>
          <w:szCs w:val="20"/>
        </w:rPr>
        <w:t xml:space="preserve">Moreover, the </w:t>
      </w:r>
      <w:r w:rsidRPr="006C34EB">
        <w:rPr>
          <w:noProof/>
          <w:szCs w:val="20"/>
        </w:rPr>
        <w:t xml:space="preserve">duration of </w:t>
      </w:r>
      <w:r>
        <w:rPr>
          <w:noProof/>
          <w:szCs w:val="20"/>
        </w:rPr>
        <w:t xml:space="preserve">a financing transaction that includes a </w:t>
      </w:r>
      <w:r w:rsidRPr="006C34EB">
        <w:rPr>
          <w:noProof/>
          <w:szCs w:val="20"/>
        </w:rPr>
        <w:t xml:space="preserve">standard capital increase </w:t>
      </w:r>
      <w:r w:rsidR="006D3B00" w:rsidRPr="006C34EB">
        <w:rPr>
          <w:noProof/>
          <w:szCs w:val="20"/>
        </w:rPr>
        <w:t xml:space="preserve">where current procedures require physical meetings, notarisation, </w:t>
      </w:r>
      <w:r w:rsidR="006D3B00">
        <w:rPr>
          <w:noProof/>
          <w:szCs w:val="20"/>
        </w:rPr>
        <w:t>and</w:t>
      </w:r>
      <w:r w:rsidR="006D3B00" w:rsidRPr="006C34EB">
        <w:rPr>
          <w:noProof/>
          <w:szCs w:val="20"/>
        </w:rPr>
        <w:t xml:space="preserve"> sequential filings</w:t>
      </w:r>
      <w:r w:rsidR="00D46BF9">
        <w:rPr>
          <w:noProof/>
          <w:szCs w:val="20"/>
        </w:rPr>
        <w:t xml:space="preserve"> usually </w:t>
      </w:r>
      <w:r w:rsidR="006D3B00">
        <w:rPr>
          <w:noProof/>
          <w:szCs w:val="20"/>
        </w:rPr>
        <w:t>takes</w:t>
      </w:r>
      <w:r w:rsidRPr="006C34EB">
        <w:rPr>
          <w:noProof/>
          <w:szCs w:val="20"/>
        </w:rPr>
        <w:t xml:space="preserve"> </w:t>
      </w:r>
      <w:r w:rsidR="00EA017C" w:rsidRPr="00783F25">
        <w:rPr>
          <w:noProof/>
          <w:szCs w:val="20"/>
        </w:rPr>
        <w:t>30</w:t>
      </w:r>
      <w:r w:rsidRPr="00783F25">
        <w:rPr>
          <w:noProof/>
          <w:szCs w:val="20"/>
        </w:rPr>
        <w:t xml:space="preserve"> calendar days,</w:t>
      </w:r>
      <w:r w:rsidRPr="006C34EB">
        <w:rPr>
          <w:noProof/>
          <w:szCs w:val="20"/>
        </w:rPr>
        <w:t xml:space="preserve"> particularly in cross-border situations. In more complex cases involving foreign investors (e.g. issuance of national TINs, physical identification, or notarial formalities), delays of several weeks are currently common</w:t>
      </w:r>
      <w:r w:rsidR="003A20DA">
        <w:rPr>
          <w:noProof/>
          <w:szCs w:val="20"/>
        </w:rPr>
        <w:t>.</w:t>
      </w:r>
      <w:r w:rsidRPr="006C34EB">
        <w:rPr>
          <w:noProof/>
          <w:szCs w:val="20"/>
        </w:rPr>
        <w:t xml:space="preserve"> PO6a would significantly compress these timelines by enabling fully digital execution and streamlined identification procedures.</w:t>
      </w:r>
      <w:r w:rsidR="003A20DA">
        <w:rPr>
          <w:noProof/>
          <w:szCs w:val="20"/>
        </w:rPr>
        <w:t xml:space="preserve"> </w:t>
      </w:r>
    </w:p>
    <w:p w14:paraId="5CBC517A" w14:textId="5BC014D3" w:rsidR="00C42C2E" w:rsidRDefault="00C42C2E" w:rsidP="0047481B">
      <w:pPr>
        <w:spacing w:after="0"/>
        <w:jc w:val="both"/>
        <w:rPr>
          <w:noProof/>
        </w:rPr>
      </w:pPr>
      <w:r>
        <w:rPr>
          <w:noProof/>
        </w:rPr>
        <w:t xml:space="preserve">Taken together, </w:t>
      </w:r>
      <w:r w:rsidR="006D3B00">
        <w:rPr>
          <w:noProof/>
        </w:rPr>
        <w:t>policy option</w:t>
      </w:r>
      <w:r>
        <w:rPr>
          <w:noProof/>
        </w:rPr>
        <w:t xml:space="preserve"> 6a is estimated to generate per-operation</w:t>
      </w:r>
      <w:r w:rsidR="005D47EB">
        <w:rPr>
          <w:noProof/>
        </w:rPr>
        <w:t>/round</w:t>
      </w:r>
      <w:r>
        <w:rPr>
          <w:noProof/>
        </w:rPr>
        <w:t xml:space="preserve"> efficiency gains of approximately </w:t>
      </w:r>
      <w:r w:rsidR="7CC87C76">
        <w:rPr>
          <w:noProof/>
        </w:rPr>
        <w:t>EUR</w:t>
      </w:r>
      <w:r w:rsidR="00422552">
        <w:rPr>
          <w:noProof/>
        </w:rPr>
        <w:t> </w:t>
      </w:r>
      <w:r w:rsidR="00895917">
        <w:rPr>
          <w:noProof/>
        </w:rPr>
        <w:t>1</w:t>
      </w:r>
      <w:r w:rsidR="00422552">
        <w:rPr>
          <w:noProof/>
        </w:rPr>
        <w:t> </w:t>
      </w:r>
      <w:r w:rsidR="00ED2B04">
        <w:rPr>
          <w:noProof/>
        </w:rPr>
        <w:t>1</w:t>
      </w:r>
      <w:r w:rsidR="001E720F">
        <w:rPr>
          <w:noProof/>
        </w:rPr>
        <w:t>0</w:t>
      </w:r>
      <w:r w:rsidR="00895917">
        <w:rPr>
          <w:noProof/>
        </w:rPr>
        <w:t>0</w:t>
      </w:r>
      <w:r>
        <w:rPr>
          <w:noProof/>
        </w:rPr>
        <w:t>.</w:t>
      </w:r>
    </w:p>
    <w:p w14:paraId="5BB642E1" w14:textId="72EBD6B7" w:rsidR="00BA09C9" w:rsidRPr="00DE0B09" w:rsidRDefault="00BA09C9" w:rsidP="6F00936E">
      <w:pPr>
        <w:spacing w:after="0"/>
        <w:jc w:val="both"/>
        <w:rPr>
          <w:b/>
          <w:bCs/>
          <w:noProof/>
        </w:rPr>
      </w:pPr>
      <w:r w:rsidRPr="6F00936E">
        <w:rPr>
          <w:b/>
          <w:bCs/>
          <w:noProof/>
        </w:rPr>
        <w:t xml:space="preserve">Policy Option </w:t>
      </w:r>
      <w:r w:rsidR="0047481B" w:rsidRPr="6F00936E">
        <w:rPr>
          <w:b/>
          <w:bCs/>
          <w:noProof/>
        </w:rPr>
        <w:t>6</w:t>
      </w:r>
      <w:r w:rsidRPr="6F00936E">
        <w:rPr>
          <w:b/>
          <w:bCs/>
          <w:noProof/>
        </w:rPr>
        <w:t xml:space="preserve">b: Option </w:t>
      </w:r>
      <w:r w:rsidR="0047481B" w:rsidRPr="6F00936E">
        <w:rPr>
          <w:b/>
          <w:bCs/>
          <w:noProof/>
        </w:rPr>
        <w:t>6</w:t>
      </w:r>
      <w:r w:rsidRPr="6F00936E">
        <w:rPr>
          <w:b/>
          <w:bCs/>
          <w:noProof/>
        </w:rPr>
        <w:t xml:space="preserve">a + </w:t>
      </w:r>
      <w:r w:rsidR="004A3FD4" w:rsidRPr="6F00936E">
        <w:rPr>
          <w:b/>
          <w:bCs/>
          <w:noProof/>
        </w:rPr>
        <w:t xml:space="preserve">0 or </w:t>
      </w:r>
      <w:r w:rsidR="7D2D0FA2" w:rsidRPr="6F00936E">
        <w:rPr>
          <w:b/>
          <w:bCs/>
          <w:noProof/>
        </w:rPr>
        <w:t>EUR</w:t>
      </w:r>
      <w:r w:rsidR="00422552">
        <w:rPr>
          <w:b/>
          <w:bCs/>
          <w:noProof/>
        </w:rPr>
        <w:t> </w:t>
      </w:r>
      <w:r w:rsidR="004A3FD4" w:rsidRPr="6F00936E">
        <w:rPr>
          <w:b/>
          <w:bCs/>
          <w:noProof/>
        </w:rPr>
        <w:t>1 minimum capital but no</w:t>
      </w:r>
      <w:r w:rsidR="00DE0B09" w:rsidRPr="6F00936E">
        <w:rPr>
          <w:b/>
          <w:bCs/>
          <w:noProof/>
        </w:rPr>
        <w:t xml:space="preserve"> paid-in share capital for incorporation of 28</w:t>
      </w:r>
      <w:r w:rsidR="00DE0B09" w:rsidRPr="6F00936E">
        <w:rPr>
          <w:b/>
          <w:bCs/>
          <w:noProof/>
          <w:vertAlign w:val="superscript"/>
        </w:rPr>
        <w:t>th</w:t>
      </w:r>
      <w:r w:rsidR="00DE0B09" w:rsidRPr="6F00936E">
        <w:rPr>
          <w:b/>
          <w:bCs/>
          <w:noProof/>
        </w:rPr>
        <w:t xml:space="preserve"> regime companies and harmonised creditor </w:t>
      </w:r>
      <w:r w:rsidR="006336C2" w:rsidRPr="6F00936E">
        <w:rPr>
          <w:b/>
          <w:bCs/>
          <w:noProof/>
        </w:rPr>
        <w:t xml:space="preserve">protection </w:t>
      </w:r>
      <w:r w:rsidR="00DE0B09" w:rsidRPr="6F00936E">
        <w:rPr>
          <w:b/>
          <w:bCs/>
          <w:noProof/>
        </w:rPr>
        <w:t>safeguards in addition to capital maintenance rules.</w:t>
      </w:r>
    </w:p>
    <w:p w14:paraId="015E8928" w14:textId="2A7590A1" w:rsidR="00E640BE" w:rsidRPr="00E640BE" w:rsidRDefault="00E640BE" w:rsidP="00E640BE">
      <w:pPr>
        <w:spacing w:after="0"/>
        <w:jc w:val="both"/>
        <w:rPr>
          <w:noProof/>
          <w:szCs w:val="20"/>
        </w:rPr>
      </w:pPr>
      <w:r w:rsidRPr="00E640BE">
        <w:rPr>
          <w:noProof/>
          <w:szCs w:val="20"/>
        </w:rPr>
        <w:t xml:space="preserve">To assess the efficiency gains generated </w:t>
      </w:r>
      <w:r w:rsidR="00163457">
        <w:rPr>
          <w:noProof/>
          <w:szCs w:val="20"/>
        </w:rPr>
        <w:t>in addition by p</w:t>
      </w:r>
      <w:r w:rsidRPr="00E640BE">
        <w:rPr>
          <w:noProof/>
          <w:szCs w:val="20"/>
        </w:rPr>
        <w:t xml:space="preserve">olicy Option 6b, the removal of mandatory paid-in minimum share capital would allow founders to complete incorporation without opening a bank account upfront, thereby eliminating a well-documented procedural bottleneck. </w:t>
      </w:r>
    </w:p>
    <w:p w14:paraId="58DE286A" w14:textId="5AE5F876" w:rsidR="00386F73" w:rsidRDefault="00E640BE" w:rsidP="00E640BE">
      <w:pPr>
        <w:spacing w:after="0"/>
        <w:jc w:val="both"/>
        <w:rPr>
          <w:noProof/>
        </w:rPr>
      </w:pPr>
      <w:r>
        <w:rPr>
          <w:noProof/>
        </w:rPr>
        <w:t xml:space="preserve">Based on stakeholder input (workshops and </w:t>
      </w:r>
      <w:r w:rsidR="00824558">
        <w:rPr>
          <w:noProof/>
        </w:rPr>
        <w:t>o</w:t>
      </w:r>
      <w:r>
        <w:rPr>
          <w:noProof/>
        </w:rPr>
        <w:t xml:space="preserve">pen </w:t>
      </w:r>
      <w:r w:rsidR="00824558">
        <w:rPr>
          <w:noProof/>
        </w:rPr>
        <w:t>p</w:t>
      </w:r>
      <w:r>
        <w:rPr>
          <w:noProof/>
        </w:rPr>
        <w:t xml:space="preserve">ublic </w:t>
      </w:r>
      <w:r w:rsidR="00824558">
        <w:rPr>
          <w:noProof/>
        </w:rPr>
        <w:t>c</w:t>
      </w:r>
      <w:r>
        <w:rPr>
          <w:noProof/>
        </w:rPr>
        <w:t xml:space="preserve">onsultation) and expert judgement, the complexity of AML/KYC procedures and repeated interactions with financial institutions allow for a conservative assumption of around 10 hours of active time spent </w:t>
      </w:r>
      <w:r w:rsidR="00F20CBF">
        <w:rPr>
          <w:noProof/>
        </w:rPr>
        <w:t xml:space="preserve">with an  hourly </w:t>
      </w:r>
      <w:r w:rsidR="00B935E9">
        <w:rPr>
          <w:noProof/>
        </w:rPr>
        <w:t>standard</w:t>
      </w:r>
      <w:r w:rsidR="00F20CBF">
        <w:rPr>
          <w:noProof/>
        </w:rPr>
        <w:t xml:space="preserve"> cost of </w:t>
      </w:r>
      <w:r w:rsidR="28172797">
        <w:rPr>
          <w:noProof/>
        </w:rPr>
        <w:t>EUR</w:t>
      </w:r>
      <w:r w:rsidR="00422552">
        <w:rPr>
          <w:noProof/>
        </w:rPr>
        <w:t> </w:t>
      </w:r>
      <w:r w:rsidR="00F20CBF">
        <w:rPr>
          <w:noProof/>
        </w:rPr>
        <w:t xml:space="preserve">40/hour </w:t>
      </w:r>
      <w:r>
        <w:rPr>
          <w:noProof/>
        </w:rPr>
        <w:t>by founders or managers per incorporation (preparing documentation, responding to bank requests, follow-ups and coordination), which would be avoided where no upfront capital deposit is required.</w:t>
      </w:r>
      <w:r w:rsidR="00386F73">
        <w:rPr>
          <w:noProof/>
        </w:rPr>
        <w:t xml:space="preserve"> </w:t>
      </w:r>
    </w:p>
    <w:p w14:paraId="49F0EE64" w14:textId="1E3657ED" w:rsidR="00386F73" w:rsidRDefault="007349FC" w:rsidP="6F00936E">
      <w:pPr>
        <w:spacing w:after="0"/>
        <w:jc w:val="both"/>
        <w:rPr>
          <w:noProof/>
        </w:rPr>
      </w:pPr>
      <w:r>
        <w:rPr>
          <w:noProof/>
        </w:rPr>
        <w:t xml:space="preserve">In addition, stakeholder feedback indicates that opening a bank account for the purpose of paying in minimum share capital often entails direct costs. In cross-border cases, stakeholders reported additional costs linked to translations of corporate or personal documents, legalisation or apostille, powers of attorney, and in some cases travel expenses, where banks require physical presence for identification. </w:t>
      </w:r>
      <w:r w:rsidR="00250862">
        <w:rPr>
          <w:noProof/>
        </w:rPr>
        <w:t>T</w:t>
      </w:r>
      <w:r>
        <w:rPr>
          <w:noProof/>
        </w:rPr>
        <w:t xml:space="preserve">hese costs vary significantly </w:t>
      </w:r>
      <w:r w:rsidR="00B105B0">
        <w:rPr>
          <w:noProof/>
        </w:rPr>
        <w:t xml:space="preserve">between </w:t>
      </w:r>
      <w:r>
        <w:rPr>
          <w:noProof/>
        </w:rPr>
        <w:t>Member State</w:t>
      </w:r>
      <w:r w:rsidR="00B105B0">
        <w:rPr>
          <w:noProof/>
        </w:rPr>
        <w:t>s</w:t>
      </w:r>
      <w:r>
        <w:rPr>
          <w:noProof/>
        </w:rPr>
        <w:t xml:space="preserve"> and financial institution</w:t>
      </w:r>
      <w:r w:rsidR="00B105B0">
        <w:rPr>
          <w:noProof/>
        </w:rPr>
        <w:t>s</w:t>
      </w:r>
      <w:r>
        <w:rPr>
          <w:noProof/>
        </w:rPr>
        <w:t xml:space="preserve">, </w:t>
      </w:r>
      <w:r w:rsidR="00217A74">
        <w:rPr>
          <w:noProof/>
        </w:rPr>
        <w:t>making</w:t>
      </w:r>
      <w:r>
        <w:rPr>
          <w:noProof/>
        </w:rPr>
        <w:t xml:space="preserve"> </w:t>
      </w:r>
      <w:r w:rsidR="00D80EA0">
        <w:rPr>
          <w:noProof/>
        </w:rPr>
        <w:t>it difficult to provide an estimation and</w:t>
      </w:r>
      <w:r w:rsidR="00217A74">
        <w:rPr>
          <w:noProof/>
        </w:rPr>
        <w:t>,</w:t>
      </w:r>
      <w:r w:rsidR="00D80EA0">
        <w:rPr>
          <w:noProof/>
        </w:rPr>
        <w:t xml:space="preserve"> </w:t>
      </w:r>
      <w:r w:rsidR="006A6E44">
        <w:rPr>
          <w:noProof/>
        </w:rPr>
        <w:t>therefor</w:t>
      </w:r>
      <w:r w:rsidR="00EB7292">
        <w:rPr>
          <w:noProof/>
        </w:rPr>
        <w:t>e</w:t>
      </w:r>
      <w:r w:rsidR="00217A74">
        <w:rPr>
          <w:noProof/>
        </w:rPr>
        <w:t>,</w:t>
      </w:r>
      <w:r w:rsidR="006A6E44">
        <w:rPr>
          <w:noProof/>
        </w:rPr>
        <w:t xml:space="preserve"> t</w:t>
      </w:r>
      <w:r w:rsidR="00EB7292">
        <w:rPr>
          <w:noProof/>
        </w:rPr>
        <w:t>h</w:t>
      </w:r>
      <w:r w:rsidR="006A6E44">
        <w:rPr>
          <w:noProof/>
        </w:rPr>
        <w:t xml:space="preserve">is Impact Assessment takes </w:t>
      </w:r>
      <w:r>
        <w:rPr>
          <w:noProof/>
        </w:rPr>
        <w:t xml:space="preserve">a conservative </w:t>
      </w:r>
      <w:r w:rsidR="006A6E44">
        <w:rPr>
          <w:noProof/>
        </w:rPr>
        <w:t>approach and does not</w:t>
      </w:r>
      <w:r w:rsidR="00EB7292">
        <w:rPr>
          <w:noProof/>
        </w:rPr>
        <w:t xml:space="preserve"> include </w:t>
      </w:r>
      <w:r w:rsidR="009A1B8A">
        <w:rPr>
          <w:noProof/>
        </w:rPr>
        <w:t>them</w:t>
      </w:r>
      <w:r>
        <w:rPr>
          <w:noProof/>
        </w:rPr>
        <w:t xml:space="preserve">. </w:t>
      </w:r>
    </w:p>
    <w:p w14:paraId="22C076DC" w14:textId="68EE80BF" w:rsidR="00E640BE" w:rsidRPr="00E640BE" w:rsidRDefault="008E1995" w:rsidP="00E640BE">
      <w:pPr>
        <w:spacing w:after="0"/>
        <w:jc w:val="both"/>
        <w:rPr>
          <w:noProof/>
          <w:szCs w:val="20"/>
        </w:rPr>
      </w:pPr>
      <w:r>
        <w:rPr>
          <w:noProof/>
          <w:szCs w:val="20"/>
        </w:rPr>
        <w:t>Finally,</w:t>
      </w:r>
      <w:r w:rsidR="005948BA">
        <w:rPr>
          <w:noProof/>
          <w:szCs w:val="20"/>
        </w:rPr>
        <w:t xml:space="preserve"> based on stakeholder feedback</w:t>
      </w:r>
      <w:r>
        <w:rPr>
          <w:noProof/>
          <w:szCs w:val="20"/>
        </w:rPr>
        <w:t xml:space="preserve">, </w:t>
      </w:r>
      <w:r w:rsidR="00E640BE" w:rsidRPr="00E640BE">
        <w:rPr>
          <w:noProof/>
          <w:szCs w:val="20"/>
        </w:rPr>
        <w:t xml:space="preserve">it is assumed that the obligation to open a bank account for </w:t>
      </w:r>
      <w:r w:rsidR="005B4D1B">
        <w:rPr>
          <w:noProof/>
          <w:szCs w:val="20"/>
        </w:rPr>
        <w:t>meeting</w:t>
      </w:r>
      <w:r w:rsidR="00245630">
        <w:rPr>
          <w:noProof/>
          <w:szCs w:val="20"/>
        </w:rPr>
        <w:t xml:space="preserve"> </w:t>
      </w:r>
      <w:r w:rsidR="00347EC5">
        <w:rPr>
          <w:noProof/>
          <w:szCs w:val="20"/>
        </w:rPr>
        <w:t>minimum capital</w:t>
      </w:r>
      <w:r w:rsidR="00E640BE" w:rsidRPr="00E640BE">
        <w:rPr>
          <w:noProof/>
          <w:szCs w:val="20"/>
        </w:rPr>
        <w:t xml:space="preserve"> </w:t>
      </w:r>
      <w:r w:rsidR="005B4D1B">
        <w:rPr>
          <w:noProof/>
          <w:szCs w:val="20"/>
        </w:rPr>
        <w:t>requirements</w:t>
      </w:r>
      <w:r w:rsidR="00E640BE" w:rsidRPr="00E640BE">
        <w:rPr>
          <w:noProof/>
          <w:szCs w:val="20"/>
        </w:rPr>
        <w:t xml:space="preserve"> delays company incorporation by </w:t>
      </w:r>
      <w:r w:rsidR="00DD73CA">
        <w:rPr>
          <w:noProof/>
          <w:szCs w:val="20"/>
        </w:rPr>
        <w:t>a</w:t>
      </w:r>
      <w:r w:rsidR="00044455">
        <w:rPr>
          <w:noProof/>
          <w:szCs w:val="20"/>
        </w:rPr>
        <w:t xml:space="preserve">n </w:t>
      </w:r>
      <w:r w:rsidR="00E640BE" w:rsidRPr="00783F25">
        <w:rPr>
          <w:noProof/>
          <w:szCs w:val="20"/>
        </w:rPr>
        <w:t>a</w:t>
      </w:r>
      <w:r w:rsidR="006930EA">
        <w:rPr>
          <w:noProof/>
          <w:szCs w:val="20"/>
        </w:rPr>
        <w:t>verage of</w:t>
      </w:r>
      <w:r w:rsidR="00E640BE" w:rsidRPr="00783F25">
        <w:rPr>
          <w:noProof/>
          <w:szCs w:val="20"/>
        </w:rPr>
        <w:t xml:space="preserve"> four weeks</w:t>
      </w:r>
      <w:r w:rsidR="00E640BE" w:rsidRPr="00E640BE">
        <w:rPr>
          <w:noProof/>
          <w:szCs w:val="20"/>
        </w:rPr>
        <w:t xml:space="preserve">. </w:t>
      </w:r>
    </w:p>
    <w:p w14:paraId="4C9C99A8" w14:textId="15B15F9E" w:rsidR="00E640BE" w:rsidRDefault="00F10501" w:rsidP="00E640BE">
      <w:pPr>
        <w:spacing w:after="0"/>
        <w:jc w:val="both"/>
        <w:rPr>
          <w:noProof/>
        </w:rPr>
      </w:pPr>
      <w:r>
        <w:rPr>
          <w:noProof/>
        </w:rPr>
        <w:t xml:space="preserve">Taking these elements together, the removal of the obligation to pay in minimum share capital at the moment of incorporation is estimated to generate direct efficiency gains of approximately </w:t>
      </w:r>
      <w:r w:rsidR="5F34DE00">
        <w:rPr>
          <w:noProof/>
        </w:rPr>
        <w:t>EUR</w:t>
      </w:r>
      <w:r w:rsidR="00422552">
        <w:rPr>
          <w:noProof/>
        </w:rPr>
        <w:t> </w:t>
      </w:r>
      <w:r w:rsidR="00D80EA0">
        <w:rPr>
          <w:noProof/>
        </w:rPr>
        <w:t>4</w:t>
      </w:r>
      <w:r>
        <w:rPr>
          <w:noProof/>
        </w:rPr>
        <w:t xml:space="preserve">00 per company. </w:t>
      </w:r>
      <w:r w:rsidR="00F11E51">
        <w:rPr>
          <w:noProof/>
        </w:rPr>
        <w:t xml:space="preserve">These savings are only applied to </w:t>
      </w:r>
      <w:r w:rsidR="00D32D09">
        <w:rPr>
          <w:noProof/>
        </w:rPr>
        <w:t xml:space="preserve">those legal forms in </w:t>
      </w:r>
      <w:r w:rsidR="00F11E51">
        <w:rPr>
          <w:noProof/>
        </w:rPr>
        <w:t>Member States where paid-in minimum share capital is legally required at the moment of incorporation or registration</w:t>
      </w:r>
      <w:r w:rsidR="00131D78">
        <w:rPr>
          <w:rStyle w:val="FootnoteReference"/>
          <w:noProof/>
        </w:rPr>
        <w:footnoteReference w:id="27"/>
      </w:r>
      <w:r w:rsidR="00F11E51">
        <w:rPr>
          <w:noProof/>
        </w:rPr>
        <w:t xml:space="preserve">. No savings are attributed to Member States where no such upfront capital requirement exists or where </w:t>
      </w:r>
      <w:r w:rsidR="00ED01E7">
        <w:rPr>
          <w:noProof/>
        </w:rPr>
        <w:t xml:space="preserve">paying in </w:t>
      </w:r>
      <w:r w:rsidR="00F11E51">
        <w:rPr>
          <w:noProof/>
        </w:rPr>
        <w:t xml:space="preserve">capital can be deferred, in order to ensure a </w:t>
      </w:r>
      <w:r w:rsidR="00EC5415">
        <w:rPr>
          <w:noProof/>
        </w:rPr>
        <w:t>realistic</w:t>
      </w:r>
      <w:r w:rsidR="00F11E51">
        <w:rPr>
          <w:noProof/>
        </w:rPr>
        <w:t xml:space="preserve"> and proportionate estimation.</w:t>
      </w:r>
      <w:r w:rsidR="00D32D09">
        <w:rPr>
          <w:noProof/>
        </w:rPr>
        <w:t xml:space="preserve"> The number of </w:t>
      </w:r>
      <w:r w:rsidR="00BF3089">
        <w:rPr>
          <w:noProof/>
        </w:rPr>
        <w:t>incorporations</w:t>
      </w:r>
      <w:r w:rsidR="00BF3089" w:rsidDel="00C97EC2">
        <w:rPr>
          <w:noProof/>
        </w:rPr>
        <w:t xml:space="preserve"> </w:t>
      </w:r>
      <w:r w:rsidR="00C97EC2">
        <w:rPr>
          <w:noProof/>
        </w:rPr>
        <w:t>is</w:t>
      </w:r>
      <w:r w:rsidR="00BF3089">
        <w:rPr>
          <w:noProof/>
        </w:rPr>
        <w:t xml:space="preserve"> based </w:t>
      </w:r>
      <w:r w:rsidR="00D32D09">
        <w:rPr>
          <w:noProof/>
        </w:rPr>
        <w:t xml:space="preserve">on the number of newly created companies in those </w:t>
      </w:r>
      <w:r w:rsidR="009E1E56">
        <w:rPr>
          <w:noProof/>
        </w:rPr>
        <w:t>M</w:t>
      </w:r>
      <w:r w:rsidR="00BF3089">
        <w:rPr>
          <w:noProof/>
        </w:rPr>
        <w:t>ember States</w:t>
      </w:r>
      <w:r w:rsidR="00FB4C96">
        <w:rPr>
          <w:noProof/>
        </w:rPr>
        <w:t>,</w:t>
      </w:r>
      <w:r w:rsidR="009E1E56">
        <w:rPr>
          <w:noProof/>
        </w:rPr>
        <w:t xml:space="preserve"> as </w:t>
      </w:r>
      <w:r w:rsidR="00E165EF">
        <w:rPr>
          <w:noProof/>
        </w:rPr>
        <w:t>described</w:t>
      </w:r>
      <w:r w:rsidR="000E49A5">
        <w:rPr>
          <w:noProof/>
        </w:rPr>
        <w:t xml:space="preserve"> </w:t>
      </w:r>
      <w:r w:rsidR="00FB4C96">
        <w:rPr>
          <w:noProof/>
        </w:rPr>
        <w:t xml:space="preserve">further above and in Annex </w:t>
      </w:r>
      <w:r w:rsidR="00E165EF">
        <w:rPr>
          <w:noProof/>
        </w:rPr>
        <w:t>8</w:t>
      </w:r>
      <w:r w:rsidR="009E1E56">
        <w:rPr>
          <w:noProof/>
        </w:rPr>
        <w:t>.</w:t>
      </w:r>
    </w:p>
    <w:p w14:paraId="17A6A5E8" w14:textId="0A55FB9F" w:rsidR="002F45CE" w:rsidRDefault="003072F1" w:rsidP="00E640BE">
      <w:pPr>
        <w:spacing w:after="0"/>
        <w:jc w:val="both"/>
        <w:rPr>
          <w:noProof/>
          <w:szCs w:val="20"/>
        </w:rPr>
      </w:pPr>
      <w:r w:rsidRPr="003072F1">
        <w:rPr>
          <w:noProof/>
          <w:szCs w:val="20"/>
        </w:rPr>
        <w:t xml:space="preserve">Besides the direct administrative and compliance costs linked to bank account opening and AML/KYC requirements, minimum share capital rules also </w:t>
      </w:r>
      <w:r w:rsidRPr="000E49A5">
        <w:rPr>
          <w:noProof/>
          <w:szCs w:val="20"/>
        </w:rPr>
        <w:t>create indirect economic and opportunity costs</w:t>
      </w:r>
      <w:r w:rsidRPr="003072F1">
        <w:rPr>
          <w:noProof/>
          <w:szCs w:val="20"/>
        </w:rPr>
        <w:t xml:space="preserve"> that are particularly relevant for early-stage founders</w:t>
      </w:r>
      <w:r w:rsidR="00C23C8F">
        <w:rPr>
          <w:noProof/>
          <w:szCs w:val="20"/>
        </w:rPr>
        <w:t xml:space="preserve"> (see </w:t>
      </w:r>
      <w:r w:rsidR="00824558">
        <w:rPr>
          <w:noProof/>
          <w:szCs w:val="20"/>
        </w:rPr>
        <w:t xml:space="preserve">table on </w:t>
      </w:r>
      <w:r w:rsidR="00C23C8F">
        <w:rPr>
          <w:noProof/>
          <w:szCs w:val="20"/>
        </w:rPr>
        <w:t>assessment of efficiency</w:t>
      </w:r>
      <w:r w:rsidR="00824558">
        <w:rPr>
          <w:noProof/>
          <w:szCs w:val="20"/>
        </w:rPr>
        <w:t xml:space="preserve"> related to policy options 6)</w:t>
      </w:r>
      <w:r w:rsidRPr="003072F1">
        <w:rPr>
          <w:noProof/>
          <w:szCs w:val="20"/>
        </w:rPr>
        <w:t>.</w:t>
      </w:r>
      <w:r>
        <w:rPr>
          <w:noProof/>
          <w:szCs w:val="20"/>
        </w:rPr>
        <w:t xml:space="preserve"> </w:t>
      </w:r>
    </w:p>
    <w:p w14:paraId="2C46FB97" w14:textId="4E9A15C8" w:rsidR="00BA09C9" w:rsidRDefault="00BA09C9" w:rsidP="0047481B">
      <w:pPr>
        <w:spacing w:after="0"/>
        <w:jc w:val="both"/>
        <w:rPr>
          <w:b/>
          <w:noProof/>
          <w:szCs w:val="20"/>
        </w:rPr>
      </w:pPr>
      <w:r w:rsidRPr="003B14BB">
        <w:rPr>
          <w:b/>
          <w:noProof/>
          <w:szCs w:val="20"/>
        </w:rPr>
        <w:t xml:space="preserve">Policy Option </w:t>
      </w:r>
      <w:r w:rsidR="0047481B">
        <w:rPr>
          <w:b/>
          <w:noProof/>
          <w:szCs w:val="20"/>
        </w:rPr>
        <w:t>6</w:t>
      </w:r>
      <w:r w:rsidRPr="003B14BB">
        <w:rPr>
          <w:b/>
          <w:noProof/>
          <w:szCs w:val="20"/>
        </w:rPr>
        <w:t>c</w:t>
      </w:r>
      <w:r>
        <w:rPr>
          <w:b/>
          <w:noProof/>
          <w:szCs w:val="20"/>
        </w:rPr>
        <w:t xml:space="preserve">: Option </w:t>
      </w:r>
      <w:r w:rsidR="0047481B">
        <w:rPr>
          <w:b/>
          <w:noProof/>
          <w:szCs w:val="20"/>
        </w:rPr>
        <w:t>6</w:t>
      </w:r>
      <w:r w:rsidR="00BA5393">
        <w:rPr>
          <w:b/>
          <w:noProof/>
          <w:szCs w:val="20"/>
        </w:rPr>
        <w:t>a</w:t>
      </w:r>
      <w:r>
        <w:rPr>
          <w:b/>
          <w:noProof/>
          <w:szCs w:val="20"/>
        </w:rPr>
        <w:t xml:space="preserve"> + </w:t>
      </w:r>
      <w:r w:rsidR="00BA5393">
        <w:rPr>
          <w:b/>
          <w:noProof/>
          <w:szCs w:val="20"/>
        </w:rPr>
        <w:t>c</w:t>
      </w:r>
      <w:r w:rsidR="006948DE" w:rsidRPr="006948DE">
        <w:rPr>
          <w:b/>
          <w:noProof/>
          <w:szCs w:val="20"/>
        </w:rPr>
        <w:t>ommon minimum share capital of EUR</w:t>
      </w:r>
      <w:r w:rsidR="00107466">
        <w:rPr>
          <w:b/>
          <w:noProof/>
          <w:szCs w:val="20"/>
        </w:rPr>
        <w:t> </w:t>
      </w:r>
      <w:r w:rsidR="000D48C9">
        <w:rPr>
          <w:b/>
          <w:noProof/>
          <w:szCs w:val="20"/>
        </w:rPr>
        <w:t>5</w:t>
      </w:r>
      <w:r>
        <w:rPr>
          <w:b/>
          <w:noProof/>
          <w:szCs w:val="20"/>
        </w:rPr>
        <w:t> </w:t>
      </w:r>
      <w:r w:rsidR="00D832F1">
        <w:rPr>
          <w:b/>
          <w:noProof/>
          <w:szCs w:val="20"/>
        </w:rPr>
        <w:t>0</w:t>
      </w:r>
      <w:r w:rsidR="00D01862">
        <w:rPr>
          <w:b/>
          <w:noProof/>
          <w:szCs w:val="20"/>
        </w:rPr>
        <w:t>0</w:t>
      </w:r>
      <w:r>
        <w:rPr>
          <w:b/>
          <w:noProof/>
          <w:szCs w:val="20"/>
        </w:rPr>
        <w:t>0</w:t>
      </w:r>
      <w:r w:rsidR="006948DE" w:rsidRPr="006948DE">
        <w:rPr>
          <w:b/>
          <w:noProof/>
          <w:szCs w:val="20"/>
        </w:rPr>
        <w:t xml:space="preserve"> for incorporation of 28</w:t>
      </w:r>
      <w:r w:rsidR="006948DE" w:rsidRPr="006948DE">
        <w:rPr>
          <w:b/>
          <w:noProof/>
          <w:szCs w:val="20"/>
          <w:vertAlign w:val="superscript"/>
        </w:rPr>
        <w:t>th</w:t>
      </w:r>
      <w:r w:rsidR="006948DE" w:rsidRPr="006948DE">
        <w:rPr>
          <w:b/>
          <w:noProof/>
          <w:szCs w:val="20"/>
        </w:rPr>
        <w:t xml:space="preserve"> regime companies</w:t>
      </w:r>
      <w:r w:rsidR="006948DE">
        <w:rPr>
          <w:b/>
          <w:noProof/>
          <w:szCs w:val="20"/>
        </w:rPr>
        <w:t xml:space="preserve"> </w:t>
      </w:r>
      <w:r w:rsidR="00B173BB">
        <w:rPr>
          <w:b/>
          <w:noProof/>
          <w:szCs w:val="20"/>
        </w:rPr>
        <w:t>with</w:t>
      </w:r>
      <w:r w:rsidR="006948DE">
        <w:rPr>
          <w:b/>
          <w:noProof/>
          <w:szCs w:val="20"/>
        </w:rPr>
        <w:t xml:space="preserve"> h</w:t>
      </w:r>
      <w:r w:rsidR="006948DE" w:rsidRPr="006948DE">
        <w:rPr>
          <w:b/>
          <w:noProof/>
          <w:szCs w:val="20"/>
        </w:rPr>
        <w:t xml:space="preserve">armonised creditor </w:t>
      </w:r>
      <w:r w:rsidR="006336C2">
        <w:rPr>
          <w:b/>
          <w:noProof/>
          <w:szCs w:val="20"/>
        </w:rPr>
        <w:t xml:space="preserve">protection </w:t>
      </w:r>
      <w:r w:rsidR="006948DE" w:rsidRPr="006948DE">
        <w:rPr>
          <w:b/>
          <w:noProof/>
          <w:szCs w:val="20"/>
        </w:rPr>
        <w:t xml:space="preserve">safeguards based primarily on capital maintenance </w:t>
      </w:r>
    </w:p>
    <w:p w14:paraId="2B9826F5" w14:textId="3EADF64D" w:rsidR="009F7BBF" w:rsidRPr="009F7BBF" w:rsidRDefault="00121231" w:rsidP="009F7BBF">
      <w:pPr>
        <w:jc w:val="both"/>
        <w:rPr>
          <w:noProof/>
          <w:szCs w:val="20"/>
        </w:rPr>
      </w:pPr>
      <w:r>
        <w:rPr>
          <w:noProof/>
          <w:szCs w:val="20"/>
        </w:rPr>
        <w:t>In addition to option 6a, t</w:t>
      </w:r>
      <w:r w:rsidR="009F7BBF" w:rsidRPr="009F7BBF">
        <w:rPr>
          <w:noProof/>
          <w:szCs w:val="20"/>
        </w:rPr>
        <w:t xml:space="preserve">he efficiency assessment of </w:t>
      </w:r>
      <w:r w:rsidR="001442E3">
        <w:rPr>
          <w:noProof/>
          <w:szCs w:val="20"/>
        </w:rPr>
        <w:t xml:space="preserve">the </w:t>
      </w:r>
      <w:r>
        <w:rPr>
          <w:noProof/>
          <w:szCs w:val="20"/>
        </w:rPr>
        <w:t xml:space="preserve">additional elements of </w:t>
      </w:r>
      <w:r w:rsidR="005D2EAA">
        <w:rPr>
          <w:noProof/>
          <w:szCs w:val="20"/>
        </w:rPr>
        <w:t>p</w:t>
      </w:r>
      <w:r w:rsidR="009F7BBF" w:rsidRPr="009F7BBF">
        <w:rPr>
          <w:noProof/>
          <w:szCs w:val="20"/>
        </w:rPr>
        <w:t xml:space="preserve">olicy </w:t>
      </w:r>
      <w:r w:rsidR="005D2EAA">
        <w:rPr>
          <w:noProof/>
          <w:szCs w:val="20"/>
        </w:rPr>
        <w:t>o</w:t>
      </w:r>
      <w:r w:rsidR="009F7BBF" w:rsidRPr="009F7BBF">
        <w:rPr>
          <w:noProof/>
          <w:szCs w:val="20"/>
        </w:rPr>
        <w:t xml:space="preserve">ption 6c is conducted on a predominantly qualitative basis. This reflects the fact that the main efficiency gains generated </w:t>
      </w:r>
      <w:r w:rsidR="000A6F52">
        <w:rPr>
          <w:noProof/>
          <w:szCs w:val="20"/>
        </w:rPr>
        <w:t>b</w:t>
      </w:r>
      <w:r w:rsidR="00E41CED">
        <w:rPr>
          <w:noProof/>
          <w:szCs w:val="20"/>
        </w:rPr>
        <w:t>y</w:t>
      </w:r>
      <w:r w:rsidR="000A6F52">
        <w:rPr>
          <w:noProof/>
          <w:szCs w:val="20"/>
        </w:rPr>
        <w:t xml:space="preserve"> common minimum share capital </w:t>
      </w:r>
      <w:r w:rsidR="00E41CED">
        <w:rPr>
          <w:noProof/>
          <w:szCs w:val="20"/>
        </w:rPr>
        <w:t>requirement</w:t>
      </w:r>
      <w:r w:rsidR="000A6F52">
        <w:rPr>
          <w:noProof/>
          <w:szCs w:val="20"/>
        </w:rPr>
        <w:t xml:space="preserve"> and harmonised capital maintenance </w:t>
      </w:r>
      <w:r w:rsidR="009D40E2">
        <w:rPr>
          <w:noProof/>
          <w:szCs w:val="20"/>
        </w:rPr>
        <w:t>rules</w:t>
      </w:r>
      <w:r w:rsidR="000C4B49">
        <w:rPr>
          <w:noProof/>
          <w:szCs w:val="20"/>
        </w:rPr>
        <w:t xml:space="preserve"> </w:t>
      </w:r>
      <w:r w:rsidR="009F7BBF" w:rsidRPr="009F7BBF">
        <w:rPr>
          <w:noProof/>
          <w:szCs w:val="20"/>
        </w:rPr>
        <w:t>do not arise from measurable reductions in transaction costs, but rather from harmonisation, legal simplification and increased regulatory predictability.</w:t>
      </w:r>
    </w:p>
    <w:p w14:paraId="071B607F" w14:textId="6068EA99" w:rsidR="009F7BBF" w:rsidRPr="009F7BBF" w:rsidRDefault="009F7BBF" w:rsidP="009F7BBF">
      <w:pPr>
        <w:jc w:val="both"/>
        <w:rPr>
          <w:noProof/>
          <w:szCs w:val="20"/>
        </w:rPr>
      </w:pPr>
      <w:r w:rsidRPr="009F7BBF">
        <w:rPr>
          <w:noProof/>
          <w:szCs w:val="20"/>
        </w:rPr>
        <w:t>By introducing a single, uniform minimum share capital requirement of EUR</w:t>
      </w:r>
      <w:r w:rsidR="00107466">
        <w:rPr>
          <w:noProof/>
          <w:szCs w:val="20"/>
        </w:rPr>
        <w:t> </w:t>
      </w:r>
      <w:r w:rsidR="002E5EA9">
        <w:rPr>
          <w:noProof/>
          <w:szCs w:val="20"/>
        </w:rPr>
        <w:t>5</w:t>
      </w:r>
      <w:r>
        <w:rPr>
          <w:noProof/>
          <w:szCs w:val="20"/>
        </w:rPr>
        <w:t> 0</w:t>
      </w:r>
      <w:r w:rsidRPr="009F7BBF">
        <w:rPr>
          <w:noProof/>
          <w:szCs w:val="20"/>
        </w:rPr>
        <w:t>00 for 28th regime companies, PO6c reduces information costs, legal complexity and uncertainty for founders and investors.</w:t>
      </w:r>
      <w:r w:rsidR="00FD08C1">
        <w:rPr>
          <w:noProof/>
          <w:szCs w:val="20"/>
        </w:rPr>
        <w:t xml:space="preserve"> </w:t>
      </w:r>
      <w:r w:rsidRPr="009F7BBF">
        <w:rPr>
          <w:noProof/>
          <w:szCs w:val="20"/>
        </w:rPr>
        <w:t>These efficiency gains are largely qualitative in nature and are therefore not monetised.</w:t>
      </w:r>
    </w:p>
    <w:p w14:paraId="3DB8BC81" w14:textId="10A3E1DB" w:rsidR="001B39BA" w:rsidRDefault="009F7BBF" w:rsidP="13FDF75B">
      <w:pPr>
        <w:jc w:val="both"/>
        <w:rPr>
          <w:b/>
          <w:bCs/>
          <w:noProof/>
          <w:u w:val="single"/>
        </w:rPr>
      </w:pPr>
      <w:r>
        <w:rPr>
          <w:noProof/>
        </w:rPr>
        <w:t xml:space="preserve">At the same time, </w:t>
      </w:r>
      <w:r w:rsidR="00CB1638">
        <w:rPr>
          <w:noProof/>
        </w:rPr>
        <w:t xml:space="preserve">option </w:t>
      </w:r>
      <w:r>
        <w:rPr>
          <w:noProof/>
        </w:rPr>
        <w:t>6c may generate indirect or opportunity costs in those Member States where existing national private limited company forms require a lower minimum capital than the EUR</w:t>
      </w:r>
      <w:r w:rsidR="0031706B">
        <w:rPr>
          <w:noProof/>
        </w:rPr>
        <w:t> </w:t>
      </w:r>
      <w:r w:rsidR="00CB1638">
        <w:rPr>
          <w:noProof/>
        </w:rPr>
        <w:t>5</w:t>
      </w:r>
      <w:r>
        <w:rPr>
          <w:noProof/>
        </w:rPr>
        <w:t xml:space="preserve"> 000 threshold set under this policy option. </w:t>
      </w:r>
      <w:r w:rsidR="00783F25" w:rsidRPr="13FDF75B">
        <w:rPr>
          <w:b/>
          <w:bCs/>
          <w:noProof/>
          <w:u w:val="single"/>
        </w:rPr>
        <w:t xml:space="preserve"> </w:t>
      </w:r>
    </w:p>
    <w:p w14:paraId="73B13986" w14:textId="57212298" w:rsidR="00BA09C9" w:rsidRPr="003B14BB" w:rsidRDefault="00BA09C9" w:rsidP="0047481B">
      <w:pPr>
        <w:spacing w:after="0"/>
        <w:jc w:val="both"/>
        <w:rPr>
          <w:b/>
          <w:noProof/>
          <w:szCs w:val="20"/>
          <w:u w:val="single"/>
        </w:rPr>
      </w:pPr>
      <w:r w:rsidRPr="003B14BB">
        <w:rPr>
          <w:b/>
          <w:noProof/>
          <w:szCs w:val="20"/>
          <w:u w:val="single"/>
        </w:rPr>
        <w:t xml:space="preserve">Policy options </w:t>
      </w:r>
      <w:r>
        <w:rPr>
          <w:b/>
          <w:noProof/>
          <w:szCs w:val="20"/>
          <w:u w:val="single"/>
        </w:rPr>
        <w:t xml:space="preserve">7 </w:t>
      </w:r>
      <w:r w:rsidR="007749DA" w:rsidRPr="007749DA">
        <w:rPr>
          <w:b/>
          <w:noProof/>
          <w:szCs w:val="20"/>
          <w:u w:val="single"/>
        </w:rPr>
        <w:t>to facilitate exit options</w:t>
      </w:r>
    </w:p>
    <w:p w14:paraId="22D24B01" w14:textId="130453AC" w:rsidR="00417BAB" w:rsidRPr="00417BAB" w:rsidRDefault="00BA09C9" w:rsidP="00417BAB">
      <w:pPr>
        <w:spacing w:after="0"/>
        <w:jc w:val="both"/>
        <w:rPr>
          <w:b/>
          <w:noProof/>
          <w:szCs w:val="20"/>
        </w:rPr>
      </w:pPr>
      <w:r w:rsidRPr="003B14BB">
        <w:rPr>
          <w:b/>
          <w:noProof/>
          <w:szCs w:val="20"/>
        </w:rPr>
        <w:t xml:space="preserve">Policy Option </w:t>
      </w:r>
      <w:r w:rsidR="0047481B">
        <w:rPr>
          <w:b/>
          <w:noProof/>
          <w:szCs w:val="20"/>
        </w:rPr>
        <w:t>7</w:t>
      </w:r>
      <w:r w:rsidRPr="003B14BB">
        <w:rPr>
          <w:b/>
          <w:noProof/>
          <w:szCs w:val="20"/>
        </w:rPr>
        <w:t>a</w:t>
      </w:r>
      <w:r>
        <w:rPr>
          <w:b/>
          <w:noProof/>
          <w:szCs w:val="20"/>
        </w:rPr>
        <w:t xml:space="preserve">: </w:t>
      </w:r>
      <w:r w:rsidR="00B173BB">
        <w:rPr>
          <w:b/>
          <w:noProof/>
          <w:szCs w:val="20"/>
        </w:rPr>
        <w:t xml:space="preserve">Ensure that </w:t>
      </w:r>
      <w:r w:rsidR="00417BAB" w:rsidRPr="00417BAB">
        <w:rPr>
          <w:b/>
          <w:noProof/>
          <w:szCs w:val="20"/>
        </w:rPr>
        <w:t>transfers of shares of 28</w:t>
      </w:r>
      <w:r w:rsidR="00417BAB" w:rsidRPr="00417BAB">
        <w:rPr>
          <w:b/>
          <w:noProof/>
          <w:szCs w:val="20"/>
          <w:vertAlign w:val="superscript"/>
        </w:rPr>
        <w:t>th</w:t>
      </w:r>
      <w:r w:rsidR="00417BAB" w:rsidRPr="00417BAB">
        <w:rPr>
          <w:b/>
          <w:noProof/>
          <w:szCs w:val="20"/>
        </w:rPr>
        <w:t xml:space="preserve"> regime companies </w:t>
      </w:r>
      <w:r w:rsidR="00DD5B9C">
        <w:rPr>
          <w:b/>
          <w:noProof/>
          <w:szCs w:val="20"/>
        </w:rPr>
        <w:t>can</w:t>
      </w:r>
      <w:r w:rsidR="00417BAB" w:rsidRPr="00417BAB">
        <w:rPr>
          <w:b/>
          <w:noProof/>
          <w:szCs w:val="20"/>
        </w:rPr>
        <w:t xml:space="preserve"> be carried out fully digitally</w:t>
      </w:r>
    </w:p>
    <w:p w14:paraId="73AFBB52" w14:textId="2B53B474" w:rsidR="005C0BE8" w:rsidRPr="005C0BE8" w:rsidRDefault="00317922" w:rsidP="0038673E">
      <w:pPr>
        <w:jc w:val="both"/>
        <w:rPr>
          <w:noProof/>
        </w:rPr>
      </w:pPr>
      <w:r w:rsidRPr="6F00936E">
        <w:rPr>
          <w:rFonts w:eastAsia="Calibri"/>
          <w:noProof/>
        </w:rPr>
        <w:t>Under this policy option,</w:t>
      </w:r>
      <w:r w:rsidRPr="6F00936E">
        <w:rPr>
          <w:rFonts w:eastAsia="Calibri"/>
          <w:b/>
          <w:bCs/>
          <w:noProof/>
        </w:rPr>
        <w:t xml:space="preserve"> </w:t>
      </w:r>
      <w:r w:rsidR="00BB1744" w:rsidRPr="6F00936E">
        <w:rPr>
          <w:rFonts w:eastAsia="Calibri"/>
          <w:noProof/>
        </w:rPr>
        <w:t>28</w:t>
      </w:r>
      <w:r w:rsidR="00BB1744" w:rsidRPr="6F00936E">
        <w:rPr>
          <w:rFonts w:eastAsia="Calibri"/>
          <w:noProof/>
          <w:vertAlign w:val="superscript"/>
        </w:rPr>
        <w:t>th</w:t>
      </w:r>
      <w:r w:rsidR="00BB1744" w:rsidRPr="6F00936E">
        <w:rPr>
          <w:rFonts w:eastAsia="Calibri"/>
          <w:noProof/>
        </w:rPr>
        <w:t xml:space="preserve"> regime companies</w:t>
      </w:r>
      <w:r w:rsidR="0093591C" w:rsidRPr="6F00936E">
        <w:rPr>
          <w:rFonts w:eastAsia="Calibri"/>
          <w:noProof/>
        </w:rPr>
        <w:t xml:space="preserve"> would </w:t>
      </w:r>
      <w:r w:rsidR="00DF6CA9" w:rsidRPr="6F00936E">
        <w:rPr>
          <w:rFonts w:eastAsia="Calibri"/>
          <w:noProof/>
        </w:rPr>
        <w:t xml:space="preserve">be able to </w:t>
      </w:r>
      <w:r w:rsidR="0093591C" w:rsidRPr="6F00936E">
        <w:rPr>
          <w:rFonts w:eastAsia="Calibri"/>
          <w:noProof/>
        </w:rPr>
        <w:t>transfer</w:t>
      </w:r>
      <w:r w:rsidR="00BB1744" w:rsidRPr="6F00936E">
        <w:rPr>
          <w:rFonts w:eastAsia="Calibri"/>
          <w:noProof/>
        </w:rPr>
        <w:t xml:space="preserve"> shares fully digitally and</w:t>
      </w:r>
      <w:r>
        <w:rPr>
          <w:rFonts w:eastAsia="Calibri"/>
          <w:noProof/>
        </w:rPr>
        <w:t>,</w:t>
      </w:r>
      <w:r w:rsidR="00BB1744" w:rsidRPr="6F00936E">
        <w:rPr>
          <w:rFonts w:eastAsia="Calibri"/>
          <w:noProof/>
        </w:rPr>
        <w:t xml:space="preserve"> where intermediaries such as notaries or lawyers</w:t>
      </w:r>
      <w:r w:rsidR="0093591C" w:rsidRPr="6F00936E">
        <w:rPr>
          <w:rFonts w:eastAsia="Calibri"/>
          <w:noProof/>
        </w:rPr>
        <w:t xml:space="preserve"> are involved </w:t>
      </w:r>
      <w:r w:rsidR="00BB1744" w:rsidRPr="6F00936E">
        <w:rPr>
          <w:rFonts w:eastAsia="Calibri"/>
          <w:noProof/>
        </w:rPr>
        <w:t>in share transfers, the</w:t>
      </w:r>
      <w:r w:rsidR="0093591C" w:rsidRPr="6F00936E">
        <w:rPr>
          <w:rFonts w:eastAsia="Calibri"/>
          <w:noProof/>
        </w:rPr>
        <w:t>y</w:t>
      </w:r>
      <w:r w:rsidR="00BB1744" w:rsidRPr="6F00936E">
        <w:rPr>
          <w:rFonts w:eastAsia="Calibri"/>
          <w:noProof/>
        </w:rPr>
        <w:t xml:space="preserve"> would have to provide their services fully online. </w:t>
      </w:r>
      <w:r w:rsidR="0093591C" w:rsidRPr="6F00936E">
        <w:rPr>
          <w:rFonts w:eastAsia="Calibri"/>
          <w:noProof/>
        </w:rPr>
        <w:t>Compared</w:t>
      </w:r>
      <w:r w:rsidR="00C456FC" w:rsidRPr="6F00936E">
        <w:rPr>
          <w:rFonts w:eastAsia="Calibri"/>
          <w:noProof/>
        </w:rPr>
        <w:t xml:space="preserve"> to</w:t>
      </w:r>
      <w:r w:rsidR="0093591C" w:rsidRPr="6F00936E">
        <w:rPr>
          <w:rFonts w:eastAsia="Calibri"/>
          <w:noProof/>
        </w:rPr>
        <w:t xml:space="preserve"> today, </w:t>
      </w:r>
      <w:r w:rsidR="0093591C">
        <w:rPr>
          <w:noProof/>
        </w:rPr>
        <w:t>b</w:t>
      </w:r>
      <w:r w:rsidR="005C0BE8">
        <w:rPr>
          <w:noProof/>
        </w:rPr>
        <w:t xml:space="preserve">ased on stakeholder input and expert judgement, </w:t>
      </w:r>
      <w:r w:rsidR="0093591C">
        <w:rPr>
          <w:noProof/>
        </w:rPr>
        <w:t xml:space="preserve">these measures are </w:t>
      </w:r>
      <w:r w:rsidR="005C0BE8">
        <w:rPr>
          <w:noProof/>
        </w:rPr>
        <w:t xml:space="preserve">assumed to reduce the active time spent per share-transfer transaction by approximately 5 hours for investors and company representatives, reflecting the simplification of procedures and the elimination of in-person steps. Applying a </w:t>
      </w:r>
      <w:r w:rsidR="009B53C6">
        <w:rPr>
          <w:noProof/>
        </w:rPr>
        <w:t>standard</w:t>
      </w:r>
      <w:r w:rsidR="005C0BE8">
        <w:rPr>
          <w:noProof/>
        </w:rPr>
        <w:t xml:space="preserve"> hourly cost of </w:t>
      </w:r>
      <w:r w:rsidR="129AFB60">
        <w:rPr>
          <w:noProof/>
        </w:rPr>
        <w:t>EUR</w:t>
      </w:r>
      <w:r w:rsidR="0031706B">
        <w:rPr>
          <w:noProof/>
        </w:rPr>
        <w:t> </w:t>
      </w:r>
      <w:r w:rsidR="005C0BE8">
        <w:rPr>
          <w:noProof/>
        </w:rPr>
        <w:t xml:space="preserve">40/hour (reflecting a mix of founder, employee and investor time), this corresponds to </w:t>
      </w:r>
      <w:r w:rsidR="5EB4A404">
        <w:rPr>
          <w:noProof/>
        </w:rPr>
        <w:t>EUR</w:t>
      </w:r>
      <w:r w:rsidR="0031706B">
        <w:rPr>
          <w:noProof/>
        </w:rPr>
        <w:t> </w:t>
      </w:r>
      <w:r w:rsidR="005C0BE8">
        <w:rPr>
          <w:noProof/>
        </w:rPr>
        <w:t>200 per transaction.</w:t>
      </w:r>
    </w:p>
    <w:p w14:paraId="37B222AA" w14:textId="559A9EA3" w:rsidR="005C0BE8" w:rsidRPr="005C0BE8" w:rsidRDefault="005C0BE8" w:rsidP="005C0BE8">
      <w:pPr>
        <w:spacing w:after="0"/>
        <w:jc w:val="both"/>
        <w:rPr>
          <w:noProof/>
        </w:rPr>
      </w:pPr>
      <w:r>
        <w:rPr>
          <w:noProof/>
        </w:rPr>
        <w:t xml:space="preserve">In addition, PO7a would reduce or eliminate several </w:t>
      </w:r>
      <w:r w:rsidR="00BA796C">
        <w:rPr>
          <w:noProof/>
        </w:rPr>
        <w:t>direct</w:t>
      </w:r>
      <w:r>
        <w:rPr>
          <w:noProof/>
        </w:rPr>
        <w:t xml:space="preserve"> costs frequently associated with physical execution, including powers of attorney (often required per investor or seller and multiplied in transactions involving several parties), apostille or legalisation fees (approximately </w:t>
      </w:r>
      <w:r w:rsidR="2E31CDE9">
        <w:rPr>
          <w:noProof/>
        </w:rPr>
        <w:t>EUR</w:t>
      </w:r>
      <w:r w:rsidR="0031706B">
        <w:rPr>
          <w:noProof/>
        </w:rPr>
        <w:t> </w:t>
      </w:r>
      <w:r>
        <w:rPr>
          <w:noProof/>
        </w:rPr>
        <w:t>10–</w:t>
      </w:r>
      <w:r w:rsidR="2E31CDE9">
        <w:rPr>
          <w:noProof/>
        </w:rPr>
        <w:t>EUR</w:t>
      </w:r>
      <w:r w:rsidR="0031706B">
        <w:rPr>
          <w:noProof/>
        </w:rPr>
        <w:t> </w:t>
      </w:r>
      <w:r>
        <w:rPr>
          <w:noProof/>
        </w:rPr>
        <w:t xml:space="preserve">25 per document), and travel and accommodation costs for cross-border appointments (conservatively </w:t>
      </w:r>
      <w:r w:rsidR="00B12D58">
        <w:rPr>
          <w:noProof/>
        </w:rPr>
        <w:t xml:space="preserve">estimated at </w:t>
      </w:r>
      <w:r w:rsidR="68DCF738">
        <w:rPr>
          <w:noProof/>
        </w:rPr>
        <w:t>EUR</w:t>
      </w:r>
      <w:r w:rsidR="0031706B">
        <w:rPr>
          <w:noProof/>
        </w:rPr>
        <w:t> </w:t>
      </w:r>
      <w:r>
        <w:rPr>
          <w:noProof/>
        </w:rPr>
        <w:t>200–</w:t>
      </w:r>
      <w:r w:rsidR="68DCF738">
        <w:rPr>
          <w:noProof/>
        </w:rPr>
        <w:t>EUR</w:t>
      </w:r>
      <w:r w:rsidR="0031706B">
        <w:rPr>
          <w:noProof/>
        </w:rPr>
        <w:t> </w:t>
      </w:r>
      <w:r>
        <w:rPr>
          <w:noProof/>
        </w:rPr>
        <w:t xml:space="preserve">600 per person). </w:t>
      </w:r>
      <w:r w:rsidR="004654F5">
        <w:rPr>
          <w:noProof/>
        </w:rPr>
        <w:t>A</w:t>
      </w:r>
      <w:r>
        <w:rPr>
          <w:noProof/>
        </w:rPr>
        <w:t>ssuming</w:t>
      </w:r>
      <w:r w:rsidR="00BD517A">
        <w:rPr>
          <w:noProof/>
        </w:rPr>
        <w:t xml:space="preserve"> the need for</w:t>
      </w:r>
      <w:r>
        <w:rPr>
          <w:noProof/>
        </w:rPr>
        <w:t xml:space="preserve"> only one power of attorney and no international travel</w:t>
      </w:r>
      <w:r w:rsidR="00BD517A">
        <w:rPr>
          <w:noProof/>
        </w:rPr>
        <w:t xml:space="preserve"> for an average transaction</w:t>
      </w:r>
      <w:r>
        <w:rPr>
          <w:noProof/>
        </w:rPr>
        <w:t xml:space="preserve">, conservative direct cost savings of around </w:t>
      </w:r>
      <w:r w:rsidR="142BF8C1">
        <w:rPr>
          <w:noProof/>
        </w:rPr>
        <w:t>EUR</w:t>
      </w:r>
      <w:r w:rsidR="0031706B">
        <w:rPr>
          <w:noProof/>
        </w:rPr>
        <w:t> </w:t>
      </w:r>
      <w:r>
        <w:rPr>
          <w:noProof/>
        </w:rPr>
        <w:t xml:space="preserve">500 per </w:t>
      </w:r>
      <w:r w:rsidR="00BD517A">
        <w:rPr>
          <w:noProof/>
        </w:rPr>
        <w:t>such</w:t>
      </w:r>
      <w:r>
        <w:rPr>
          <w:noProof/>
        </w:rPr>
        <w:t xml:space="preserve"> transaction can be expected; where travel or multiple parties are involved, savings are materially higher.</w:t>
      </w:r>
    </w:p>
    <w:p w14:paraId="47E8A08F" w14:textId="4B692B90" w:rsidR="005C0BE8" w:rsidRPr="005C0BE8" w:rsidRDefault="005C0BE8" w:rsidP="005C0BE8">
      <w:pPr>
        <w:spacing w:after="0"/>
        <w:jc w:val="both"/>
        <w:rPr>
          <w:noProof/>
          <w:szCs w:val="20"/>
        </w:rPr>
      </w:pPr>
      <w:r w:rsidRPr="005C0BE8">
        <w:rPr>
          <w:noProof/>
          <w:szCs w:val="20"/>
        </w:rPr>
        <w:t xml:space="preserve">Finally, it is conservatively assumed that enabling fully digital share transfers would reduce the overall </w:t>
      </w:r>
      <w:r w:rsidRPr="00F66DDC">
        <w:rPr>
          <w:noProof/>
          <w:szCs w:val="20"/>
        </w:rPr>
        <w:t>waiting time</w:t>
      </w:r>
      <w:r w:rsidRPr="005C0BE8">
        <w:rPr>
          <w:noProof/>
          <w:szCs w:val="20"/>
        </w:rPr>
        <w:t xml:space="preserve"> for completing a transaction by at least</w:t>
      </w:r>
      <w:r w:rsidRPr="005C0BE8">
        <w:rPr>
          <w:b/>
          <w:noProof/>
          <w:szCs w:val="20"/>
        </w:rPr>
        <w:t xml:space="preserve"> </w:t>
      </w:r>
      <w:r w:rsidR="00686740" w:rsidRPr="00901941">
        <w:rPr>
          <w:noProof/>
          <w:szCs w:val="20"/>
        </w:rPr>
        <w:t>5</w:t>
      </w:r>
      <w:r w:rsidRPr="00901941">
        <w:rPr>
          <w:noProof/>
          <w:szCs w:val="20"/>
        </w:rPr>
        <w:t xml:space="preserve"> </w:t>
      </w:r>
      <w:r w:rsidR="00686740" w:rsidRPr="00901941">
        <w:rPr>
          <w:noProof/>
          <w:szCs w:val="20"/>
        </w:rPr>
        <w:t>calendar</w:t>
      </w:r>
      <w:r w:rsidRPr="00901941">
        <w:rPr>
          <w:noProof/>
          <w:szCs w:val="20"/>
        </w:rPr>
        <w:t xml:space="preserve"> days</w:t>
      </w:r>
      <w:r w:rsidRPr="005C0BE8">
        <w:rPr>
          <w:noProof/>
          <w:szCs w:val="20"/>
        </w:rPr>
        <w:t xml:space="preserve"> in standard cross-border cases, contributing to faster deal execution and improved liquidity for investors.</w:t>
      </w:r>
    </w:p>
    <w:p w14:paraId="305ED5B2" w14:textId="27C4BFF0" w:rsidR="008357CD" w:rsidRPr="00313526" w:rsidRDefault="008357CD" w:rsidP="00313526">
      <w:pPr>
        <w:spacing w:after="0"/>
        <w:jc w:val="both"/>
        <w:rPr>
          <w:noProof/>
        </w:rPr>
      </w:pPr>
      <w:r>
        <w:rPr>
          <w:noProof/>
        </w:rPr>
        <w:t xml:space="preserve">Taken together, PO7a is estimated to generate per-transaction savings of approximately </w:t>
      </w:r>
      <w:r w:rsidR="6E41B8C6">
        <w:rPr>
          <w:noProof/>
        </w:rPr>
        <w:t>EUR</w:t>
      </w:r>
      <w:r w:rsidR="0031706B">
        <w:rPr>
          <w:noProof/>
        </w:rPr>
        <w:t> </w:t>
      </w:r>
      <w:r w:rsidR="00686740">
        <w:rPr>
          <w:noProof/>
        </w:rPr>
        <w:t>7</w:t>
      </w:r>
      <w:r>
        <w:rPr>
          <w:noProof/>
        </w:rPr>
        <w:t>00 through reduced time</w:t>
      </w:r>
      <w:r w:rsidR="00686740">
        <w:rPr>
          <w:noProof/>
        </w:rPr>
        <w:t xml:space="preserve"> spent</w:t>
      </w:r>
      <w:r>
        <w:rPr>
          <w:noProof/>
        </w:rPr>
        <w:t xml:space="preserve"> and </w:t>
      </w:r>
      <w:r w:rsidR="00686740">
        <w:rPr>
          <w:noProof/>
        </w:rPr>
        <w:t>direct</w:t>
      </w:r>
      <w:r>
        <w:rPr>
          <w:noProof/>
        </w:rPr>
        <w:t xml:space="preserve"> costs.</w:t>
      </w:r>
    </w:p>
    <w:p w14:paraId="25924794" w14:textId="77777777" w:rsidR="002B0D9D" w:rsidRPr="002B0D9D" w:rsidRDefault="00BA09C9" w:rsidP="002B0D9D">
      <w:pPr>
        <w:spacing w:after="0"/>
        <w:jc w:val="both"/>
        <w:rPr>
          <w:b/>
          <w:noProof/>
          <w:szCs w:val="20"/>
        </w:rPr>
      </w:pPr>
      <w:r w:rsidRPr="003B14BB">
        <w:rPr>
          <w:b/>
          <w:noProof/>
          <w:szCs w:val="20"/>
        </w:rPr>
        <w:t xml:space="preserve">Policy Option </w:t>
      </w:r>
      <w:r w:rsidR="0047481B">
        <w:rPr>
          <w:b/>
          <w:noProof/>
          <w:szCs w:val="20"/>
        </w:rPr>
        <w:t>7</w:t>
      </w:r>
      <w:r w:rsidRPr="003B14BB">
        <w:rPr>
          <w:b/>
          <w:noProof/>
          <w:szCs w:val="20"/>
        </w:rPr>
        <w:t>b</w:t>
      </w:r>
      <w:r>
        <w:rPr>
          <w:b/>
          <w:noProof/>
          <w:szCs w:val="20"/>
        </w:rPr>
        <w:t xml:space="preserve">: Option </w:t>
      </w:r>
      <w:r w:rsidR="0047481B">
        <w:rPr>
          <w:b/>
          <w:noProof/>
          <w:szCs w:val="20"/>
        </w:rPr>
        <w:t>7</w:t>
      </w:r>
      <w:r>
        <w:rPr>
          <w:b/>
          <w:noProof/>
          <w:szCs w:val="20"/>
        </w:rPr>
        <w:t xml:space="preserve">a + </w:t>
      </w:r>
      <w:r w:rsidR="002B0D9D" w:rsidRPr="002B0D9D">
        <w:rPr>
          <w:b/>
          <w:noProof/>
          <w:szCs w:val="20"/>
        </w:rPr>
        <w:t>no requirement to involve intermediaries in share transfers of 28</w:t>
      </w:r>
      <w:r w:rsidR="002B0D9D" w:rsidRPr="002B0D9D">
        <w:rPr>
          <w:b/>
          <w:noProof/>
          <w:szCs w:val="20"/>
          <w:vertAlign w:val="superscript"/>
        </w:rPr>
        <w:t>th</w:t>
      </w:r>
      <w:r w:rsidR="002B0D9D" w:rsidRPr="002B0D9D">
        <w:rPr>
          <w:b/>
          <w:noProof/>
          <w:szCs w:val="20"/>
        </w:rPr>
        <w:t xml:space="preserve"> regime companies</w:t>
      </w:r>
    </w:p>
    <w:p w14:paraId="2F11EDA2" w14:textId="61855E77" w:rsidR="00F5760D" w:rsidRDefault="00DF6CA9" w:rsidP="00346199">
      <w:pPr>
        <w:spacing w:after="0"/>
        <w:jc w:val="both"/>
        <w:rPr>
          <w:noProof/>
          <w:szCs w:val="20"/>
        </w:rPr>
      </w:pPr>
      <w:r>
        <w:rPr>
          <w:noProof/>
          <w:szCs w:val="20"/>
        </w:rPr>
        <w:t>Under this option, 28</w:t>
      </w:r>
      <w:r w:rsidRPr="00901941">
        <w:rPr>
          <w:noProof/>
          <w:szCs w:val="20"/>
          <w:vertAlign w:val="superscript"/>
        </w:rPr>
        <w:t>th</w:t>
      </w:r>
      <w:r>
        <w:rPr>
          <w:noProof/>
          <w:szCs w:val="20"/>
        </w:rPr>
        <w:t xml:space="preserve"> regime companies would be able to transfer shares </w:t>
      </w:r>
      <w:r w:rsidR="0032200F">
        <w:rPr>
          <w:noProof/>
          <w:szCs w:val="20"/>
        </w:rPr>
        <w:t>without the mandatory involvement of intermediaries. Currently</w:t>
      </w:r>
      <w:r w:rsidR="006C7E11" w:rsidRPr="00944681">
        <w:rPr>
          <w:noProof/>
          <w:szCs w:val="20"/>
        </w:rPr>
        <w:t xml:space="preserve">, the involvement of notaries in share transfers for private limited companies depends on national </w:t>
      </w:r>
      <w:r w:rsidR="00520ECE">
        <w:rPr>
          <w:noProof/>
          <w:szCs w:val="20"/>
        </w:rPr>
        <w:t>rules</w:t>
      </w:r>
      <w:r w:rsidR="006C7E11" w:rsidRPr="00944681">
        <w:rPr>
          <w:noProof/>
          <w:szCs w:val="20"/>
        </w:rPr>
        <w:t xml:space="preserve">. In </w:t>
      </w:r>
      <w:r w:rsidR="00CE5190">
        <w:rPr>
          <w:noProof/>
          <w:szCs w:val="20"/>
        </w:rPr>
        <w:t>some</w:t>
      </w:r>
      <w:r w:rsidR="006C7E11" w:rsidRPr="00944681">
        <w:rPr>
          <w:noProof/>
          <w:szCs w:val="20"/>
        </w:rPr>
        <w:t xml:space="preserve"> Member States</w:t>
      </w:r>
      <w:r w:rsidR="001B1582">
        <w:rPr>
          <w:rStyle w:val="FootnoteReference"/>
          <w:noProof/>
          <w:szCs w:val="20"/>
          <w:lang w:val="es-ES"/>
        </w:rPr>
        <w:footnoteReference w:id="28"/>
      </w:r>
      <w:r w:rsidR="00CE5190">
        <w:rPr>
          <w:noProof/>
          <w:szCs w:val="20"/>
        </w:rPr>
        <w:t xml:space="preserve"> and depending on the company legal form</w:t>
      </w:r>
      <w:r w:rsidR="006C7E11" w:rsidRPr="00944681">
        <w:rPr>
          <w:noProof/>
          <w:szCs w:val="20"/>
        </w:rPr>
        <w:t xml:space="preserve">, a notarial deed is mandatory for the validity or enforceability of share transfers, with fees typically regulated by statutory tariffs and calculated on the basis of transaction value. </w:t>
      </w:r>
      <w:r w:rsidR="00D21EEA">
        <w:rPr>
          <w:noProof/>
          <w:szCs w:val="20"/>
        </w:rPr>
        <w:t>C</w:t>
      </w:r>
      <w:r w:rsidR="006C7E11" w:rsidRPr="00944681">
        <w:rPr>
          <w:noProof/>
          <w:szCs w:val="20"/>
        </w:rPr>
        <w:t>ommon-law</w:t>
      </w:r>
      <w:r w:rsidR="00D21EEA">
        <w:rPr>
          <w:noProof/>
          <w:szCs w:val="20"/>
        </w:rPr>
        <w:t xml:space="preserve">, </w:t>
      </w:r>
      <w:r w:rsidR="006C7E11" w:rsidRPr="00944681">
        <w:rPr>
          <w:noProof/>
          <w:szCs w:val="20"/>
        </w:rPr>
        <w:t>Nordic systems</w:t>
      </w:r>
      <w:r w:rsidR="0039243B">
        <w:rPr>
          <w:noProof/>
          <w:szCs w:val="20"/>
        </w:rPr>
        <w:t xml:space="preserve"> and other non-notarial systems</w:t>
      </w:r>
      <w:r w:rsidR="00F326B3">
        <w:rPr>
          <w:rStyle w:val="FootnoteReference"/>
          <w:noProof/>
          <w:szCs w:val="20"/>
        </w:rPr>
        <w:footnoteReference w:id="29"/>
      </w:r>
      <w:r w:rsidR="006C7E11" w:rsidRPr="00944681">
        <w:rPr>
          <w:noProof/>
          <w:szCs w:val="20"/>
        </w:rPr>
        <w:t xml:space="preserve"> </w:t>
      </w:r>
      <w:r w:rsidR="00296DAC">
        <w:rPr>
          <w:noProof/>
          <w:szCs w:val="20"/>
        </w:rPr>
        <w:t xml:space="preserve">typically </w:t>
      </w:r>
      <w:r w:rsidR="006C7E11" w:rsidRPr="00944681">
        <w:rPr>
          <w:noProof/>
          <w:szCs w:val="20"/>
        </w:rPr>
        <w:t xml:space="preserve">allow share transfers by private agreement without notarial involvement. </w:t>
      </w:r>
    </w:p>
    <w:p w14:paraId="65367EF1" w14:textId="441EE79C" w:rsidR="00084B8B" w:rsidRDefault="00084B8B" w:rsidP="00084B8B">
      <w:pPr>
        <w:spacing w:after="0"/>
        <w:jc w:val="both"/>
        <w:rPr>
          <w:noProof/>
        </w:rPr>
      </w:pPr>
      <w:r>
        <w:rPr>
          <w:noProof/>
        </w:rPr>
        <w:t xml:space="preserve">In terms of active time, interviews indicate that investors and company representatives spend an additional 5 hours per transaction on coordination, documentation and follow-up filings due to notarial requirements. Applying a conservative </w:t>
      </w:r>
      <w:r w:rsidR="009107C9">
        <w:rPr>
          <w:noProof/>
        </w:rPr>
        <w:t xml:space="preserve">standard </w:t>
      </w:r>
      <w:r>
        <w:rPr>
          <w:noProof/>
        </w:rPr>
        <w:t xml:space="preserve">hourly cost of </w:t>
      </w:r>
      <w:r w:rsidR="78C7730C">
        <w:rPr>
          <w:noProof/>
        </w:rPr>
        <w:t>EUR</w:t>
      </w:r>
      <w:r w:rsidR="0031706B">
        <w:rPr>
          <w:noProof/>
        </w:rPr>
        <w:t> </w:t>
      </w:r>
      <w:r w:rsidR="00F4545F">
        <w:rPr>
          <w:noProof/>
        </w:rPr>
        <w:t>40/hour</w:t>
      </w:r>
      <w:r>
        <w:rPr>
          <w:noProof/>
        </w:rPr>
        <w:t xml:space="preserve">, this results in an estimated </w:t>
      </w:r>
      <w:r w:rsidR="78C7730C">
        <w:rPr>
          <w:noProof/>
        </w:rPr>
        <w:t>EUR</w:t>
      </w:r>
      <w:r w:rsidR="0031706B">
        <w:rPr>
          <w:noProof/>
        </w:rPr>
        <w:t> </w:t>
      </w:r>
      <w:r w:rsidR="00F4545F">
        <w:rPr>
          <w:noProof/>
        </w:rPr>
        <w:t>200</w:t>
      </w:r>
      <w:r>
        <w:rPr>
          <w:noProof/>
        </w:rPr>
        <w:t xml:space="preserve"> per transaction in time-related costs</w:t>
      </w:r>
      <w:r w:rsidR="00F4545F">
        <w:rPr>
          <w:noProof/>
        </w:rPr>
        <w:t>.</w:t>
      </w:r>
    </w:p>
    <w:p w14:paraId="56C41E8C" w14:textId="168782E7" w:rsidR="0089048C" w:rsidRDefault="007319A8" w:rsidP="6F00936E">
      <w:pPr>
        <w:spacing w:after="0"/>
        <w:jc w:val="both"/>
        <w:rPr>
          <w:noProof/>
        </w:rPr>
      </w:pPr>
      <w:r w:rsidRPr="6F00936E">
        <w:rPr>
          <w:noProof/>
        </w:rPr>
        <w:t xml:space="preserve">In Member States requiring notarisation, notarial fees constitute a per-transaction cost for investor </w:t>
      </w:r>
      <w:r w:rsidR="00A34553" w:rsidRPr="6F00936E">
        <w:rPr>
          <w:noProof/>
        </w:rPr>
        <w:t>entry and</w:t>
      </w:r>
      <w:r w:rsidRPr="6F00936E">
        <w:rPr>
          <w:noProof/>
        </w:rPr>
        <w:t xml:space="preserve"> exits</w:t>
      </w:r>
      <w:r w:rsidR="000A25CE">
        <w:rPr>
          <w:noProof/>
          <w:szCs w:val="20"/>
        </w:rPr>
        <w:t xml:space="preserve"> </w:t>
      </w:r>
      <w:r w:rsidR="00C03D52" w:rsidRPr="6F00936E">
        <w:rPr>
          <w:noProof/>
        </w:rPr>
        <w:t>and</w:t>
      </w:r>
      <w:r w:rsidR="00A23BBF" w:rsidRPr="6F00936E">
        <w:rPr>
          <w:noProof/>
        </w:rPr>
        <w:t xml:space="preserve"> are primarily based on a percentage of the transaction value, with specific scales and thresholds for each country</w:t>
      </w:r>
      <w:r w:rsidR="00A23BBF" w:rsidRPr="6F00936E">
        <w:rPr>
          <w:rStyle w:val="FootnoteReference"/>
          <w:noProof/>
        </w:rPr>
        <w:footnoteReference w:id="30"/>
      </w:r>
      <w:r w:rsidRPr="007319A8">
        <w:rPr>
          <w:noProof/>
          <w:szCs w:val="20"/>
        </w:rPr>
        <w:t>.</w:t>
      </w:r>
      <w:r w:rsidR="00F4545F">
        <w:rPr>
          <w:noProof/>
          <w:szCs w:val="20"/>
        </w:rPr>
        <w:t xml:space="preserve"> </w:t>
      </w:r>
      <w:r w:rsidRPr="6F00936E">
        <w:rPr>
          <w:noProof/>
        </w:rPr>
        <w:t>Based on a sample of regulated notarial systems (Germany, Spain, Austria and Belgium), an average notarial cost of approximately 0.3%–0.5% of transaction value is used as a conservative benchmark for the assessment. This estimate is also applied to Member States with liberalised fees (Italy, Netherlands) to avoid underestimating costs.</w:t>
      </w:r>
      <w:r w:rsidR="00AC5A70">
        <w:rPr>
          <w:noProof/>
          <w:szCs w:val="20"/>
        </w:rPr>
        <w:t xml:space="preserve"> </w:t>
      </w:r>
      <w:r w:rsidRPr="6F00936E">
        <w:rPr>
          <w:noProof/>
        </w:rPr>
        <w:t>I</w:t>
      </w:r>
      <w:r w:rsidR="00AC5A70" w:rsidRPr="6F00936E">
        <w:rPr>
          <w:noProof/>
        </w:rPr>
        <w:t>n</w:t>
      </w:r>
      <w:r w:rsidRPr="6F00936E">
        <w:rPr>
          <w:noProof/>
        </w:rPr>
        <w:t xml:space="preserve"> addition, several jurisdictions require the notarised deed to be filed with the business register, generating further registration fees and administrative steps (e.g.</w:t>
      </w:r>
      <w:r w:rsidR="00FA56AA">
        <w:rPr>
          <w:noProof/>
          <w:szCs w:val="20"/>
        </w:rPr>
        <w:t>,</w:t>
      </w:r>
      <w:r w:rsidRPr="6F00936E">
        <w:rPr>
          <w:noProof/>
        </w:rPr>
        <w:t xml:space="preserve"> typically </w:t>
      </w:r>
      <w:r w:rsidR="488EFFBB" w:rsidRPr="6F00936E">
        <w:rPr>
          <w:noProof/>
        </w:rPr>
        <w:t>EUR</w:t>
      </w:r>
      <w:r w:rsidR="0031706B">
        <w:rPr>
          <w:noProof/>
        </w:rPr>
        <w:t> </w:t>
      </w:r>
      <w:r w:rsidRPr="6F00936E">
        <w:rPr>
          <w:noProof/>
        </w:rPr>
        <w:t>40–</w:t>
      </w:r>
      <w:r w:rsidR="488EFFBB" w:rsidRPr="6F00936E">
        <w:rPr>
          <w:noProof/>
        </w:rPr>
        <w:t>EUR</w:t>
      </w:r>
      <w:r w:rsidR="0031706B">
        <w:rPr>
          <w:noProof/>
        </w:rPr>
        <w:t> </w:t>
      </w:r>
      <w:r w:rsidRPr="6F00936E">
        <w:rPr>
          <w:noProof/>
        </w:rPr>
        <w:t>80 per transaction in Spain).</w:t>
      </w:r>
      <w:r w:rsidR="00B66E01">
        <w:rPr>
          <w:noProof/>
          <w:szCs w:val="20"/>
        </w:rPr>
        <w:t xml:space="preserve"> </w:t>
      </w:r>
      <w:r w:rsidR="005928A5" w:rsidRPr="6F00936E">
        <w:rPr>
          <w:noProof/>
        </w:rPr>
        <w:t xml:space="preserve">Using a conservative average notarial fee of 0.3–0.5% of transaction value (based on regulated systems such as Germany, Spain, Austria and Belgium) and average business-register filing fees of </w:t>
      </w:r>
      <w:r w:rsidR="56C874F5" w:rsidRPr="6F00936E">
        <w:rPr>
          <w:noProof/>
        </w:rPr>
        <w:t xml:space="preserve">EUR </w:t>
      </w:r>
      <w:r w:rsidR="005928A5" w:rsidRPr="6F00936E">
        <w:rPr>
          <w:noProof/>
        </w:rPr>
        <w:t>80–</w:t>
      </w:r>
      <w:r w:rsidR="56C874F5" w:rsidRPr="6F00936E">
        <w:rPr>
          <w:noProof/>
        </w:rPr>
        <w:t xml:space="preserve">EUR </w:t>
      </w:r>
      <w:r w:rsidR="005928A5" w:rsidRPr="6F00936E">
        <w:rPr>
          <w:noProof/>
        </w:rPr>
        <w:t xml:space="preserve">150, the direct, recurring cost savings from removing mandatory notarial involvement can be illustrated as follows: for a share transfer of </w:t>
      </w:r>
      <w:r w:rsidR="7007BC9E" w:rsidRPr="6F00936E">
        <w:rPr>
          <w:noProof/>
        </w:rPr>
        <w:t>EUR</w:t>
      </w:r>
      <w:r w:rsidR="0031706B">
        <w:rPr>
          <w:noProof/>
        </w:rPr>
        <w:t> </w:t>
      </w:r>
      <w:r w:rsidR="005928A5" w:rsidRPr="6F00936E">
        <w:rPr>
          <w:noProof/>
        </w:rPr>
        <w:t>20</w:t>
      </w:r>
      <w:r w:rsidR="00BB6DA6">
        <w:rPr>
          <w:noProof/>
          <w:szCs w:val="20"/>
        </w:rPr>
        <w:t>.</w:t>
      </w:r>
      <w:r w:rsidR="005928A5" w:rsidRPr="6F00936E">
        <w:rPr>
          <w:noProof/>
        </w:rPr>
        <w:t xml:space="preserve">000, current notarial and filing costs typically amount to </w:t>
      </w:r>
      <w:r w:rsidR="7EB24A25" w:rsidRPr="6F00936E">
        <w:rPr>
          <w:noProof/>
        </w:rPr>
        <w:t>EUR</w:t>
      </w:r>
      <w:r w:rsidR="0031706B">
        <w:rPr>
          <w:noProof/>
        </w:rPr>
        <w:t> </w:t>
      </w:r>
      <w:r w:rsidR="005928A5" w:rsidRPr="6F00936E">
        <w:rPr>
          <w:noProof/>
        </w:rPr>
        <w:t>140–</w:t>
      </w:r>
      <w:r w:rsidR="7EB24A25" w:rsidRPr="6F00936E">
        <w:rPr>
          <w:noProof/>
        </w:rPr>
        <w:t>EUR</w:t>
      </w:r>
      <w:r w:rsidR="0031706B">
        <w:rPr>
          <w:noProof/>
        </w:rPr>
        <w:t> </w:t>
      </w:r>
      <w:r w:rsidR="005928A5" w:rsidRPr="6F00936E">
        <w:rPr>
          <w:noProof/>
        </w:rPr>
        <w:t xml:space="preserve">250; for a growth-stage secondary transaction of </w:t>
      </w:r>
      <w:r w:rsidR="3C13504D" w:rsidRPr="6F00936E">
        <w:rPr>
          <w:noProof/>
        </w:rPr>
        <w:t>EUR</w:t>
      </w:r>
      <w:r w:rsidR="0031706B">
        <w:rPr>
          <w:noProof/>
        </w:rPr>
        <w:t> </w:t>
      </w:r>
      <w:r w:rsidR="005928A5" w:rsidRPr="6F00936E">
        <w:rPr>
          <w:noProof/>
        </w:rPr>
        <w:t>500</w:t>
      </w:r>
      <w:r w:rsidR="0031706B">
        <w:rPr>
          <w:noProof/>
          <w:szCs w:val="20"/>
        </w:rPr>
        <w:t> </w:t>
      </w:r>
      <w:r w:rsidR="005928A5" w:rsidRPr="6F00936E">
        <w:rPr>
          <w:noProof/>
        </w:rPr>
        <w:t xml:space="preserve">000, these costs rise to approximately </w:t>
      </w:r>
      <w:r w:rsidR="44E6EE85" w:rsidRPr="6F00936E">
        <w:rPr>
          <w:noProof/>
        </w:rPr>
        <w:t>EUR</w:t>
      </w:r>
      <w:r w:rsidR="0031706B">
        <w:rPr>
          <w:noProof/>
        </w:rPr>
        <w:t> </w:t>
      </w:r>
      <w:r w:rsidR="005928A5" w:rsidRPr="6F00936E">
        <w:rPr>
          <w:noProof/>
        </w:rPr>
        <w:t>1</w:t>
      </w:r>
      <w:r w:rsidR="0031706B">
        <w:rPr>
          <w:noProof/>
          <w:szCs w:val="20"/>
        </w:rPr>
        <w:t> </w:t>
      </w:r>
      <w:r w:rsidR="005928A5" w:rsidRPr="6F00936E">
        <w:rPr>
          <w:noProof/>
        </w:rPr>
        <w:t>580–</w:t>
      </w:r>
      <w:r w:rsidR="44E6EE85" w:rsidRPr="6F00936E">
        <w:rPr>
          <w:noProof/>
        </w:rPr>
        <w:t>EUR</w:t>
      </w:r>
      <w:r w:rsidR="0031706B">
        <w:rPr>
          <w:noProof/>
        </w:rPr>
        <w:t> </w:t>
      </w:r>
      <w:r w:rsidR="005928A5" w:rsidRPr="6F00936E">
        <w:rPr>
          <w:noProof/>
        </w:rPr>
        <w:t>2</w:t>
      </w:r>
      <w:r w:rsidR="0031706B">
        <w:rPr>
          <w:noProof/>
          <w:szCs w:val="20"/>
        </w:rPr>
        <w:t> </w:t>
      </w:r>
      <w:r w:rsidR="005928A5" w:rsidRPr="6F00936E">
        <w:rPr>
          <w:noProof/>
        </w:rPr>
        <w:t xml:space="preserve">650; and for a late-stage or large secondary transfer of </w:t>
      </w:r>
      <w:r w:rsidR="205F183A" w:rsidRPr="6F00936E">
        <w:rPr>
          <w:noProof/>
        </w:rPr>
        <w:t>EUR</w:t>
      </w:r>
      <w:r w:rsidR="0031706B">
        <w:rPr>
          <w:noProof/>
        </w:rPr>
        <w:t> </w:t>
      </w:r>
      <w:r w:rsidR="005928A5" w:rsidRPr="6F00936E">
        <w:rPr>
          <w:noProof/>
        </w:rPr>
        <w:t>1</w:t>
      </w:r>
      <w:r w:rsidR="0031706B">
        <w:rPr>
          <w:noProof/>
        </w:rPr>
        <w:t> </w:t>
      </w:r>
      <w:r w:rsidR="005928A5" w:rsidRPr="6F00936E">
        <w:rPr>
          <w:noProof/>
        </w:rPr>
        <w:t xml:space="preserve">million, total notarial and registration-related costs typically reach </w:t>
      </w:r>
      <w:r w:rsidR="493E5C2F" w:rsidRPr="6F00936E">
        <w:rPr>
          <w:noProof/>
        </w:rPr>
        <w:t>EUR</w:t>
      </w:r>
      <w:r w:rsidR="0031706B">
        <w:rPr>
          <w:noProof/>
        </w:rPr>
        <w:t> </w:t>
      </w:r>
      <w:r w:rsidR="005928A5" w:rsidRPr="6F00936E">
        <w:rPr>
          <w:noProof/>
        </w:rPr>
        <w:t>3</w:t>
      </w:r>
      <w:r w:rsidR="0031706B">
        <w:rPr>
          <w:noProof/>
          <w:szCs w:val="20"/>
        </w:rPr>
        <w:t> </w:t>
      </w:r>
      <w:r w:rsidR="005928A5" w:rsidRPr="6F00936E">
        <w:rPr>
          <w:noProof/>
        </w:rPr>
        <w:t>080–</w:t>
      </w:r>
      <w:r w:rsidR="493E5C2F" w:rsidRPr="6F00936E">
        <w:rPr>
          <w:noProof/>
        </w:rPr>
        <w:t>EUR</w:t>
      </w:r>
      <w:r w:rsidR="0031706B">
        <w:rPr>
          <w:noProof/>
        </w:rPr>
        <w:t> </w:t>
      </w:r>
      <w:r w:rsidR="005928A5" w:rsidRPr="6F00936E">
        <w:rPr>
          <w:noProof/>
        </w:rPr>
        <w:t>5</w:t>
      </w:r>
      <w:r w:rsidR="0031706B">
        <w:rPr>
          <w:noProof/>
          <w:szCs w:val="20"/>
        </w:rPr>
        <w:t> </w:t>
      </w:r>
      <w:r w:rsidR="005928A5" w:rsidRPr="6F00936E">
        <w:rPr>
          <w:noProof/>
        </w:rPr>
        <w:t xml:space="preserve">150 per transaction. </w:t>
      </w:r>
    </w:p>
    <w:p w14:paraId="5503E195" w14:textId="7D1A0D31" w:rsidR="0089048C" w:rsidRDefault="0089048C" w:rsidP="0089048C">
      <w:pPr>
        <w:spacing w:after="0"/>
        <w:jc w:val="both"/>
        <w:rPr>
          <w:noProof/>
          <w:szCs w:val="20"/>
        </w:rPr>
      </w:pPr>
      <w:r w:rsidRPr="0089048C">
        <w:rPr>
          <w:noProof/>
          <w:szCs w:val="20"/>
        </w:rPr>
        <w:t xml:space="preserve">In addition to direct notarial and registration fees, mandatory notarisation generates significant </w:t>
      </w:r>
      <w:r w:rsidR="00D40E68" w:rsidRPr="003B2BC4">
        <w:rPr>
          <w:noProof/>
          <w:szCs w:val="20"/>
        </w:rPr>
        <w:t>waiting</w:t>
      </w:r>
      <w:r w:rsidR="00D40E68">
        <w:rPr>
          <w:noProof/>
          <w:szCs w:val="20"/>
        </w:rPr>
        <w:t xml:space="preserve"> </w:t>
      </w:r>
      <w:r w:rsidRPr="003B2BC4">
        <w:rPr>
          <w:noProof/>
          <w:szCs w:val="20"/>
        </w:rPr>
        <w:t>time</w:t>
      </w:r>
      <w:r w:rsidRPr="0089048C">
        <w:rPr>
          <w:noProof/>
          <w:szCs w:val="20"/>
        </w:rPr>
        <w:t>, which investors consistently identify as particularly burdensome. Based on stakeholder interviews, it is conservatively assumed that coordinating a notarial share transfer</w:t>
      </w:r>
      <w:r w:rsidR="001E659C">
        <w:rPr>
          <w:noProof/>
          <w:szCs w:val="20"/>
        </w:rPr>
        <w:t>,</w:t>
      </w:r>
      <w:r w:rsidR="001E659C" w:rsidRPr="001E659C">
        <w:rPr>
          <w:noProof/>
          <w:szCs w:val="20"/>
        </w:rPr>
        <w:t xml:space="preserve"> </w:t>
      </w:r>
      <w:r w:rsidRPr="0089048C">
        <w:rPr>
          <w:noProof/>
          <w:szCs w:val="20"/>
        </w:rPr>
        <w:t>including appointment scheduling, preparation</w:t>
      </w:r>
      <w:r w:rsidR="001E659C" w:rsidRPr="001E659C">
        <w:rPr>
          <w:noProof/>
          <w:szCs w:val="20"/>
        </w:rPr>
        <w:t xml:space="preserve"> of documentation and </w:t>
      </w:r>
      <w:r w:rsidRPr="0089048C">
        <w:rPr>
          <w:noProof/>
          <w:szCs w:val="20"/>
        </w:rPr>
        <w:t>post-notarisation filings</w:t>
      </w:r>
      <w:r w:rsidR="00D07E31">
        <w:rPr>
          <w:noProof/>
          <w:szCs w:val="20"/>
        </w:rPr>
        <w:t>,</w:t>
      </w:r>
      <w:r w:rsidR="00EB14DA">
        <w:rPr>
          <w:noProof/>
          <w:szCs w:val="20"/>
        </w:rPr>
        <w:t xml:space="preserve"> </w:t>
      </w:r>
      <w:r w:rsidRPr="0089048C">
        <w:rPr>
          <w:noProof/>
          <w:szCs w:val="20"/>
        </w:rPr>
        <w:t xml:space="preserve">extends the overall transaction timeline by </w:t>
      </w:r>
      <w:r w:rsidR="001E659C" w:rsidRPr="001E659C">
        <w:rPr>
          <w:noProof/>
          <w:szCs w:val="20"/>
        </w:rPr>
        <w:t xml:space="preserve">between 10 </w:t>
      </w:r>
      <w:r w:rsidRPr="0089048C">
        <w:rPr>
          <w:noProof/>
          <w:szCs w:val="20"/>
        </w:rPr>
        <w:t xml:space="preserve">days </w:t>
      </w:r>
      <w:r w:rsidR="001E659C" w:rsidRPr="001E659C">
        <w:rPr>
          <w:noProof/>
          <w:szCs w:val="20"/>
        </w:rPr>
        <w:t xml:space="preserve">and one month in cross-border cases. The length of the delay varies depending on the Member State in which the transfer must be executed, ranging from jurisdictions where completion typically takes around </w:t>
      </w:r>
      <w:r w:rsidR="00654717">
        <w:rPr>
          <w:noProof/>
          <w:szCs w:val="20"/>
        </w:rPr>
        <w:t>one</w:t>
      </w:r>
      <w:r w:rsidR="001E659C" w:rsidRPr="001E659C">
        <w:rPr>
          <w:noProof/>
          <w:szCs w:val="20"/>
        </w:rPr>
        <w:t xml:space="preserve"> week to others where the process can extend to up to four weeks.</w:t>
      </w:r>
      <w:r w:rsidRPr="0089048C">
        <w:rPr>
          <w:noProof/>
          <w:szCs w:val="20"/>
        </w:rPr>
        <w:t xml:space="preserve"> </w:t>
      </w:r>
    </w:p>
    <w:p w14:paraId="0DE3C20B" w14:textId="7F026979" w:rsidR="006E5280" w:rsidRPr="006E5280" w:rsidRDefault="00AC5A70" w:rsidP="006E5280">
      <w:pPr>
        <w:spacing w:after="0"/>
        <w:jc w:val="both"/>
        <w:rPr>
          <w:noProof/>
          <w:szCs w:val="20"/>
        </w:rPr>
      </w:pPr>
      <w:r>
        <w:rPr>
          <w:noProof/>
          <w:szCs w:val="20"/>
        </w:rPr>
        <w:t>It should be noted that i</w:t>
      </w:r>
      <w:r w:rsidR="00F34525" w:rsidRPr="00F34525">
        <w:rPr>
          <w:noProof/>
          <w:szCs w:val="20"/>
        </w:rPr>
        <w:t>t is not possible to extrapolate these costs to an EU-wide annual total, as there is no reliable data on the overall number of share transfers in private companies. Available studies (e.g. private equity or M&amp;A reports</w:t>
      </w:r>
      <w:r w:rsidR="005C097C">
        <w:rPr>
          <w:rStyle w:val="FootnoteReference"/>
          <w:noProof/>
          <w:szCs w:val="20"/>
        </w:rPr>
        <w:footnoteReference w:id="31"/>
      </w:r>
      <w:r w:rsidR="00F34525" w:rsidRPr="00F34525">
        <w:rPr>
          <w:noProof/>
          <w:szCs w:val="20"/>
        </w:rPr>
        <w:t>) capture only a small subset of high-value transactions and exclude the large volume of routine SME share transfers that nevertheless trigger notarisation obligations in many Member States.</w:t>
      </w:r>
    </w:p>
    <w:p w14:paraId="5E0CCAA2" w14:textId="34571744" w:rsidR="00BA09C9" w:rsidRDefault="00BA09C9" w:rsidP="006A30D1">
      <w:pPr>
        <w:keepNext/>
        <w:spacing w:after="0"/>
        <w:jc w:val="both"/>
        <w:rPr>
          <w:b/>
          <w:noProof/>
          <w:szCs w:val="20"/>
        </w:rPr>
      </w:pPr>
      <w:r w:rsidRPr="003B14BB">
        <w:rPr>
          <w:b/>
          <w:noProof/>
          <w:szCs w:val="20"/>
        </w:rPr>
        <w:t xml:space="preserve">Policy Option </w:t>
      </w:r>
      <w:r w:rsidR="0047481B">
        <w:rPr>
          <w:b/>
          <w:noProof/>
          <w:szCs w:val="20"/>
        </w:rPr>
        <w:t>7</w:t>
      </w:r>
      <w:r w:rsidRPr="003B14BB">
        <w:rPr>
          <w:b/>
          <w:noProof/>
          <w:szCs w:val="20"/>
        </w:rPr>
        <w:t>c</w:t>
      </w:r>
      <w:r>
        <w:rPr>
          <w:b/>
          <w:noProof/>
          <w:szCs w:val="20"/>
        </w:rPr>
        <w:t xml:space="preserve">: Option </w:t>
      </w:r>
      <w:r w:rsidR="0047481B">
        <w:rPr>
          <w:b/>
          <w:noProof/>
          <w:szCs w:val="20"/>
        </w:rPr>
        <w:t>7</w:t>
      </w:r>
      <w:r>
        <w:rPr>
          <w:b/>
          <w:noProof/>
          <w:szCs w:val="20"/>
        </w:rPr>
        <w:t xml:space="preserve">b + </w:t>
      </w:r>
      <w:r w:rsidR="00DD5B9C">
        <w:rPr>
          <w:b/>
          <w:noProof/>
          <w:szCs w:val="20"/>
        </w:rPr>
        <w:t xml:space="preserve">a </w:t>
      </w:r>
      <w:r w:rsidR="00F706DF" w:rsidRPr="00F706DF">
        <w:rPr>
          <w:b/>
          <w:noProof/>
          <w:szCs w:val="20"/>
        </w:rPr>
        <w:t xml:space="preserve">possibility for Member States to grant </w:t>
      </w:r>
      <w:r w:rsidR="00DD5B9C" w:rsidRPr="00F706DF">
        <w:rPr>
          <w:b/>
          <w:noProof/>
          <w:szCs w:val="20"/>
        </w:rPr>
        <w:t xml:space="preserve">access to public equity markets </w:t>
      </w:r>
      <w:r w:rsidR="00DD5B9C">
        <w:rPr>
          <w:b/>
          <w:noProof/>
          <w:szCs w:val="20"/>
        </w:rPr>
        <w:t xml:space="preserve">to </w:t>
      </w:r>
      <w:r w:rsidR="00F706DF" w:rsidRPr="00F706DF">
        <w:rPr>
          <w:b/>
          <w:noProof/>
          <w:szCs w:val="20"/>
        </w:rPr>
        <w:t>28</w:t>
      </w:r>
      <w:r w:rsidR="00F706DF" w:rsidRPr="00F706DF">
        <w:rPr>
          <w:b/>
          <w:noProof/>
          <w:szCs w:val="20"/>
          <w:vertAlign w:val="superscript"/>
        </w:rPr>
        <w:t>th</w:t>
      </w:r>
      <w:r w:rsidR="00F706DF" w:rsidRPr="00F706DF">
        <w:rPr>
          <w:b/>
          <w:noProof/>
          <w:szCs w:val="20"/>
        </w:rPr>
        <w:t xml:space="preserve"> regime companies </w:t>
      </w:r>
    </w:p>
    <w:p w14:paraId="4726AE90" w14:textId="77777777" w:rsidR="00852268" w:rsidRDefault="00852268" w:rsidP="000E7F14">
      <w:pPr>
        <w:spacing w:before="0" w:after="0"/>
        <w:rPr>
          <w:noProof/>
          <w:szCs w:val="20"/>
          <w:lang w:val="en-US"/>
        </w:rPr>
      </w:pPr>
    </w:p>
    <w:p w14:paraId="3B1DD4F7" w14:textId="08DA8993" w:rsidR="00852268" w:rsidRDefault="0032200F" w:rsidP="006E0298">
      <w:pPr>
        <w:spacing w:before="0" w:after="0"/>
        <w:jc w:val="both"/>
        <w:rPr>
          <w:noProof/>
          <w:szCs w:val="20"/>
          <w:lang w:val="en-US"/>
        </w:rPr>
        <w:sectPr w:rsidR="00852268" w:rsidSect="00637669">
          <w:headerReference w:type="default" r:id="rId26"/>
          <w:footerReference w:type="default" r:id="rId27"/>
          <w:pgSz w:w="11906" w:h="16838"/>
          <w:pgMar w:top="1418" w:right="1418" w:bottom="1418" w:left="1701" w:header="567" w:footer="340" w:gutter="0"/>
          <w:cols w:space="708"/>
          <w:docGrid w:linePitch="360"/>
        </w:sectPr>
      </w:pPr>
      <w:r>
        <w:rPr>
          <w:noProof/>
          <w:szCs w:val="20"/>
          <w:lang w:val="en-US"/>
        </w:rPr>
        <w:t>This p</w:t>
      </w:r>
      <w:r w:rsidR="00342406" w:rsidRPr="00342406">
        <w:rPr>
          <w:noProof/>
          <w:szCs w:val="20"/>
          <w:lang w:val="en-US"/>
        </w:rPr>
        <w:t xml:space="preserve">olicy Option 7c would primarily generate </w:t>
      </w:r>
      <w:r w:rsidR="00013BD9">
        <w:rPr>
          <w:noProof/>
          <w:szCs w:val="20"/>
          <w:lang w:val="en-US"/>
        </w:rPr>
        <w:t>additional</w:t>
      </w:r>
      <w:r w:rsidR="00342406" w:rsidRPr="00342406">
        <w:rPr>
          <w:noProof/>
          <w:szCs w:val="20"/>
          <w:lang w:val="en-US"/>
        </w:rPr>
        <w:t xml:space="preserve"> </w:t>
      </w:r>
      <w:r w:rsidR="00342406" w:rsidRPr="000E7F14">
        <w:rPr>
          <w:b/>
          <w:noProof/>
          <w:szCs w:val="20"/>
          <w:lang w:val="en-US"/>
        </w:rPr>
        <w:t xml:space="preserve">qualitative </w:t>
      </w:r>
      <w:r w:rsidR="00342406" w:rsidRPr="001D7899">
        <w:rPr>
          <w:noProof/>
          <w:szCs w:val="20"/>
          <w:lang w:val="en-US"/>
        </w:rPr>
        <w:t>efficiency gains</w:t>
      </w:r>
      <w:r w:rsidR="00342406" w:rsidRPr="00342406">
        <w:rPr>
          <w:noProof/>
          <w:szCs w:val="20"/>
          <w:lang w:val="en-US"/>
        </w:rPr>
        <w:t xml:space="preserve"> by </w:t>
      </w:r>
      <w:r w:rsidR="00D71143">
        <w:rPr>
          <w:noProof/>
          <w:szCs w:val="20"/>
          <w:lang w:val="en-US"/>
        </w:rPr>
        <w:t xml:space="preserve">encouraging Member States to </w:t>
      </w:r>
      <w:r w:rsidR="00013BD9">
        <w:rPr>
          <w:noProof/>
          <w:szCs w:val="20"/>
          <w:lang w:val="en-US"/>
        </w:rPr>
        <w:t>grant</w:t>
      </w:r>
      <w:r w:rsidR="00342406" w:rsidRPr="00342406">
        <w:rPr>
          <w:noProof/>
          <w:szCs w:val="20"/>
          <w:lang w:val="en-US"/>
        </w:rPr>
        <w:t xml:space="preserve"> 28</w:t>
      </w:r>
      <w:r w:rsidR="00342406" w:rsidRPr="00A873DE">
        <w:rPr>
          <w:noProof/>
          <w:szCs w:val="20"/>
          <w:vertAlign w:val="superscript"/>
          <w:lang w:val="en-US"/>
        </w:rPr>
        <w:t>th</w:t>
      </w:r>
      <w:r w:rsidR="00A873DE">
        <w:rPr>
          <w:noProof/>
          <w:szCs w:val="20"/>
          <w:lang w:val="en-US"/>
        </w:rPr>
        <w:t xml:space="preserve"> </w:t>
      </w:r>
      <w:r w:rsidR="00342406" w:rsidRPr="00342406">
        <w:rPr>
          <w:noProof/>
          <w:szCs w:val="20"/>
          <w:lang w:val="en-US"/>
        </w:rPr>
        <w:t xml:space="preserve">regime companies access </w:t>
      </w:r>
      <w:r w:rsidR="00013BD9">
        <w:rPr>
          <w:noProof/>
          <w:szCs w:val="20"/>
          <w:lang w:val="en-US"/>
        </w:rPr>
        <w:t>to</w:t>
      </w:r>
      <w:r w:rsidR="00342406" w:rsidRPr="00342406">
        <w:rPr>
          <w:noProof/>
          <w:szCs w:val="20"/>
          <w:lang w:val="en-US"/>
        </w:rPr>
        <w:t xml:space="preserve"> public equity markets without losing </w:t>
      </w:r>
      <w:r w:rsidR="004C4D82">
        <w:rPr>
          <w:noProof/>
          <w:szCs w:val="20"/>
          <w:lang w:val="en-US"/>
        </w:rPr>
        <w:t>the 28</w:t>
      </w:r>
      <w:r w:rsidR="004C4D82" w:rsidRPr="006E0298">
        <w:rPr>
          <w:noProof/>
          <w:szCs w:val="20"/>
          <w:vertAlign w:val="superscript"/>
          <w:lang w:val="en-US"/>
        </w:rPr>
        <w:t>th</w:t>
      </w:r>
      <w:r w:rsidR="004C4D82">
        <w:rPr>
          <w:noProof/>
          <w:szCs w:val="20"/>
          <w:lang w:val="en-US"/>
        </w:rPr>
        <w:t xml:space="preserve"> regime legal form</w:t>
      </w:r>
      <w:r w:rsidR="00342406" w:rsidRPr="00342406">
        <w:rPr>
          <w:noProof/>
          <w:szCs w:val="20"/>
          <w:lang w:val="en-US"/>
        </w:rPr>
        <w:t xml:space="preserve"> through conversion into a national public company form. </w:t>
      </w:r>
      <w:r w:rsidR="006E6235">
        <w:rPr>
          <w:noProof/>
          <w:szCs w:val="20"/>
          <w:lang w:val="en-US"/>
        </w:rPr>
        <w:t>F</w:t>
      </w:r>
      <w:r w:rsidR="00342406" w:rsidRPr="00342406">
        <w:rPr>
          <w:noProof/>
          <w:szCs w:val="20"/>
          <w:lang w:val="en-US"/>
        </w:rPr>
        <w:t>inancial costs associated with going public</w:t>
      </w:r>
      <w:r w:rsidR="008842A1">
        <w:rPr>
          <w:noProof/>
          <w:szCs w:val="20"/>
          <w:lang w:val="en-US"/>
        </w:rPr>
        <w:t xml:space="preserve"> would remain largely</w:t>
      </w:r>
      <w:r w:rsidR="00C028BC">
        <w:rPr>
          <w:noProof/>
          <w:szCs w:val="20"/>
          <w:lang w:val="en-US"/>
        </w:rPr>
        <w:t xml:space="preserve"> unaffected</w:t>
      </w:r>
      <w:r w:rsidR="00342406" w:rsidRPr="00342406">
        <w:rPr>
          <w:noProof/>
          <w:szCs w:val="20"/>
          <w:lang w:val="en-US"/>
        </w:rPr>
        <w:t xml:space="preserve">. Stakeholder feedback from workshops and targeted interviews consistently confirmed that, </w:t>
      </w:r>
      <w:r w:rsidR="007C1AC5">
        <w:rPr>
          <w:noProof/>
          <w:szCs w:val="20"/>
          <w:lang w:val="en-US"/>
        </w:rPr>
        <w:t>particularly</w:t>
      </w:r>
      <w:r w:rsidR="00342406" w:rsidRPr="00342406">
        <w:rPr>
          <w:noProof/>
          <w:szCs w:val="20"/>
          <w:lang w:val="en-US"/>
        </w:rPr>
        <w:t xml:space="preserve"> in the context of an IPO, the legal and administrative costs of converting a private company into a national public company form are marginal compared with the overall costs of listing (e.g. underwriting, disclosure, governance, and market-access requirements). Accordingly, no quantitative cost calculation is provided for this option.</w:t>
      </w:r>
    </w:p>
    <w:p w14:paraId="5FDDC50B" w14:textId="215354F6" w:rsidR="001905CB" w:rsidRPr="001927CA" w:rsidRDefault="001905CB" w:rsidP="004F2887">
      <w:pPr>
        <w:jc w:val="both"/>
        <w:rPr>
          <w:rFonts w:eastAsia="Times New Roman" w:cs="Times New Roman"/>
          <w:b/>
          <w:bCs/>
          <w:noProof/>
          <w:color w:val="auto"/>
          <w:sz w:val="22"/>
          <w:lang w:eastAsia="en-IE"/>
        </w:rPr>
      </w:pPr>
      <w:bookmarkStart w:id="55" w:name="_Toc126870454"/>
      <w:bookmarkStart w:id="56" w:name="_Toc126873037"/>
      <w:bookmarkStart w:id="57" w:name="_Toc126916123"/>
      <w:bookmarkStart w:id="58" w:name="_Toc126916938"/>
      <w:bookmarkStart w:id="59" w:name="_Toc126919384"/>
      <w:bookmarkStart w:id="60" w:name="_Toc126919839"/>
      <w:bookmarkStart w:id="61" w:name="_Toc126928432"/>
      <w:bookmarkStart w:id="62" w:name="_Toc126930809"/>
      <w:r w:rsidRPr="001927CA">
        <w:rPr>
          <w:rFonts w:eastAsia="Times New Roman" w:cs="Times New Roman"/>
          <w:b/>
          <w:bCs/>
          <w:noProof/>
          <w:color w:val="auto"/>
          <w:sz w:val="22"/>
          <w:lang w:eastAsia="en-IE"/>
        </w:rPr>
        <w:t>Standard cost model calculations on administrative burden</w:t>
      </w:r>
    </w:p>
    <w:p w14:paraId="1AA495A0" w14:textId="77777777" w:rsidR="00835A9A" w:rsidRDefault="00835A9A" w:rsidP="004F2887">
      <w:pPr>
        <w:jc w:val="both"/>
        <w:rPr>
          <w:rFonts w:eastAsia="Times New Roman" w:cs="Times New Roman"/>
          <w:noProof/>
          <w:color w:val="auto"/>
          <w:sz w:val="22"/>
          <w:lang w:eastAsia="en-IE"/>
        </w:rPr>
      </w:pPr>
    </w:p>
    <w:p w14:paraId="4105C522" w14:textId="4DD6363B" w:rsidR="00835A9A" w:rsidRDefault="00835A9A" w:rsidP="004F2887">
      <w:pPr>
        <w:jc w:val="both"/>
        <w:rPr>
          <w:rFonts w:eastAsia="Times New Roman" w:cs="Times New Roman"/>
          <w:noProof/>
          <w:color w:val="auto"/>
          <w:sz w:val="22"/>
          <w:lang w:eastAsia="en-IE"/>
        </w:rPr>
      </w:pPr>
      <w:r>
        <w:rPr>
          <w:rFonts w:eastAsia="Times New Roman" w:cs="Times New Roman"/>
          <w:noProof/>
          <w:color w:val="auto"/>
          <w:sz w:val="22"/>
          <w:lang w:eastAsia="en-IE"/>
        </w:rPr>
        <w:t xml:space="preserve">Policy </w:t>
      </w:r>
      <w:r w:rsidR="00CB0FF8">
        <w:rPr>
          <w:rFonts w:eastAsia="Times New Roman" w:cs="Times New Roman"/>
          <w:noProof/>
          <w:color w:val="auto"/>
          <w:sz w:val="22"/>
          <w:lang w:eastAsia="en-IE"/>
        </w:rPr>
        <w:t>O</w:t>
      </w:r>
      <w:r>
        <w:rPr>
          <w:rFonts w:eastAsia="Times New Roman" w:cs="Times New Roman"/>
          <w:noProof/>
          <w:color w:val="auto"/>
          <w:sz w:val="22"/>
          <w:lang w:eastAsia="en-IE"/>
        </w:rPr>
        <w:t>ption</w:t>
      </w:r>
      <w:r w:rsidR="00421830">
        <w:rPr>
          <w:rFonts w:eastAsia="Times New Roman" w:cs="Times New Roman"/>
          <w:noProof/>
          <w:color w:val="auto"/>
          <w:sz w:val="22"/>
          <w:lang w:eastAsia="en-IE"/>
        </w:rPr>
        <w:t>s 2</w:t>
      </w:r>
    </w:p>
    <w:tbl>
      <w:tblPr>
        <w:tblW w:w="14884" w:type="dxa"/>
        <w:tblInd w:w="-577" w:type="dxa"/>
        <w:tblLayout w:type="fixed"/>
        <w:tblCellMar>
          <w:top w:w="15" w:type="dxa"/>
          <w:bottom w:w="15" w:type="dxa"/>
        </w:tblCellMar>
        <w:tblLook w:val="04A0" w:firstRow="1" w:lastRow="0" w:firstColumn="1" w:lastColumn="0" w:noHBand="0" w:noVBand="1"/>
      </w:tblPr>
      <w:tblGrid>
        <w:gridCol w:w="511"/>
        <w:gridCol w:w="1474"/>
        <w:gridCol w:w="236"/>
        <w:gridCol w:w="901"/>
        <w:gridCol w:w="1111"/>
        <w:gridCol w:w="732"/>
        <w:gridCol w:w="1556"/>
        <w:gridCol w:w="281"/>
        <w:gridCol w:w="757"/>
        <w:gridCol w:w="816"/>
        <w:gridCol w:w="1026"/>
        <w:gridCol w:w="1512"/>
        <w:gridCol w:w="425"/>
        <w:gridCol w:w="1040"/>
        <w:gridCol w:w="1154"/>
        <w:gridCol w:w="1352"/>
      </w:tblGrid>
      <w:tr w:rsidR="00783610" w:rsidRPr="00D658C3" w14:paraId="60BF05CC" w14:textId="77777777" w:rsidTr="000A65B4">
        <w:trPr>
          <w:trHeight w:val="285"/>
        </w:trPr>
        <w:tc>
          <w:tcPr>
            <w:tcW w:w="1985" w:type="dxa"/>
            <w:gridSpan w:val="2"/>
            <w:tcBorders>
              <w:top w:val="single" w:sz="8" w:space="0" w:color="auto"/>
              <w:left w:val="single" w:sz="8" w:space="0" w:color="auto"/>
              <w:bottom w:val="single" w:sz="8" w:space="0" w:color="auto"/>
              <w:right w:val="nil"/>
            </w:tcBorders>
            <w:shd w:val="clear" w:color="auto" w:fill="305496"/>
            <w:noWrap/>
            <w:vAlign w:val="center"/>
            <w:hideMark/>
          </w:tcPr>
          <w:p w14:paraId="7EEF2670" w14:textId="77777777" w:rsidR="003F6A31" w:rsidRPr="00120FCC" w:rsidRDefault="003F6A31" w:rsidP="00120FCC">
            <w:pPr>
              <w:tabs>
                <w:tab w:val="left" w:pos="747"/>
              </w:tabs>
              <w:spacing w:before="0" w:after="0"/>
              <w:rPr>
                <w:rFonts w:ascii="Times New Roman" w:eastAsia="Times New Roman" w:hAnsi="Times New Roman" w:cs="Times New Roman"/>
                <w:noProof/>
                <w:color w:val="auto"/>
                <w:sz w:val="19"/>
                <w:szCs w:val="19"/>
                <w:lang w:val="en-IE" w:eastAsia="en-IE"/>
              </w:rPr>
            </w:pPr>
          </w:p>
        </w:tc>
        <w:tc>
          <w:tcPr>
            <w:tcW w:w="236" w:type="dxa"/>
            <w:tcBorders>
              <w:top w:val="single" w:sz="8" w:space="0" w:color="auto"/>
              <w:left w:val="nil"/>
              <w:bottom w:val="nil"/>
              <w:right w:val="nil"/>
            </w:tcBorders>
            <w:shd w:val="clear" w:color="auto" w:fill="969696"/>
            <w:vAlign w:val="center"/>
            <w:hideMark/>
          </w:tcPr>
          <w:p w14:paraId="37A29445"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2744" w:type="dxa"/>
            <w:gridSpan w:val="3"/>
            <w:tcBorders>
              <w:top w:val="single" w:sz="8" w:space="0" w:color="auto"/>
              <w:left w:val="nil"/>
              <w:bottom w:val="single" w:sz="8" w:space="0" w:color="auto"/>
              <w:right w:val="nil"/>
            </w:tcBorders>
            <w:shd w:val="clear" w:color="auto" w:fill="8EA9DB"/>
            <w:noWrap/>
            <w:vAlign w:val="center"/>
            <w:hideMark/>
          </w:tcPr>
          <w:p w14:paraId="731EDF06"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56" w:type="dxa"/>
            <w:tcBorders>
              <w:top w:val="single" w:sz="8" w:space="0" w:color="auto"/>
              <w:left w:val="nil"/>
              <w:bottom w:val="nil"/>
              <w:right w:val="nil"/>
            </w:tcBorders>
            <w:shd w:val="clear" w:color="auto" w:fill="8EA9DB"/>
            <w:noWrap/>
            <w:vAlign w:val="center"/>
            <w:hideMark/>
          </w:tcPr>
          <w:p w14:paraId="025EDFB8"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281" w:type="dxa"/>
            <w:tcBorders>
              <w:top w:val="single" w:sz="8" w:space="0" w:color="auto"/>
              <w:left w:val="nil"/>
              <w:bottom w:val="nil"/>
              <w:right w:val="nil"/>
            </w:tcBorders>
            <w:shd w:val="clear" w:color="auto" w:fill="969696"/>
            <w:vAlign w:val="center"/>
            <w:hideMark/>
          </w:tcPr>
          <w:p w14:paraId="0CB9571C"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2599" w:type="dxa"/>
            <w:gridSpan w:val="3"/>
            <w:tcBorders>
              <w:top w:val="single" w:sz="8" w:space="0" w:color="auto"/>
              <w:left w:val="nil"/>
              <w:bottom w:val="single" w:sz="8" w:space="0" w:color="auto"/>
              <w:right w:val="nil"/>
            </w:tcBorders>
            <w:shd w:val="clear" w:color="auto" w:fill="C6E0B4"/>
            <w:noWrap/>
            <w:vAlign w:val="center"/>
            <w:hideMark/>
          </w:tcPr>
          <w:p w14:paraId="3D4F88AB"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single" w:sz="8" w:space="0" w:color="auto"/>
              <w:left w:val="nil"/>
              <w:bottom w:val="nil"/>
              <w:right w:val="nil"/>
            </w:tcBorders>
            <w:shd w:val="clear" w:color="auto" w:fill="C6E0B4"/>
            <w:noWrap/>
            <w:vAlign w:val="center"/>
            <w:hideMark/>
          </w:tcPr>
          <w:p w14:paraId="2F3ADB22"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425" w:type="dxa"/>
            <w:tcBorders>
              <w:top w:val="single" w:sz="8" w:space="0" w:color="auto"/>
              <w:left w:val="nil"/>
              <w:bottom w:val="nil"/>
              <w:right w:val="single" w:sz="8" w:space="0" w:color="auto"/>
            </w:tcBorders>
            <w:shd w:val="clear" w:color="auto" w:fill="969696"/>
            <w:vAlign w:val="center"/>
            <w:hideMark/>
          </w:tcPr>
          <w:p w14:paraId="7FF57BCB"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3546" w:type="dxa"/>
            <w:gridSpan w:val="3"/>
            <w:tcBorders>
              <w:top w:val="single" w:sz="8" w:space="0" w:color="auto"/>
              <w:left w:val="single" w:sz="8" w:space="0" w:color="auto"/>
              <w:bottom w:val="nil"/>
              <w:right w:val="nil"/>
            </w:tcBorders>
            <w:shd w:val="clear" w:color="auto" w:fill="DBDBDB"/>
            <w:noWrap/>
            <w:vAlign w:val="center"/>
            <w:hideMark/>
          </w:tcPr>
          <w:p w14:paraId="079B0FCA"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r>
      <w:tr w:rsidR="00401FEA" w:rsidRPr="00D658C3" w14:paraId="24D90573" w14:textId="77777777" w:rsidTr="000A65B4">
        <w:trPr>
          <w:trHeight w:val="285"/>
        </w:trPr>
        <w:tc>
          <w:tcPr>
            <w:tcW w:w="511" w:type="dxa"/>
            <w:vMerge w:val="restart"/>
            <w:tcBorders>
              <w:top w:val="nil"/>
              <w:left w:val="single" w:sz="8" w:space="0" w:color="auto"/>
              <w:right w:val="nil"/>
            </w:tcBorders>
            <w:noWrap/>
            <w:vAlign w:val="center"/>
            <w:hideMark/>
          </w:tcPr>
          <w:p w14:paraId="3DA7F985" w14:textId="5C6E4324"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r w:rsidRPr="00120FCC">
              <w:rPr>
                <w:rFonts w:ascii="Arial" w:eastAsia="Times New Roman" w:hAnsi="Arial" w:cs="Arial"/>
                <w:noProof/>
                <w:color w:val="auto"/>
                <w:sz w:val="19"/>
                <w:szCs w:val="19"/>
                <w:lang w:val="en-IE" w:eastAsia="en-IE"/>
              </w:rPr>
              <w:t>No.</w:t>
            </w:r>
          </w:p>
        </w:tc>
        <w:tc>
          <w:tcPr>
            <w:tcW w:w="1474" w:type="dxa"/>
            <w:vMerge w:val="restart"/>
            <w:tcBorders>
              <w:top w:val="nil"/>
              <w:left w:val="nil"/>
              <w:bottom w:val="nil"/>
              <w:right w:val="nil"/>
            </w:tcBorders>
            <w:noWrap/>
            <w:vAlign w:val="center"/>
            <w:hideMark/>
          </w:tcPr>
          <w:p w14:paraId="701C32AA"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Description</w:t>
            </w:r>
          </w:p>
        </w:tc>
        <w:tc>
          <w:tcPr>
            <w:tcW w:w="236" w:type="dxa"/>
            <w:tcBorders>
              <w:top w:val="nil"/>
              <w:left w:val="nil"/>
              <w:bottom w:val="nil"/>
              <w:right w:val="nil"/>
            </w:tcBorders>
            <w:shd w:val="clear" w:color="auto" w:fill="969696"/>
            <w:vAlign w:val="center"/>
            <w:hideMark/>
          </w:tcPr>
          <w:p w14:paraId="04D08B50"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p>
        </w:tc>
        <w:tc>
          <w:tcPr>
            <w:tcW w:w="901" w:type="dxa"/>
            <w:vMerge w:val="restart"/>
            <w:tcBorders>
              <w:top w:val="single" w:sz="8" w:space="0" w:color="auto"/>
              <w:left w:val="single" w:sz="4" w:space="0" w:color="auto"/>
              <w:bottom w:val="nil"/>
              <w:right w:val="single" w:sz="4" w:space="0" w:color="auto"/>
            </w:tcBorders>
            <w:noWrap/>
            <w:vAlign w:val="center"/>
            <w:hideMark/>
          </w:tcPr>
          <w:p w14:paraId="4F7D30BD"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Number (Q)</w:t>
            </w:r>
          </w:p>
        </w:tc>
        <w:tc>
          <w:tcPr>
            <w:tcW w:w="1111" w:type="dxa"/>
            <w:vMerge w:val="restart"/>
            <w:tcBorders>
              <w:top w:val="single" w:sz="8" w:space="0" w:color="auto"/>
              <w:left w:val="single" w:sz="4" w:space="0" w:color="auto"/>
              <w:bottom w:val="nil"/>
              <w:right w:val="single" w:sz="4" w:space="0" w:color="auto"/>
            </w:tcBorders>
            <w:noWrap/>
            <w:vAlign w:val="center"/>
            <w:hideMark/>
          </w:tcPr>
          <w:p w14:paraId="10C390BD"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Frequency</w:t>
            </w:r>
          </w:p>
        </w:tc>
        <w:tc>
          <w:tcPr>
            <w:tcW w:w="732" w:type="dxa"/>
            <w:vMerge w:val="restart"/>
            <w:tcBorders>
              <w:top w:val="single" w:sz="8" w:space="0" w:color="auto"/>
              <w:left w:val="single" w:sz="4" w:space="0" w:color="auto"/>
              <w:bottom w:val="nil"/>
              <w:right w:val="nil"/>
            </w:tcBorders>
            <w:noWrap/>
            <w:vAlign w:val="center"/>
            <w:hideMark/>
          </w:tcPr>
          <w:p w14:paraId="3994607A"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w:t>
            </w:r>
          </w:p>
        </w:tc>
        <w:tc>
          <w:tcPr>
            <w:tcW w:w="1556" w:type="dxa"/>
            <w:vMerge w:val="restart"/>
            <w:tcBorders>
              <w:top w:val="single" w:sz="8" w:space="0" w:color="auto"/>
              <w:left w:val="single" w:sz="4" w:space="0" w:color="auto"/>
              <w:bottom w:val="nil"/>
              <w:right w:val="nil"/>
            </w:tcBorders>
            <w:noWrap/>
            <w:vAlign w:val="center"/>
            <w:hideMark/>
          </w:tcPr>
          <w:p w14:paraId="0C45FC8B"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Explanation</w:t>
            </w:r>
          </w:p>
        </w:tc>
        <w:tc>
          <w:tcPr>
            <w:tcW w:w="281" w:type="dxa"/>
            <w:tcBorders>
              <w:top w:val="nil"/>
              <w:left w:val="nil"/>
              <w:bottom w:val="nil"/>
              <w:right w:val="nil"/>
            </w:tcBorders>
            <w:shd w:val="clear" w:color="auto" w:fill="969696"/>
            <w:noWrap/>
            <w:vAlign w:val="center"/>
            <w:hideMark/>
          </w:tcPr>
          <w:p w14:paraId="73F61A43"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p>
        </w:tc>
        <w:tc>
          <w:tcPr>
            <w:tcW w:w="757" w:type="dxa"/>
            <w:vMerge w:val="restart"/>
            <w:tcBorders>
              <w:top w:val="single" w:sz="8" w:space="0" w:color="auto"/>
              <w:left w:val="single" w:sz="4" w:space="0" w:color="auto"/>
              <w:bottom w:val="nil"/>
              <w:right w:val="single" w:sz="4" w:space="0" w:color="auto"/>
            </w:tcBorders>
            <w:vAlign w:val="center"/>
            <w:hideMark/>
          </w:tcPr>
          <w:p w14:paraId="435A7E44"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Hourly rate</w:t>
            </w:r>
            <w:r w:rsidRPr="00120FCC">
              <w:rPr>
                <w:rFonts w:ascii="Arial" w:eastAsia="Times New Roman" w:hAnsi="Arial" w:cs="Arial"/>
                <w:noProof/>
                <w:color w:val="auto"/>
                <w:sz w:val="19"/>
                <w:szCs w:val="19"/>
                <w:lang w:val="en-IE" w:eastAsia="en-IE"/>
              </w:rPr>
              <w:br/>
              <w:t>(euro)</w:t>
            </w:r>
          </w:p>
        </w:tc>
        <w:tc>
          <w:tcPr>
            <w:tcW w:w="816" w:type="dxa"/>
            <w:vMerge w:val="restart"/>
            <w:tcBorders>
              <w:top w:val="single" w:sz="8" w:space="0" w:color="auto"/>
              <w:left w:val="single" w:sz="4" w:space="0" w:color="auto"/>
              <w:bottom w:val="nil"/>
              <w:right w:val="single" w:sz="4" w:space="0" w:color="auto"/>
            </w:tcBorders>
            <w:vAlign w:val="center"/>
            <w:hideMark/>
          </w:tcPr>
          <w:p w14:paraId="01AACF59"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 xml:space="preserve">Time spent </w:t>
            </w:r>
            <w:r w:rsidRPr="00120FCC">
              <w:rPr>
                <w:rFonts w:ascii="Arial" w:eastAsia="Times New Roman" w:hAnsi="Arial" w:cs="Arial"/>
                <w:noProof/>
                <w:color w:val="auto"/>
                <w:sz w:val="19"/>
                <w:szCs w:val="19"/>
                <w:lang w:val="en-IE" w:eastAsia="en-IE"/>
              </w:rPr>
              <w:br/>
              <w:t>(hours)</w:t>
            </w:r>
          </w:p>
        </w:tc>
        <w:tc>
          <w:tcPr>
            <w:tcW w:w="1026" w:type="dxa"/>
            <w:vMerge w:val="restart"/>
            <w:tcBorders>
              <w:top w:val="single" w:sz="8" w:space="0" w:color="auto"/>
              <w:left w:val="single" w:sz="4" w:space="0" w:color="auto"/>
              <w:bottom w:val="nil"/>
              <w:right w:val="nil"/>
            </w:tcBorders>
            <w:vAlign w:val="center"/>
            <w:hideMark/>
          </w:tcPr>
          <w:p w14:paraId="10E1383E"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Notary and professional adviser costs (euro)</w:t>
            </w:r>
          </w:p>
        </w:tc>
        <w:tc>
          <w:tcPr>
            <w:tcW w:w="1512" w:type="dxa"/>
            <w:vMerge w:val="restart"/>
            <w:tcBorders>
              <w:top w:val="single" w:sz="8" w:space="0" w:color="auto"/>
              <w:left w:val="single" w:sz="4" w:space="0" w:color="auto"/>
              <w:bottom w:val="nil"/>
              <w:right w:val="nil"/>
            </w:tcBorders>
            <w:vAlign w:val="center"/>
            <w:hideMark/>
          </w:tcPr>
          <w:p w14:paraId="2B374AC4"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Explanation</w:t>
            </w:r>
          </w:p>
        </w:tc>
        <w:tc>
          <w:tcPr>
            <w:tcW w:w="425" w:type="dxa"/>
            <w:tcBorders>
              <w:top w:val="nil"/>
              <w:left w:val="nil"/>
              <w:bottom w:val="nil"/>
              <w:right w:val="nil"/>
            </w:tcBorders>
            <w:shd w:val="clear" w:color="auto" w:fill="969696"/>
            <w:noWrap/>
            <w:vAlign w:val="center"/>
            <w:hideMark/>
          </w:tcPr>
          <w:p w14:paraId="033BFA14"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p>
        </w:tc>
        <w:tc>
          <w:tcPr>
            <w:tcW w:w="3546" w:type="dxa"/>
            <w:gridSpan w:val="3"/>
            <w:tcBorders>
              <w:top w:val="single" w:sz="4" w:space="0" w:color="auto"/>
              <w:left w:val="single" w:sz="4" w:space="0" w:color="auto"/>
              <w:bottom w:val="single" w:sz="4" w:space="0" w:color="auto"/>
              <w:right w:val="single" w:sz="4" w:space="0" w:color="auto"/>
            </w:tcBorders>
            <w:noWrap/>
            <w:vAlign w:val="center"/>
            <w:hideMark/>
          </w:tcPr>
          <w:p w14:paraId="2EF57F93" w14:textId="77777777" w:rsidR="003F6A31" w:rsidRPr="00120FCC" w:rsidRDefault="003F6A31" w:rsidP="003F6A31">
            <w:pPr>
              <w:spacing w:before="0" w:after="0"/>
              <w:jc w:val="center"/>
              <w:rPr>
                <w:rFonts w:ascii="Arial" w:eastAsia="Times New Roman" w:hAnsi="Arial" w:cs="Arial"/>
                <w:noProof/>
                <w:color w:val="auto"/>
                <w:sz w:val="19"/>
                <w:szCs w:val="19"/>
                <w:lang w:val="en-IE" w:eastAsia="en-IE"/>
              </w:rPr>
            </w:pPr>
            <w:r w:rsidRPr="00120FCC">
              <w:rPr>
                <w:rFonts w:ascii="Arial" w:eastAsia="Times New Roman" w:hAnsi="Arial" w:cs="Arial"/>
                <w:noProof/>
                <w:color w:val="auto"/>
                <w:sz w:val="19"/>
                <w:szCs w:val="19"/>
                <w:lang w:val="en-IE" w:eastAsia="en-IE"/>
              </w:rPr>
              <w:t>Administrative burden reduction</w:t>
            </w:r>
          </w:p>
        </w:tc>
      </w:tr>
      <w:tr w:rsidR="004D7673" w:rsidRPr="00D658C3" w14:paraId="079B5509" w14:textId="77777777" w:rsidTr="000A65B4">
        <w:trPr>
          <w:trHeight w:val="525"/>
        </w:trPr>
        <w:tc>
          <w:tcPr>
            <w:tcW w:w="511" w:type="dxa"/>
            <w:vMerge/>
            <w:noWrap/>
            <w:vAlign w:val="center"/>
            <w:hideMark/>
          </w:tcPr>
          <w:p w14:paraId="0C41465B" w14:textId="1B2E7F88" w:rsidR="003F6A31" w:rsidRPr="00224F11" w:rsidRDefault="003F6A31" w:rsidP="003F6A31">
            <w:pPr>
              <w:spacing w:before="0" w:after="0"/>
              <w:jc w:val="center"/>
              <w:rPr>
                <w:rFonts w:ascii="Arial" w:eastAsia="Times New Roman" w:hAnsi="Arial" w:cs="Arial"/>
                <w:noProof/>
                <w:color w:val="auto"/>
                <w:sz w:val="18"/>
                <w:szCs w:val="18"/>
                <w:lang w:val="en-IE" w:eastAsia="en-IE"/>
              </w:rPr>
            </w:pPr>
          </w:p>
        </w:tc>
        <w:tc>
          <w:tcPr>
            <w:tcW w:w="1474" w:type="dxa"/>
            <w:vMerge/>
            <w:vAlign w:val="center"/>
            <w:hideMark/>
          </w:tcPr>
          <w:p w14:paraId="3F34B9BF"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236" w:type="dxa"/>
            <w:tcBorders>
              <w:top w:val="nil"/>
              <w:left w:val="nil"/>
              <w:bottom w:val="nil"/>
              <w:right w:val="nil"/>
            </w:tcBorders>
            <w:shd w:val="clear" w:color="auto" w:fill="969696"/>
            <w:vAlign w:val="center"/>
            <w:hideMark/>
          </w:tcPr>
          <w:p w14:paraId="64C6A010" w14:textId="77777777" w:rsidR="003F6A31" w:rsidRPr="00224F11" w:rsidRDefault="003F6A31" w:rsidP="003F6A31">
            <w:pPr>
              <w:spacing w:before="0" w:after="0"/>
              <w:jc w:val="center"/>
              <w:rPr>
                <w:rFonts w:ascii="Arial" w:eastAsia="Times New Roman" w:hAnsi="Arial" w:cs="Arial"/>
                <w:noProof/>
                <w:color w:val="auto"/>
                <w:sz w:val="18"/>
                <w:szCs w:val="18"/>
                <w:lang w:val="en-IE" w:eastAsia="en-IE"/>
              </w:rPr>
            </w:pPr>
          </w:p>
        </w:tc>
        <w:tc>
          <w:tcPr>
            <w:tcW w:w="901" w:type="dxa"/>
            <w:vMerge/>
            <w:vAlign w:val="center"/>
            <w:hideMark/>
          </w:tcPr>
          <w:p w14:paraId="32F77130"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1111" w:type="dxa"/>
            <w:vMerge/>
            <w:vAlign w:val="center"/>
            <w:hideMark/>
          </w:tcPr>
          <w:p w14:paraId="59BDFD14"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732" w:type="dxa"/>
            <w:vMerge/>
            <w:vAlign w:val="center"/>
            <w:hideMark/>
          </w:tcPr>
          <w:p w14:paraId="68A2BC68"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1556" w:type="dxa"/>
            <w:vMerge/>
            <w:vAlign w:val="center"/>
            <w:hideMark/>
          </w:tcPr>
          <w:p w14:paraId="4622E14F"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281" w:type="dxa"/>
            <w:tcBorders>
              <w:top w:val="nil"/>
              <w:left w:val="nil"/>
              <w:bottom w:val="nil"/>
              <w:right w:val="nil"/>
            </w:tcBorders>
            <w:shd w:val="clear" w:color="auto" w:fill="969696"/>
            <w:vAlign w:val="center"/>
            <w:hideMark/>
          </w:tcPr>
          <w:p w14:paraId="432A7362" w14:textId="77777777" w:rsidR="003F6A31" w:rsidRPr="00224F11" w:rsidRDefault="003F6A31" w:rsidP="003F6A31">
            <w:pPr>
              <w:spacing w:before="0" w:after="0"/>
              <w:jc w:val="center"/>
              <w:rPr>
                <w:rFonts w:ascii="Times New Roman" w:eastAsia="Times New Roman" w:hAnsi="Times New Roman" w:cs="Times New Roman"/>
                <w:noProof/>
                <w:color w:val="auto"/>
                <w:sz w:val="18"/>
                <w:szCs w:val="18"/>
                <w:lang w:val="en-IE" w:eastAsia="en-IE"/>
              </w:rPr>
            </w:pPr>
          </w:p>
        </w:tc>
        <w:tc>
          <w:tcPr>
            <w:tcW w:w="757" w:type="dxa"/>
            <w:vMerge/>
            <w:vAlign w:val="center"/>
            <w:hideMark/>
          </w:tcPr>
          <w:p w14:paraId="4E994EB7"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816" w:type="dxa"/>
            <w:vMerge/>
            <w:vAlign w:val="center"/>
            <w:hideMark/>
          </w:tcPr>
          <w:p w14:paraId="6A6DB3B2"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1026" w:type="dxa"/>
            <w:vMerge/>
            <w:vAlign w:val="center"/>
            <w:hideMark/>
          </w:tcPr>
          <w:p w14:paraId="0D939F1D"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1512" w:type="dxa"/>
            <w:vMerge/>
            <w:vAlign w:val="center"/>
            <w:hideMark/>
          </w:tcPr>
          <w:p w14:paraId="734BE124" w14:textId="77777777" w:rsidR="003F6A31" w:rsidRPr="00224F11" w:rsidRDefault="003F6A31" w:rsidP="003F6A31">
            <w:pPr>
              <w:spacing w:before="0" w:after="0"/>
              <w:rPr>
                <w:rFonts w:ascii="Arial" w:eastAsia="Times New Roman" w:hAnsi="Arial" w:cs="Arial"/>
                <w:noProof/>
                <w:color w:val="auto"/>
                <w:sz w:val="18"/>
                <w:szCs w:val="18"/>
                <w:lang w:val="en-IE" w:eastAsia="en-IE"/>
              </w:rPr>
            </w:pPr>
          </w:p>
        </w:tc>
        <w:tc>
          <w:tcPr>
            <w:tcW w:w="425" w:type="dxa"/>
            <w:tcBorders>
              <w:top w:val="nil"/>
              <w:left w:val="nil"/>
              <w:bottom w:val="nil"/>
              <w:right w:val="nil"/>
            </w:tcBorders>
            <w:shd w:val="clear" w:color="auto" w:fill="969696"/>
            <w:noWrap/>
            <w:vAlign w:val="center"/>
            <w:hideMark/>
          </w:tcPr>
          <w:p w14:paraId="41091877" w14:textId="77777777" w:rsidR="003F6A31" w:rsidRPr="00224F11" w:rsidRDefault="003F6A31" w:rsidP="003F6A31">
            <w:pPr>
              <w:spacing w:before="0" w:after="0"/>
              <w:jc w:val="center"/>
              <w:rPr>
                <w:rFonts w:ascii="Times New Roman" w:eastAsia="Times New Roman" w:hAnsi="Times New Roman" w:cs="Times New Roman"/>
                <w:noProof/>
                <w:color w:val="auto"/>
                <w:sz w:val="18"/>
                <w:szCs w:val="18"/>
                <w:lang w:val="en-IE" w:eastAsia="en-IE"/>
              </w:rPr>
            </w:pPr>
          </w:p>
        </w:tc>
        <w:tc>
          <w:tcPr>
            <w:tcW w:w="1040" w:type="dxa"/>
            <w:tcBorders>
              <w:top w:val="single" w:sz="4" w:space="0" w:color="auto"/>
              <w:left w:val="single" w:sz="4" w:space="0" w:color="auto"/>
              <w:bottom w:val="single" w:sz="4" w:space="0" w:color="auto"/>
              <w:right w:val="single" w:sz="4" w:space="0" w:color="auto"/>
            </w:tcBorders>
            <w:noWrap/>
            <w:vAlign w:val="center"/>
            <w:hideMark/>
          </w:tcPr>
          <w:p w14:paraId="14FC66C6" w14:textId="290E08D3" w:rsidR="003F6A31" w:rsidRPr="00224F11" w:rsidRDefault="003F6A31" w:rsidP="003F6A31">
            <w:pPr>
              <w:spacing w:before="0" w:after="0"/>
              <w:jc w:val="center"/>
              <w:rPr>
                <w:rFonts w:ascii="Arial" w:eastAsia="Times New Roman" w:hAnsi="Arial" w:cs="Arial"/>
                <w:noProof/>
                <w:color w:val="auto"/>
                <w:sz w:val="18"/>
                <w:szCs w:val="18"/>
                <w:lang w:val="en-IE" w:eastAsia="en-IE"/>
              </w:rPr>
            </w:pPr>
            <w:r w:rsidRPr="00224F11">
              <w:rPr>
                <w:rFonts w:ascii="Arial" w:eastAsia="Times New Roman" w:hAnsi="Arial" w:cs="Arial"/>
                <w:noProof/>
                <w:color w:val="auto"/>
                <w:sz w:val="18"/>
                <w:szCs w:val="18"/>
                <w:lang w:val="en-IE" w:eastAsia="en-IE"/>
              </w:rPr>
              <w:t xml:space="preserve">Cost </w:t>
            </w:r>
            <w:r w:rsidR="00BA26E7">
              <w:rPr>
                <w:rFonts w:ascii="Arial" w:eastAsia="Times New Roman" w:hAnsi="Arial" w:cs="Arial"/>
                <w:noProof/>
                <w:color w:val="auto"/>
                <w:sz w:val="18"/>
                <w:szCs w:val="18"/>
                <w:lang w:val="en-IE" w:eastAsia="en-IE"/>
              </w:rPr>
              <w:t xml:space="preserve">savings </w:t>
            </w:r>
            <w:r w:rsidRPr="00224F11">
              <w:rPr>
                <w:rFonts w:ascii="Arial" w:eastAsia="Times New Roman" w:hAnsi="Arial" w:cs="Arial"/>
                <w:noProof/>
                <w:color w:val="auto"/>
                <w:sz w:val="18"/>
                <w:szCs w:val="18"/>
                <w:lang w:val="en-IE" w:eastAsia="en-IE"/>
              </w:rPr>
              <w:t>per company</w:t>
            </w:r>
          </w:p>
        </w:tc>
        <w:tc>
          <w:tcPr>
            <w:tcW w:w="1154" w:type="dxa"/>
            <w:tcBorders>
              <w:top w:val="single" w:sz="4" w:space="0" w:color="auto"/>
              <w:left w:val="single" w:sz="4" w:space="0" w:color="auto"/>
              <w:bottom w:val="single" w:sz="4" w:space="0" w:color="auto"/>
              <w:right w:val="single" w:sz="4" w:space="0" w:color="auto"/>
            </w:tcBorders>
            <w:noWrap/>
            <w:vAlign w:val="center"/>
            <w:hideMark/>
          </w:tcPr>
          <w:p w14:paraId="31FF6FBB" w14:textId="77777777" w:rsidR="003F6A31" w:rsidRPr="00224F11" w:rsidRDefault="003F6A31" w:rsidP="003F6A31">
            <w:pPr>
              <w:spacing w:before="0" w:after="0"/>
              <w:jc w:val="center"/>
              <w:rPr>
                <w:rFonts w:ascii="Arial" w:eastAsia="Times New Roman" w:hAnsi="Arial" w:cs="Arial"/>
                <w:noProof/>
                <w:color w:val="auto"/>
                <w:sz w:val="18"/>
                <w:szCs w:val="18"/>
                <w:lang w:val="en-IE" w:eastAsia="en-IE"/>
              </w:rPr>
            </w:pPr>
            <w:r w:rsidRPr="00224F11">
              <w:rPr>
                <w:rFonts w:ascii="Arial" w:eastAsia="Times New Roman" w:hAnsi="Arial" w:cs="Arial"/>
                <w:noProof/>
                <w:color w:val="auto"/>
                <w:sz w:val="18"/>
                <w:szCs w:val="18"/>
                <w:lang w:val="en-IE" w:eastAsia="en-IE"/>
              </w:rPr>
              <w:t>Number of companies</w:t>
            </w:r>
          </w:p>
        </w:tc>
        <w:tc>
          <w:tcPr>
            <w:tcW w:w="1352" w:type="dxa"/>
            <w:tcBorders>
              <w:top w:val="single" w:sz="4" w:space="0" w:color="auto"/>
              <w:left w:val="single" w:sz="4" w:space="0" w:color="auto"/>
              <w:bottom w:val="single" w:sz="4" w:space="0" w:color="auto"/>
              <w:right w:val="single" w:sz="4" w:space="0" w:color="auto"/>
            </w:tcBorders>
            <w:noWrap/>
            <w:vAlign w:val="center"/>
            <w:hideMark/>
          </w:tcPr>
          <w:p w14:paraId="2F6E1C72" w14:textId="77777777" w:rsidR="003F6A31" w:rsidRPr="00224F11" w:rsidRDefault="003F6A31" w:rsidP="003F6A31">
            <w:pPr>
              <w:spacing w:before="0" w:after="0"/>
              <w:jc w:val="center"/>
              <w:rPr>
                <w:rFonts w:ascii="Arial" w:eastAsia="Times New Roman" w:hAnsi="Arial" w:cs="Arial"/>
                <w:noProof/>
                <w:color w:val="auto"/>
                <w:sz w:val="18"/>
                <w:szCs w:val="18"/>
                <w:lang w:val="en-IE" w:eastAsia="en-IE"/>
              </w:rPr>
            </w:pPr>
            <w:r w:rsidRPr="00224F11">
              <w:rPr>
                <w:rFonts w:ascii="Arial" w:eastAsia="Times New Roman" w:hAnsi="Arial" w:cs="Arial"/>
                <w:noProof/>
                <w:color w:val="auto"/>
                <w:sz w:val="18"/>
                <w:szCs w:val="18"/>
                <w:lang w:val="en-IE" w:eastAsia="en-IE"/>
              </w:rPr>
              <w:t>Total benefit</w:t>
            </w:r>
          </w:p>
        </w:tc>
      </w:tr>
      <w:tr w:rsidR="00783610" w:rsidRPr="00D658C3" w14:paraId="095602F1" w14:textId="77777777" w:rsidTr="000A65B4">
        <w:trPr>
          <w:trHeight w:val="285"/>
        </w:trPr>
        <w:tc>
          <w:tcPr>
            <w:tcW w:w="511" w:type="dxa"/>
            <w:tcBorders>
              <w:top w:val="single" w:sz="8" w:space="0" w:color="auto"/>
              <w:left w:val="single" w:sz="8" w:space="0" w:color="auto"/>
              <w:bottom w:val="single" w:sz="8" w:space="0" w:color="auto"/>
              <w:right w:val="nil"/>
            </w:tcBorders>
            <w:shd w:val="clear" w:color="auto" w:fill="305496"/>
            <w:noWrap/>
            <w:vAlign w:val="center"/>
            <w:hideMark/>
          </w:tcPr>
          <w:p w14:paraId="443EB863"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474" w:type="dxa"/>
            <w:tcBorders>
              <w:top w:val="single" w:sz="8" w:space="0" w:color="auto"/>
              <w:left w:val="nil"/>
              <w:bottom w:val="single" w:sz="8" w:space="0" w:color="auto"/>
              <w:right w:val="nil"/>
            </w:tcBorders>
            <w:shd w:val="clear" w:color="auto" w:fill="305496"/>
            <w:noWrap/>
            <w:vAlign w:val="center"/>
            <w:hideMark/>
          </w:tcPr>
          <w:p w14:paraId="35347C31"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36" w:type="dxa"/>
            <w:tcBorders>
              <w:top w:val="nil"/>
              <w:left w:val="nil"/>
              <w:bottom w:val="nil"/>
              <w:right w:val="nil"/>
            </w:tcBorders>
            <w:shd w:val="clear" w:color="auto" w:fill="969696"/>
            <w:vAlign w:val="center"/>
            <w:hideMark/>
          </w:tcPr>
          <w:p w14:paraId="398D2F8E"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901" w:type="dxa"/>
            <w:tcBorders>
              <w:top w:val="single" w:sz="8" w:space="0" w:color="auto"/>
              <w:left w:val="single" w:sz="4" w:space="0" w:color="auto"/>
              <w:bottom w:val="single" w:sz="8" w:space="0" w:color="auto"/>
              <w:right w:val="nil"/>
            </w:tcBorders>
            <w:shd w:val="clear" w:color="auto" w:fill="8EA9DB"/>
            <w:noWrap/>
            <w:vAlign w:val="center"/>
            <w:hideMark/>
          </w:tcPr>
          <w:p w14:paraId="7866268F"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111" w:type="dxa"/>
            <w:tcBorders>
              <w:top w:val="single" w:sz="8" w:space="0" w:color="auto"/>
              <w:left w:val="single" w:sz="4" w:space="0" w:color="auto"/>
              <w:bottom w:val="single" w:sz="8" w:space="0" w:color="auto"/>
              <w:right w:val="nil"/>
            </w:tcBorders>
            <w:shd w:val="clear" w:color="auto" w:fill="8EA9DB"/>
            <w:noWrap/>
            <w:vAlign w:val="center"/>
            <w:hideMark/>
          </w:tcPr>
          <w:p w14:paraId="01E24333"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732" w:type="dxa"/>
            <w:tcBorders>
              <w:top w:val="single" w:sz="8" w:space="0" w:color="auto"/>
              <w:left w:val="single" w:sz="4" w:space="0" w:color="auto"/>
              <w:bottom w:val="single" w:sz="8" w:space="0" w:color="auto"/>
              <w:right w:val="nil"/>
            </w:tcBorders>
            <w:shd w:val="clear" w:color="auto" w:fill="8EA9DB"/>
            <w:noWrap/>
            <w:vAlign w:val="center"/>
            <w:hideMark/>
          </w:tcPr>
          <w:p w14:paraId="6038A9C2"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56" w:type="dxa"/>
            <w:tcBorders>
              <w:top w:val="single" w:sz="8" w:space="0" w:color="auto"/>
              <w:left w:val="single" w:sz="4" w:space="0" w:color="auto"/>
              <w:bottom w:val="single" w:sz="8" w:space="0" w:color="auto"/>
              <w:right w:val="nil"/>
            </w:tcBorders>
            <w:shd w:val="clear" w:color="auto" w:fill="8EA9DB"/>
            <w:noWrap/>
            <w:vAlign w:val="center"/>
            <w:hideMark/>
          </w:tcPr>
          <w:p w14:paraId="78D55416"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81" w:type="dxa"/>
            <w:tcBorders>
              <w:top w:val="nil"/>
              <w:left w:val="nil"/>
              <w:bottom w:val="nil"/>
              <w:right w:val="nil"/>
            </w:tcBorders>
            <w:shd w:val="clear" w:color="auto" w:fill="969696"/>
            <w:noWrap/>
            <w:vAlign w:val="center"/>
            <w:hideMark/>
          </w:tcPr>
          <w:p w14:paraId="2B07D451"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757" w:type="dxa"/>
            <w:tcBorders>
              <w:top w:val="single" w:sz="8" w:space="0" w:color="auto"/>
              <w:left w:val="single" w:sz="4" w:space="0" w:color="auto"/>
              <w:bottom w:val="single" w:sz="8" w:space="0" w:color="auto"/>
              <w:right w:val="nil"/>
            </w:tcBorders>
            <w:shd w:val="clear" w:color="auto" w:fill="C6E0B4"/>
            <w:noWrap/>
            <w:vAlign w:val="center"/>
            <w:hideMark/>
          </w:tcPr>
          <w:p w14:paraId="6668F8DF"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816" w:type="dxa"/>
            <w:tcBorders>
              <w:top w:val="single" w:sz="8" w:space="0" w:color="auto"/>
              <w:left w:val="single" w:sz="4" w:space="0" w:color="auto"/>
              <w:bottom w:val="single" w:sz="8" w:space="0" w:color="auto"/>
              <w:right w:val="nil"/>
            </w:tcBorders>
            <w:shd w:val="clear" w:color="auto" w:fill="C6E0B4"/>
            <w:noWrap/>
            <w:vAlign w:val="center"/>
            <w:hideMark/>
          </w:tcPr>
          <w:p w14:paraId="64206DDC"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026" w:type="dxa"/>
            <w:tcBorders>
              <w:top w:val="single" w:sz="8" w:space="0" w:color="auto"/>
              <w:left w:val="single" w:sz="4" w:space="0" w:color="auto"/>
              <w:bottom w:val="single" w:sz="8" w:space="0" w:color="auto"/>
              <w:right w:val="nil"/>
            </w:tcBorders>
            <w:shd w:val="clear" w:color="auto" w:fill="C6E0B4"/>
            <w:vAlign w:val="center"/>
            <w:hideMark/>
          </w:tcPr>
          <w:p w14:paraId="4B236B83"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single" w:sz="8" w:space="0" w:color="auto"/>
              <w:left w:val="single" w:sz="4" w:space="0" w:color="auto"/>
              <w:bottom w:val="single" w:sz="8" w:space="0" w:color="auto"/>
              <w:right w:val="nil"/>
            </w:tcBorders>
            <w:shd w:val="clear" w:color="auto" w:fill="C6E0B4"/>
            <w:vAlign w:val="center"/>
            <w:hideMark/>
          </w:tcPr>
          <w:p w14:paraId="28E04B38"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425" w:type="dxa"/>
            <w:tcBorders>
              <w:top w:val="nil"/>
              <w:left w:val="nil"/>
              <w:bottom w:val="nil"/>
              <w:right w:val="nil"/>
            </w:tcBorders>
            <w:shd w:val="clear" w:color="auto" w:fill="969696"/>
            <w:noWrap/>
            <w:vAlign w:val="center"/>
            <w:hideMark/>
          </w:tcPr>
          <w:p w14:paraId="3FB279E3"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194" w:type="dxa"/>
            <w:gridSpan w:val="2"/>
            <w:tcBorders>
              <w:top w:val="nil"/>
              <w:left w:val="single" w:sz="8" w:space="0" w:color="auto"/>
              <w:bottom w:val="single" w:sz="8" w:space="0" w:color="auto"/>
              <w:right w:val="nil"/>
            </w:tcBorders>
            <w:shd w:val="clear" w:color="auto" w:fill="DBDBDB"/>
            <w:noWrap/>
            <w:vAlign w:val="center"/>
            <w:hideMark/>
          </w:tcPr>
          <w:p w14:paraId="3CFACB70"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352" w:type="dxa"/>
            <w:tcBorders>
              <w:top w:val="nil"/>
              <w:left w:val="single" w:sz="8" w:space="0" w:color="auto"/>
              <w:bottom w:val="single" w:sz="8" w:space="0" w:color="auto"/>
              <w:right w:val="single" w:sz="8" w:space="0" w:color="auto"/>
            </w:tcBorders>
            <w:shd w:val="clear" w:color="auto" w:fill="DBDBDB"/>
            <w:noWrap/>
            <w:vAlign w:val="center"/>
            <w:hideMark/>
          </w:tcPr>
          <w:p w14:paraId="7C5B5695"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r>
      <w:tr w:rsidR="00783610" w:rsidRPr="00D658C3" w14:paraId="556A640E" w14:textId="77777777" w:rsidTr="000A65B4">
        <w:trPr>
          <w:trHeight w:val="285"/>
        </w:trPr>
        <w:tc>
          <w:tcPr>
            <w:tcW w:w="1985" w:type="dxa"/>
            <w:gridSpan w:val="2"/>
            <w:tcBorders>
              <w:top w:val="single" w:sz="8" w:space="0" w:color="auto"/>
              <w:left w:val="single" w:sz="8" w:space="0" w:color="auto"/>
              <w:bottom w:val="single" w:sz="8" w:space="0" w:color="auto"/>
              <w:right w:val="nil"/>
            </w:tcBorders>
            <w:shd w:val="clear" w:color="auto" w:fill="FFFF00"/>
            <w:noWrap/>
            <w:vAlign w:val="center"/>
            <w:hideMark/>
          </w:tcPr>
          <w:p w14:paraId="6009FA76" w14:textId="1DFC6B61" w:rsidR="00161974" w:rsidRPr="00120FCC" w:rsidRDefault="00161974" w:rsidP="003F6A31">
            <w:pPr>
              <w:spacing w:before="0" w:after="0"/>
              <w:rPr>
                <w:rFonts w:ascii="Arial" w:eastAsia="Times New Roman" w:hAnsi="Arial" w:cs="Arial"/>
                <w:b/>
                <w:bCs/>
                <w:noProof/>
                <w:color w:val="auto"/>
                <w:sz w:val="19"/>
                <w:szCs w:val="19"/>
                <w:lang w:val="en-IE" w:eastAsia="en-IE"/>
              </w:rPr>
            </w:pPr>
            <w:r w:rsidRPr="00120FCC">
              <w:rPr>
                <w:rFonts w:ascii="Arial" w:eastAsia="Times New Roman" w:hAnsi="Arial" w:cs="Arial"/>
                <w:b/>
                <w:bCs/>
                <w:noProof/>
                <w:color w:val="auto"/>
                <w:sz w:val="19"/>
                <w:szCs w:val="19"/>
                <w:lang w:val="en-IE" w:eastAsia="en-IE"/>
              </w:rPr>
              <w:t>PO 2a</w:t>
            </w:r>
          </w:p>
        </w:tc>
        <w:tc>
          <w:tcPr>
            <w:tcW w:w="236" w:type="dxa"/>
            <w:tcBorders>
              <w:top w:val="nil"/>
              <w:left w:val="nil"/>
              <w:bottom w:val="nil"/>
              <w:right w:val="nil"/>
            </w:tcBorders>
            <w:shd w:val="clear" w:color="auto" w:fill="969696"/>
            <w:vAlign w:val="center"/>
            <w:hideMark/>
          </w:tcPr>
          <w:p w14:paraId="79DA5B87"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901" w:type="dxa"/>
            <w:tcBorders>
              <w:top w:val="single" w:sz="8" w:space="0" w:color="auto"/>
              <w:left w:val="single" w:sz="4" w:space="0" w:color="auto"/>
              <w:bottom w:val="nil"/>
              <w:right w:val="nil"/>
            </w:tcBorders>
            <w:noWrap/>
            <w:vAlign w:val="center"/>
            <w:hideMark/>
          </w:tcPr>
          <w:p w14:paraId="48F64201"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1111" w:type="dxa"/>
            <w:tcBorders>
              <w:top w:val="single" w:sz="8" w:space="0" w:color="auto"/>
              <w:left w:val="single" w:sz="4" w:space="0" w:color="auto"/>
              <w:bottom w:val="nil"/>
              <w:right w:val="nil"/>
            </w:tcBorders>
            <w:noWrap/>
            <w:vAlign w:val="center"/>
            <w:hideMark/>
          </w:tcPr>
          <w:p w14:paraId="2A4EF2DC"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732" w:type="dxa"/>
            <w:tcBorders>
              <w:top w:val="single" w:sz="8" w:space="0" w:color="auto"/>
              <w:left w:val="single" w:sz="4" w:space="0" w:color="auto"/>
              <w:bottom w:val="nil"/>
              <w:right w:val="nil"/>
            </w:tcBorders>
            <w:noWrap/>
            <w:vAlign w:val="center"/>
            <w:hideMark/>
          </w:tcPr>
          <w:p w14:paraId="31C7BB3D"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c>
          <w:tcPr>
            <w:tcW w:w="1556" w:type="dxa"/>
            <w:tcBorders>
              <w:top w:val="single" w:sz="8" w:space="0" w:color="auto"/>
              <w:left w:val="single" w:sz="4" w:space="0" w:color="auto"/>
              <w:bottom w:val="nil"/>
              <w:right w:val="nil"/>
            </w:tcBorders>
            <w:noWrap/>
            <w:vAlign w:val="center"/>
            <w:hideMark/>
          </w:tcPr>
          <w:p w14:paraId="5666DA6A"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281" w:type="dxa"/>
            <w:tcBorders>
              <w:top w:val="nil"/>
              <w:left w:val="nil"/>
              <w:bottom w:val="nil"/>
              <w:right w:val="nil"/>
            </w:tcBorders>
            <w:shd w:val="clear" w:color="auto" w:fill="969696"/>
            <w:noWrap/>
            <w:vAlign w:val="center"/>
            <w:hideMark/>
          </w:tcPr>
          <w:p w14:paraId="42D60ABF"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757" w:type="dxa"/>
            <w:tcBorders>
              <w:top w:val="single" w:sz="8" w:space="0" w:color="auto"/>
              <w:left w:val="single" w:sz="4" w:space="0" w:color="auto"/>
              <w:bottom w:val="nil"/>
              <w:right w:val="nil"/>
            </w:tcBorders>
            <w:noWrap/>
            <w:vAlign w:val="center"/>
            <w:hideMark/>
          </w:tcPr>
          <w:p w14:paraId="28670CFE"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816" w:type="dxa"/>
            <w:tcBorders>
              <w:top w:val="single" w:sz="8" w:space="0" w:color="auto"/>
              <w:left w:val="single" w:sz="4" w:space="0" w:color="auto"/>
              <w:bottom w:val="nil"/>
              <w:right w:val="nil"/>
            </w:tcBorders>
            <w:shd w:val="clear" w:color="auto" w:fill="FFFFFF" w:themeFill="background1"/>
            <w:noWrap/>
            <w:vAlign w:val="center"/>
            <w:hideMark/>
          </w:tcPr>
          <w:p w14:paraId="146A2A51"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c>
          <w:tcPr>
            <w:tcW w:w="1026" w:type="dxa"/>
            <w:tcBorders>
              <w:top w:val="single" w:sz="8" w:space="0" w:color="auto"/>
              <w:left w:val="single" w:sz="4" w:space="0" w:color="auto"/>
              <w:bottom w:val="nil"/>
              <w:right w:val="nil"/>
            </w:tcBorders>
            <w:noWrap/>
            <w:vAlign w:val="center"/>
            <w:hideMark/>
          </w:tcPr>
          <w:p w14:paraId="47E62830"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single" w:sz="8" w:space="0" w:color="auto"/>
              <w:left w:val="single" w:sz="4" w:space="0" w:color="auto"/>
              <w:bottom w:val="nil"/>
              <w:right w:val="nil"/>
            </w:tcBorders>
            <w:noWrap/>
            <w:vAlign w:val="center"/>
            <w:hideMark/>
          </w:tcPr>
          <w:p w14:paraId="63A08D35"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425" w:type="dxa"/>
            <w:tcBorders>
              <w:top w:val="nil"/>
              <w:left w:val="nil"/>
              <w:bottom w:val="nil"/>
              <w:right w:val="single" w:sz="8" w:space="0" w:color="auto"/>
            </w:tcBorders>
            <w:shd w:val="clear" w:color="auto" w:fill="969696"/>
            <w:noWrap/>
            <w:vAlign w:val="center"/>
            <w:hideMark/>
          </w:tcPr>
          <w:p w14:paraId="215606F1"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1040" w:type="dxa"/>
            <w:tcBorders>
              <w:top w:val="single" w:sz="8" w:space="0" w:color="auto"/>
              <w:left w:val="single" w:sz="8" w:space="0" w:color="auto"/>
              <w:bottom w:val="nil"/>
              <w:right w:val="nil"/>
            </w:tcBorders>
            <w:noWrap/>
            <w:vAlign w:val="center"/>
            <w:hideMark/>
          </w:tcPr>
          <w:p w14:paraId="7C551979"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1154" w:type="dxa"/>
            <w:tcBorders>
              <w:top w:val="single" w:sz="8" w:space="0" w:color="auto"/>
              <w:left w:val="nil"/>
              <w:bottom w:val="nil"/>
              <w:right w:val="nil"/>
            </w:tcBorders>
            <w:noWrap/>
            <w:vAlign w:val="center"/>
            <w:hideMark/>
          </w:tcPr>
          <w:p w14:paraId="67BF3390"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c>
          <w:tcPr>
            <w:tcW w:w="1352" w:type="dxa"/>
            <w:tcBorders>
              <w:top w:val="single" w:sz="8" w:space="0" w:color="auto"/>
              <w:left w:val="nil"/>
              <w:bottom w:val="nil"/>
              <w:right w:val="single" w:sz="8" w:space="0" w:color="auto"/>
            </w:tcBorders>
            <w:noWrap/>
            <w:vAlign w:val="center"/>
            <w:hideMark/>
          </w:tcPr>
          <w:p w14:paraId="2D29F7DA"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r>
      <w:tr w:rsidR="004D7673" w:rsidRPr="00D658C3" w14:paraId="10ABD0E9" w14:textId="77777777" w:rsidTr="000A65B4">
        <w:trPr>
          <w:trHeight w:val="1020"/>
        </w:trPr>
        <w:tc>
          <w:tcPr>
            <w:tcW w:w="1985" w:type="dxa"/>
            <w:gridSpan w:val="2"/>
            <w:vMerge w:val="restart"/>
            <w:tcBorders>
              <w:top w:val="single" w:sz="8" w:space="0" w:color="auto"/>
              <w:left w:val="single" w:sz="8" w:space="0" w:color="auto"/>
              <w:bottom w:val="nil"/>
              <w:right w:val="nil"/>
            </w:tcBorders>
            <w:vAlign w:val="center"/>
            <w:hideMark/>
          </w:tcPr>
          <w:p w14:paraId="30366DD3" w14:textId="70480E85" w:rsidR="003F6A31" w:rsidRPr="00120FCC" w:rsidRDefault="00BE7E61" w:rsidP="003F6A31">
            <w:pPr>
              <w:spacing w:before="0" w:after="0"/>
              <w:rPr>
                <w:rFonts w:ascii="Calibri" w:eastAsia="Times New Roman" w:hAnsi="Calibri" w:cs="Calibri"/>
                <w:noProof/>
                <w:color w:val="000000"/>
                <w:sz w:val="19"/>
                <w:szCs w:val="19"/>
                <w:lang w:val="en-IE" w:eastAsia="en-IE"/>
              </w:rPr>
            </w:pPr>
            <w:r w:rsidRPr="00BE7E61">
              <w:rPr>
                <w:rFonts w:ascii="Calibri" w:eastAsia="Times New Roman" w:hAnsi="Calibri" w:cs="Calibri"/>
                <w:noProof/>
                <w:color w:val="000000"/>
                <w:sz w:val="19"/>
                <w:szCs w:val="19"/>
                <w:lang w:val="en-IE" w:eastAsia="en-IE"/>
              </w:rPr>
              <w:t>Create an EU single interface based on BRIS for the registration of 28th regime companies with harmonised bilingual templates (EN/national language) and preventive administrative, judicial or notarial control.</w:t>
            </w:r>
          </w:p>
        </w:tc>
        <w:tc>
          <w:tcPr>
            <w:tcW w:w="236" w:type="dxa"/>
            <w:tcBorders>
              <w:top w:val="nil"/>
              <w:left w:val="nil"/>
              <w:bottom w:val="nil"/>
              <w:right w:val="single" w:sz="4" w:space="0" w:color="auto"/>
            </w:tcBorders>
            <w:shd w:val="clear" w:color="auto" w:fill="969696"/>
            <w:vAlign w:val="center"/>
            <w:hideMark/>
          </w:tcPr>
          <w:p w14:paraId="331FF6BE"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901" w:type="dxa"/>
            <w:vMerge w:val="restart"/>
            <w:tcBorders>
              <w:top w:val="single" w:sz="4" w:space="0" w:color="auto"/>
              <w:left w:val="single" w:sz="4" w:space="0" w:color="auto"/>
              <w:bottom w:val="single" w:sz="4" w:space="0" w:color="auto"/>
              <w:right w:val="single" w:sz="4" w:space="0" w:color="auto"/>
            </w:tcBorders>
            <w:vAlign w:val="center"/>
            <w:hideMark/>
          </w:tcPr>
          <w:p w14:paraId="6C49AE9D" w14:textId="3D90D9E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277,958</w:t>
            </w:r>
          </w:p>
        </w:tc>
        <w:tc>
          <w:tcPr>
            <w:tcW w:w="1111" w:type="dxa"/>
            <w:vMerge w:val="restart"/>
            <w:tcBorders>
              <w:top w:val="single" w:sz="4" w:space="0" w:color="auto"/>
              <w:left w:val="single" w:sz="4" w:space="0" w:color="auto"/>
              <w:bottom w:val="single" w:sz="4" w:space="0" w:color="auto"/>
              <w:right w:val="single" w:sz="4" w:space="0" w:color="auto"/>
            </w:tcBorders>
            <w:vAlign w:val="center"/>
            <w:hideMark/>
          </w:tcPr>
          <w:p w14:paraId="61BCA3D6"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w:t>
            </w:r>
          </w:p>
        </w:tc>
        <w:tc>
          <w:tcPr>
            <w:tcW w:w="732" w:type="dxa"/>
            <w:vMerge w:val="restart"/>
            <w:tcBorders>
              <w:top w:val="single" w:sz="4" w:space="0" w:color="auto"/>
              <w:left w:val="single" w:sz="4" w:space="0" w:color="auto"/>
              <w:bottom w:val="single" w:sz="4" w:space="0" w:color="auto"/>
              <w:right w:val="single" w:sz="4" w:space="0" w:color="auto"/>
            </w:tcBorders>
            <w:vAlign w:val="center"/>
            <w:hideMark/>
          </w:tcPr>
          <w:p w14:paraId="1CE62AAD" w14:textId="77777777" w:rsidR="003F6A31" w:rsidRPr="00120FCC" w:rsidRDefault="003F6A31" w:rsidP="003F6A31">
            <w:pPr>
              <w:spacing w:before="0" w:after="0"/>
              <w:jc w:val="right"/>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100%</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FFF1D5" w14:textId="1B7F7AC1"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281" w:type="dxa"/>
            <w:tcBorders>
              <w:top w:val="nil"/>
              <w:left w:val="nil"/>
              <w:bottom w:val="nil"/>
              <w:right w:val="nil"/>
            </w:tcBorders>
            <w:shd w:val="clear" w:color="auto" w:fill="969696"/>
            <w:noWrap/>
            <w:vAlign w:val="center"/>
            <w:hideMark/>
          </w:tcPr>
          <w:p w14:paraId="29ED610E"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75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B1266A"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40.00</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1B5932"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10.00</w:t>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399ED9"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p>
        </w:tc>
        <w:tc>
          <w:tcPr>
            <w:tcW w:w="1512" w:type="dxa"/>
            <w:vMerge w:val="restart"/>
            <w:tcBorders>
              <w:top w:val="single" w:sz="4" w:space="0" w:color="auto"/>
              <w:left w:val="single" w:sz="4" w:space="0" w:color="auto"/>
              <w:bottom w:val="single" w:sz="4" w:space="0" w:color="auto"/>
              <w:right w:val="single" w:sz="4" w:space="0" w:color="auto"/>
            </w:tcBorders>
            <w:vAlign w:val="center"/>
            <w:hideMark/>
          </w:tcPr>
          <w:p w14:paraId="1A8F897B" w14:textId="1528DA21" w:rsidR="003F6A31" w:rsidRPr="00120FCC" w:rsidRDefault="003F6A31" w:rsidP="003F6A31">
            <w:pPr>
              <w:spacing w:before="0" w:after="0"/>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10 hours time spent reduction</w:t>
            </w:r>
            <w:r w:rsidR="00A37CD1">
              <w:rPr>
                <w:rFonts w:ascii="Calibri" w:eastAsia="Times New Roman" w:hAnsi="Calibri" w:cs="Calibri"/>
                <w:noProof/>
                <w:color w:val="000000"/>
                <w:sz w:val="19"/>
                <w:szCs w:val="19"/>
                <w:lang w:val="en-IE" w:eastAsia="en-IE"/>
              </w:rPr>
              <w:t>.</w:t>
            </w:r>
          </w:p>
        </w:tc>
        <w:tc>
          <w:tcPr>
            <w:tcW w:w="425" w:type="dxa"/>
            <w:tcBorders>
              <w:top w:val="nil"/>
              <w:left w:val="nil"/>
              <w:bottom w:val="nil"/>
              <w:right w:val="nil"/>
            </w:tcBorders>
            <w:shd w:val="clear" w:color="auto" w:fill="969696"/>
            <w:noWrap/>
            <w:vAlign w:val="center"/>
            <w:hideMark/>
          </w:tcPr>
          <w:p w14:paraId="0F99F254"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1040" w:type="dxa"/>
            <w:vMerge w:val="restart"/>
            <w:tcBorders>
              <w:top w:val="single" w:sz="4" w:space="0" w:color="auto"/>
              <w:left w:val="single" w:sz="4" w:space="0" w:color="auto"/>
              <w:bottom w:val="single" w:sz="4" w:space="0" w:color="auto"/>
              <w:right w:val="single" w:sz="4" w:space="0" w:color="auto"/>
            </w:tcBorders>
            <w:vAlign w:val="center"/>
            <w:hideMark/>
          </w:tcPr>
          <w:p w14:paraId="1FF239CD"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400.00</w:t>
            </w:r>
          </w:p>
        </w:tc>
        <w:tc>
          <w:tcPr>
            <w:tcW w:w="1154" w:type="dxa"/>
            <w:vMerge w:val="restart"/>
            <w:tcBorders>
              <w:top w:val="single" w:sz="4" w:space="0" w:color="auto"/>
              <w:left w:val="single" w:sz="4" w:space="0" w:color="auto"/>
              <w:bottom w:val="single" w:sz="4" w:space="0" w:color="auto"/>
              <w:right w:val="single" w:sz="4" w:space="0" w:color="auto"/>
            </w:tcBorders>
            <w:vAlign w:val="center"/>
            <w:hideMark/>
          </w:tcPr>
          <w:p w14:paraId="2AA02EED"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277,958</w:t>
            </w:r>
          </w:p>
        </w:tc>
        <w:tc>
          <w:tcPr>
            <w:tcW w:w="1352" w:type="dxa"/>
            <w:vMerge w:val="restart"/>
            <w:tcBorders>
              <w:top w:val="single" w:sz="4" w:space="0" w:color="auto"/>
              <w:left w:val="single" w:sz="4" w:space="0" w:color="auto"/>
              <w:bottom w:val="single" w:sz="4" w:space="0" w:color="auto"/>
              <w:right w:val="single" w:sz="4" w:space="0" w:color="auto"/>
            </w:tcBorders>
            <w:vAlign w:val="center"/>
            <w:hideMark/>
          </w:tcPr>
          <w:p w14:paraId="5E34F3D4" w14:textId="78F322E2" w:rsidR="003F6A31" w:rsidRPr="00120FCC" w:rsidRDefault="0780CFC1" w:rsidP="003F6A31">
            <w:pPr>
              <w:spacing w:before="0" w:after="0"/>
              <w:jc w:val="center"/>
              <w:rPr>
                <w:rFonts w:ascii="Calibri" w:eastAsia="Times New Roman" w:hAnsi="Calibri" w:cs="Calibri"/>
                <w:noProof/>
                <w:color w:val="000000"/>
                <w:sz w:val="19"/>
                <w:szCs w:val="19"/>
                <w:lang w:val="en-IE" w:eastAsia="en-IE"/>
              </w:rPr>
            </w:pPr>
            <w:r w:rsidRPr="6F00936E">
              <w:rPr>
                <w:rFonts w:ascii="Calibri" w:eastAsia="Times New Roman" w:hAnsi="Calibri" w:cs="Calibri"/>
                <w:noProof/>
                <w:sz w:val="19"/>
                <w:szCs w:val="19"/>
                <w:lang w:val="en-IE" w:eastAsia="en-IE"/>
              </w:rPr>
              <w:t>EUR</w:t>
            </w:r>
            <w:r w:rsidR="003F6A31" w:rsidRPr="6F00936E">
              <w:rPr>
                <w:rFonts w:ascii="Calibri" w:eastAsia="Times New Roman" w:hAnsi="Calibri" w:cs="Calibri"/>
                <w:noProof/>
                <w:sz w:val="19"/>
                <w:szCs w:val="19"/>
                <w:lang w:val="en-IE" w:eastAsia="en-IE"/>
              </w:rPr>
              <w:t xml:space="preserve"> 111,183,200 </w:t>
            </w:r>
          </w:p>
        </w:tc>
      </w:tr>
      <w:tr w:rsidR="004D7673" w:rsidRPr="00D658C3" w14:paraId="56BE3CEA" w14:textId="77777777" w:rsidTr="000A65B4">
        <w:trPr>
          <w:trHeight w:val="285"/>
        </w:trPr>
        <w:tc>
          <w:tcPr>
            <w:tcW w:w="1985" w:type="dxa"/>
            <w:gridSpan w:val="2"/>
            <w:vMerge/>
            <w:vAlign w:val="center"/>
            <w:hideMark/>
          </w:tcPr>
          <w:p w14:paraId="0B537327"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236" w:type="dxa"/>
            <w:tcBorders>
              <w:top w:val="nil"/>
              <w:left w:val="nil"/>
              <w:bottom w:val="nil"/>
              <w:right w:val="nil"/>
            </w:tcBorders>
            <w:shd w:val="clear" w:color="auto" w:fill="969696"/>
            <w:vAlign w:val="center"/>
            <w:hideMark/>
          </w:tcPr>
          <w:p w14:paraId="1B75648E" w14:textId="77777777" w:rsidR="003F6A31" w:rsidRPr="00224F11" w:rsidRDefault="003F6A31" w:rsidP="003F6A31">
            <w:pPr>
              <w:spacing w:before="0" w:after="0"/>
              <w:rPr>
                <w:rFonts w:ascii="Times New Roman" w:eastAsia="Times New Roman" w:hAnsi="Times New Roman" w:cs="Times New Roman"/>
                <w:noProof/>
                <w:color w:val="auto"/>
                <w:sz w:val="18"/>
                <w:szCs w:val="18"/>
                <w:lang w:val="en-IE" w:eastAsia="en-IE"/>
              </w:rPr>
            </w:pPr>
          </w:p>
        </w:tc>
        <w:tc>
          <w:tcPr>
            <w:tcW w:w="901" w:type="dxa"/>
            <w:vMerge/>
            <w:vAlign w:val="center"/>
            <w:hideMark/>
          </w:tcPr>
          <w:p w14:paraId="019F56B5"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1111" w:type="dxa"/>
            <w:vMerge/>
            <w:vAlign w:val="center"/>
            <w:hideMark/>
          </w:tcPr>
          <w:p w14:paraId="58CE1D4B"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732" w:type="dxa"/>
            <w:vMerge/>
            <w:vAlign w:val="center"/>
            <w:hideMark/>
          </w:tcPr>
          <w:p w14:paraId="7646A148"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1556" w:type="dxa"/>
            <w:vMerge/>
            <w:vAlign w:val="center"/>
            <w:hideMark/>
          </w:tcPr>
          <w:p w14:paraId="0EA64710"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281" w:type="dxa"/>
            <w:tcBorders>
              <w:top w:val="nil"/>
              <w:left w:val="nil"/>
              <w:bottom w:val="nil"/>
              <w:right w:val="nil"/>
            </w:tcBorders>
            <w:shd w:val="clear" w:color="auto" w:fill="969696"/>
            <w:noWrap/>
            <w:vAlign w:val="center"/>
            <w:hideMark/>
          </w:tcPr>
          <w:p w14:paraId="1C00E6B0" w14:textId="77777777" w:rsidR="003F6A31" w:rsidRPr="00224F11" w:rsidRDefault="003F6A31" w:rsidP="003F6A31">
            <w:pPr>
              <w:spacing w:before="0" w:after="0"/>
              <w:rPr>
                <w:rFonts w:ascii="Times New Roman" w:eastAsia="Times New Roman" w:hAnsi="Times New Roman" w:cs="Times New Roman"/>
                <w:noProof/>
                <w:color w:val="auto"/>
                <w:sz w:val="18"/>
                <w:szCs w:val="18"/>
                <w:lang w:val="en-IE" w:eastAsia="en-IE"/>
              </w:rPr>
            </w:pPr>
          </w:p>
        </w:tc>
        <w:tc>
          <w:tcPr>
            <w:tcW w:w="757" w:type="dxa"/>
            <w:vMerge/>
            <w:vAlign w:val="center"/>
            <w:hideMark/>
          </w:tcPr>
          <w:p w14:paraId="699EB86A"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816" w:type="dxa"/>
            <w:vMerge/>
            <w:vAlign w:val="center"/>
            <w:hideMark/>
          </w:tcPr>
          <w:p w14:paraId="0915A97B"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1026" w:type="dxa"/>
            <w:vMerge/>
            <w:vAlign w:val="center"/>
            <w:hideMark/>
          </w:tcPr>
          <w:p w14:paraId="1F138789"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1512" w:type="dxa"/>
            <w:vMerge/>
            <w:vAlign w:val="center"/>
            <w:hideMark/>
          </w:tcPr>
          <w:p w14:paraId="4B4360EB"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425" w:type="dxa"/>
            <w:tcBorders>
              <w:top w:val="nil"/>
              <w:left w:val="nil"/>
              <w:bottom w:val="nil"/>
              <w:right w:val="nil"/>
            </w:tcBorders>
            <w:shd w:val="clear" w:color="auto" w:fill="969696"/>
            <w:noWrap/>
            <w:vAlign w:val="center"/>
            <w:hideMark/>
          </w:tcPr>
          <w:p w14:paraId="72EA0284" w14:textId="77777777" w:rsidR="003F6A31" w:rsidRPr="00224F11" w:rsidRDefault="003F6A31" w:rsidP="003F6A31">
            <w:pPr>
              <w:spacing w:before="0" w:after="0"/>
              <w:rPr>
                <w:rFonts w:ascii="Times New Roman" w:eastAsia="Times New Roman" w:hAnsi="Times New Roman" w:cs="Times New Roman"/>
                <w:noProof/>
                <w:color w:val="auto"/>
                <w:sz w:val="18"/>
                <w:szCs w:val="18"/>
                <w:lang w:val="en-IE" w:eastAsia="en-IE"/>
              </w:rPr>
            </w:pPr>
          </w:p>
        </w:tc>
        <w:tc>
          <w:tcPr>
            <w:tcW w:w="1040" w:type="dxa"/>
            <w:vMerge/>
            <w:vAlign w:val="center"/>
            <w:hideMark/>
          </w:tcPr>
          <w:p w14:paraId="166F786B"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1154" w:type="dxa"/>
            <w:vMerge/>
            <w:vAlign w:val="center"/>
            <w:hideMark/>
          </w:tcPr>
          <w:p w14:paraId="4D6B5B17"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1352" w:type="dxa"/>
            <w:vMerge/>
            <w:vAlign w:val="center"/>
            <w:hideMark/>
          </w:tcPr>
          <w:p w14:paraId="2A92605E"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r>
      <w:tr w:rsidR="00783610" w:rsidRPr="00D658C3" w14:paraId="0B6E176F" w14:textId="77777777" w:rsidTr="000A65B4">
        <w:trPr>
          <w:trHeight w:val="285"/>
        </w:trPr>
        <w:tc>
          <w:tcPr>
            <w:tcW w:w="511" w:type="dxa"/>
            <w:tcBorders>
              <w:top w:val="single" w:sz="8" w:space="0" w:color="auto"/>
              <w:left w:val="single" w:sz="8" w:space="0" w:color="auto"/>
              <w:bottom w:val="single" w:sz="8" w:space="0" w:color="auto"/>
              <w:right w:val="nil"/>
            </w:tcBorders>
            <w:shd w:val="clear" w:color="auto" w:fill="305496"/>
            <w:noWrap/>
            <w:vAlign w:val="center"/>
            <w:hideMark/>
          </w:tcPr>
          <w:p w14:paraId="3D1BECFB"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474" w:type="dxa"/>
            <w:tcBorders>
              <w:top w:val="single" w:sz="8" w:space="0" w:color="auto"/>
              <w:left w:val="nil"/>
              <w:bottom w:val="single" w:sz="8" w:space="0" w:color="auto"/>
              <w:right w:val="nil"/>
            </w:tcBorders>
            <w:shd w:val="clear" w:color="auto" w:fill="305496"/>
            <w:noWrap/>
            <w:vAlign w:val="center"/>
            <w:hideMark/>
          </w:tcPr>
          <w:p w14:paraId="735F22D6"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36" w:type="dxa"/>
            <w:tcBorders>
              <w:top w:val="nil"/>
              <w:left w:val="nil"/>
              <w:bottom w:val="nil"/>
              <w:right w:val="nil"/>
            </w:tcBorders>
            <w:shd w:val="clear" w:color="auto" w:fill="969696"/>
            <w:vAlign w:val="center"/>
            <w:hideMark/>
          </w:tcPr>
          <w:p w14:paraId="23C85ACA"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901" w:type="dxa"/>
            <w:tcBorders>
              <w:top w:val="nil"/>
              <w:left w:val="single" w:sz="4" w:space="0" w:color="auto"/>
              <w:bottom w:val="single" w:sz="8" w:space="0" w:color="auto"/>
              <w:right w:val="nil"/>
            </w:tcBorders>
            <w:shd w:val="clear" w:color="auto" w:fill="8EA9DB"/>
            <w:noWrap/>
            <w:vAlign w:val="center"/>
            <w:hideMark/>
          </w:tcPr>
          <w:p w14:paraId="584FB25A"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111" w:type="dxa"/>
            <w:tcBorders>
              <w:top w:val="nil"/>
              <w:left w:val="single" w:sz="4" w:space="0" w:color="auto"/>
              <w:bottom w:val="single" w:sz="8" w:space="0" w:color="auto"/>
              <w:right w:val="nil"/>
            </w:tcBorders>
            <w:shd w:val="clear" w:color="auto" w:fill="8EA9DB"/>
            <w:noWrap/>
            <w:vAlign w:val="center"/>
            <w:hideMark/>
          </w:tcPr>
          <w:p w14:paraId="0479FEAA"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732" w:type="dxa"/>
            <w:tcBorders>
              <w:top w:val="nil"/>
              <w:left w:val="single" w:sz="4" w:space="0" w:color="auto"/>
              <w:bottom w:val="single" w:sz="8" w:space="0" w:color="auto"/>
              <w:right w:val="nil"/>
            </w:tcBorders>
            <w:shd w:val="clear" w:color="auto" w:fill="8EA9DB"/>
            <w:noWrap/>
            <w:vAlign w:val="center"/>
            <w:hideMark/>
          </w:tcPr>
          <w:p w14:paraId="572B7CAC"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56" w:type="dxa"/>
            <w:tcBorders>
              <w:top w:val="nil"/>
              <w:left w:val="single" w:sz="4" w:space="0" w:color="auto"/>
              <w:bottom w:val="single" w:sz="8" w:space="0" w:color="auto"/>
              <w:right w:val="nil"/>
            </w:tcBorders>
            <w:shd w:val="clear" w:color="auto" w:fill="8EA9DB"/>
            <w:noWrap/>
            <w:vAlign w:val="center"/>
            <w:hideMark/>
          </w:tcPr>
          <w:p w14:paraId="3A5AC62D"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81" w:type="dxa"/>
            <w:tcBorders>
              <w:top w:val="nil"/>
              <w:left w:val="nil"/>
              <w:bottom w:val="nil"/>
              <w:right w:val="nil"/>
            </w:tcBorders>
            <w:shd w:val="clear" w:color="auto" w:fill="969696"/>
            <w:noWrap/>
            <w:vAlign w:val="center"/>
            <w:hideMark/>
          </w:tcPr>
          <w:p w14:paraId="47717135"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757" w:type="dxa"/>
            <w:tcBorders>
              <w:top w:val="nil"/>
              <w:left w:val="single" w:sz="4" w:space="0" w:color="auto"/>
              <w:bottom w:val="single" w:sz="8" w:space="0" w:color="auto"/>
              <w:right w:val="nil"/>
            </w:tcBorders>
            <w:shd w:val="clear" w:color="auto" w:fill="C6E0B4"/>
            <w:noWrap/>
            <w:vAlign w:val="center"/>
            <w:hideMark/>
          </w:tcPr>
          <w:p w14:paraId="6610D552"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816" w:type="dxa"/>
            <w:tcBorders>
              <w:top w:val="nil"/>
              <w:left w:val="single" w:sz="4" w:space="0" w:color="auto"/>
              <w:bottom w:val="single" w:sz="8" w:space="0" w:color="auto"/>
              <w:right w:val="nil"/>
            </w:tcBorders>
            <w:shd w:val="clear" w:color="auto" w:fill="C6E0B4"/>
            <w:noWrap/>
            <w:vAlign w:val="center"/>
            <w:hideMark/>
          </w:tcPr>
          <w:p w14:paraId="2ED4872D"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026" w:type="dxa"/>
            <w:tcBorders>
              <w:top w:val="nil"/>
              <w:left w:val="single" w:sz="4" w:space="0" w:color="auto"/>
              <w:bottom w:val="single" w:sz="8" w:space="0" w:color="auto"/>
              <w:right w:val="nil"/>
            </w:tcBorders>
            <w:shd w:val="clear" w:color="auto" w:fill="C6E0B4"/>
            <w:vAlign w:val="center"/>
            <w:hideMark/>
          </w:tcPr>
          <w:p w14:paraId="2A52A1C4"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nil"/>
              <w:left w:val="single" w:sz="4" w:space="0" w:color="auto"/>
              <w:bottom w:val="single" w:sz="8" w:space="0" w:color="auto"/>
              <w:right w:val="nil"/>
            </w:tcBorders>
            <w:shd w:val="clear" w:color="auto" w:fill="C6E0B4"/>
            <w:vAlign w:val="center"/>
            <w:hideMark/>
          </w:tcPr>
          <w:p w14:paraId="3F149C91"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425" w:type="dxa"/>
            <w:tcBorders>
              <w:top w:val="nil"/>
              <w:left w:val="nil"/>
              <w:bottom w:val="nil"/>
              <w:right w:val="nil"/>
            </w:tcBorders>
            <w:shd w:val="clear" w:color="auto" w:fill="969696"/>
            <w:noWrap/>
            <w:vAlign w:val="center"/>
            <w:hideMark/>
          </w:tcPr>
          <w:p w14:paraId="14C741A4"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194" w:type="dxa"/>
            <w:gridSpan w:val="2"/>
            <w:tcBorders>
              <w:top w:val="nil"/>
              <w:left w:val="single" w:sz="8" w:space="0" w:color="auto"/>
              <w:bottom w:val="single" w:sz="8" w:space="0" w:color="auto"/>
              <w:right w:val="nil"/>
            </w:tcBorders>
            <w:shd w:val="clear" w:color="auto" w:fill="DBDBDB"/>
            <w:noWrap/>
            <w:vAlign w:val="center"/>
            <w:hideMark/>
          </w:tcPr>
          <w:p w14:paraId="3B2DF7B0" w14:textId="77777777" w:rsidR="003F6A31" w:rsidRPr="00120FCC" w:rsidRDefault="003F6A31" w:rsidP="003F6A31">
            <w:pPr>
              <w:spacing w:before="0" w:after="0"/>
              <w:jc w:val="center"/>
              <w:rPr>
                <w:rFonts w:ascii="Arial" w:eastAsia="Times New Roman" w:hAnsi="Arial" w:cs="Arial"/>
                <w:b/>
                <w:bCs/>
                <w:noProof/>
                <w:color w:val="auto"/>
                <w:sz w:val="19"/>
                <w:szCs w:val="19"/>
                <w:lang w:val="en-IE" w:eastAsia="en-IE"/>
              </w:rPr>
            </w:pPr>
            <w:r w:rsidRPr="00120FCC">
              <w:rPr>
                <w:rFonts w:ascii="Arial" w:eastAsia="Times New Roman" w:hAnsi="Arial" w:cs="Arial"/>
                <w:b/>
                <w:bCs/>
                <w:noProof/>
                <w:color w:val="auto"/>
                <w:sz w:val="19"/>
                <w:szCs w:val="19"/>
                <w:lang w:val="en-IE" w:eastAsia="en-IE"/>
              </w:rPr>
              <w:t>Admin burden reduction PO2a</w:t>
            </w:r>
          </w:p>
        </w:tc>
        <w:tc>
          <w:tcPr>
            <w:tcW w:w="1352" w:type="dxa"/>
            <w:tcBorders>
              <w:top w:val="nil"/>
              <w:left w:val="single" w:sz="8" w:space="0" w:color="auto"/>
              <w:bottom w:val="single" w:sz="8" w:space="0" w:color="auto"/>
              <w:right w:val="single" w:sz="8" w:space="0" w:color="auto"/>
            </w:tcBorders>
            <w:shd w:val="clear" w:color="auto" w:fill="DBDBDB"/>
            <w:noWrap/>
            <w:vAlign w:val="center"/>
            <w:hideMark/>
          </w:tcPr>
          <w:p w14:paraId="6D83DCDF" w14:textId="25871D2C" w:rsidR="003F6A31" w:rsidRPr="00120FCC" w:rsidRDefault="6152D578" w:rsidP="003F6A31">
            <w:pPr>
              <w:spacing w:before="0" w:after="0"/>
              <w:jc w:val="center"/>
              <w:rPr>
                <w:rFonts w:ascii="Arial" w:eastAsia="Times New Roman" w:hAnsi="Arial" w:cs="Arial"/>
                <w:b/>
                <w:bCs/>
                <w:noProof/>
                <w:color w:val="auto"/>
                <w:sz w:val="19"/>
                <w:szCs w:val="19"/>
                <w:lang w:val="en-IE" w:eastAsia="en-IE"/>
              </w:rPr>
            </w:pPr>
            <w:r w:rsidRPr="6F00936E">
              <w:rPr>
                <w:rFonts w:ascii="Arial" w:eastAsia="Times New Roman" w:hAnsi="Arial" w:cs="Arial"/>
                <w:b/>
                <w:bCs/>
                <w:noProof/>
                <w:color w:val="auto"/>
                <w:sz w:val="19"/>
                <w:szCs w:val="19"/>
                <w:lang w:val="en-IE" w:eastAsia="en-IE"/>
              </w:rPr>
              <w:t>EUR</w:t>
            </w:r>
            <w:r w:rsidR="003F6A31" w:rsidRPr="6F00936E">
              <w:rPr>
                <w:rFonts w:ascii="Arial" w:eastAsia="Times New Roman" w:hAnsi="Arial" w:cs="Arial"/>
                <w:b/>
                <w:bCs/>
                <w:noProof/>
                <w:color w:val="auto"/>
                <w:sz w:val="19"/>
                <w:szCs w:val="19"/>
                <w:lang w:val="en-IE" w:eastAsia="en-IE"/>
              </w:rPr>
              <w:t xml:space="preserve"> 111,183,200 </w:t>
            </w:r>
          </w:p>
        </w:tc>
      </w:tr>
      <w:tr w:rsidR="00783610" w:rsidRPr="00D658C3" w14:paraId="024E1651" w14:textId="77777777" w:rsidTr="000A65B4">
        <w:trPr>
          <w:trHeight w:val="285"/>
        </w:trPr>
        <w:tc>
          <w:tcPr>
            <w:tcW w:w="1985" w:type="dxa"/>
            <w:gridSpan w:val="2"/>
            <w:tcBorders>
              <w:top w:val="single" w:sz="8" w:space="0" w:color="auto"/>
              <w:left w:val="single" w:sz="8" w:space="0" w:color="auto"/>
              <w:bottom w:val="single" w:sz="8" w:space="0" w:color="auto"/>
              <w:right w:val="nil"/>
            </w:tcBorders>
            <w:shd w:val="clear" w:color="auto" w:fill="FFFF00"/>
            <w:noWrap/>
            <w:vAlign w:val="center"/>
            <w:hideMark/>
          </w:tcPr>
          <w:p w14:paraId="48AF102C" w14:textId="209D2906" w:rsidR="00161974" w:rsidRPr="00120FCC" w:rsidRDefault="00161974" w:rsidP="003F6A31">
            <w:pPr>
              <w:spacing w:before="0" w:after="0"/>
              <w:rPr>
                <w:rFonts w:ascii="Arial" w:eastAsia="Times New Roman" w:hAnsi="Arial" w:cs="Arial"/>
                <w:b/>
                <w:bCs/>
                <w:noProof/>
                <w:color w:val="auto"/>
                <w:sz w:val="19"/>
                <w:szCs w:val="19"/>
                <w:lang w:val="en-IE" w:eastAsia="en-IE"/>
              </w:rPr>
            </w:pPr>
            <w:r w:rsidRPr="00120FCC">
              <w:rPr>
                <w:rFonts w:ascii="Arial" w:eastAsia="Times New Roman" w:hAnsi="Arial" w:cs="Arial"/>
                <w:b/>
                <w:bCs/>
                <w:noProof/>
                <w:color w:val="auto"/>
                <w:sz w:val="19"/>
                <w:szCs w:val="19"/>
                <w:lang w:val="en-IE" w:eastAsia="en-IE"/>
              </w:rPr>
              <w:t>PO 2b</w:t>
            </w:r>
          </w:p>
        </w:tc>
        <w:tc>
          <w:tcPr>
            <w:tcW w:w="236" w:type="dxa"/>
            <w:tcBorders>
              <w:top w:val="nil"/>
              <w:left w:val="nil"/>
              <w:bottom w:val="nil"/>
              <w:right w:val="nil"/>
            </w:tcBorders>
            <w:shd w:val="clear" w:color="auto" w:fill="969696"/>
            <w:vAlign w:val="center"/>
            <w:hideMark/>
          </w:tcPr>
          <w:p w14:paraId="7F0C560D"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901" w:type="dxa"/>
            <w:tcBorders>
              <w:top w:val="single" w:sz="8" w:space="0" w:color="auto"/>
              <w:left w:val="single" w:sz="4" w:space="0" w:color="auto"/>
              <w:bottom w:val="nil"/>
              <w:right w:val="nil"/>
            </w:tcBorders>
            <w:noWrap/>
            <w:vAlign w:val="center"/>
            <w:hideMark/>
          </w:tcPr>
          <w:p w14:paraId="174E2A69"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1111" w:type="dxa"/>
            <w:tcBorders>
              <w:top w:val="single" w:sz="8" w:space="0" w:color="auto"/>
              <w:left w:val="single" w:sz="4" w:space="0" w:color="auto"/>
              <w:bottom w:val="nil"/>
              <w:right w:val="nil"/>
            </w:tcBorders>
            <w:noWrap/>
            <w:vAlign w:val="center"/>
            <w:hideMark/>
          </w:tcPr>
          <w:p w14:paraId="2CBDB106"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732" w:type="dxa"/>
            <w:tcBorders>
              <w:top w:val="single" w:sz="8" w:space="0" w:color="auto"/>
              <w:left w:val="single" w:sz="4" w:space="0" w:color="auto"/>
              <w:bottom w:val="nil"/>
              <w:right w:val="nil"/>
            </w:tcBorders>
            <w:noWrap/>
            <w:vAlign w:val="center"/>
            <w:hideMark/>
          </w:tcPr>
          <w:p w14:paraId="043CF379"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c>
          <w:tcPr>
            <w:tcW w:w="1556" w:type="dxa"/>
            <w:tcBorders>
              <w:top w:val="single" w:sz="8" w:space="0" w:color="auto"/>
              <w:left w:val="single" w:sz="4" w:space="0" w:color="auto"/>
              <w:bottom w:val="nil"/>
              <w:right w:val="nil"/>
            </w:tcBorders>
            <w:noWrap/>
            <w:vAlign w:val="center"/>
            <w:hideMark/>
          </w:tcPr>
          <w:p w14:paraId="31551697"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281" w:type="dxa"/>
            <w:tcBorders>
              <w:top w:val="nil"/>
              <w:left w:val="nil"/>
              <w:bottom w:val="nil"/>
              <w:right w:val="nil"/>
            </w:tcBorders>
            <w:shd w:val="clear" w:color="auto" w:fill="969696"/>
            <w:noWrap/>
            <w:vAlign w:val="center"/>
            <w:hideMark/>
          </w:tcPr>
          <w:p w14:paraId="28506A16"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757" w:type="dxa"/>
            <w:tcBorders>
              <w:top w:val="single" w:sz="8" w:space="0" w:color="auto"/>
              <w:left w:val="single" w:sz="4" w:space="0" w:color="auto"/>
              <w:bottom w:val="nil"/>
              <w:right w:val="nil"/>
            </w:tcBorders>
            <w:noWrap/>
            <w:vAlign w:val="center"/>
            <w:hideMark/>
          </w:tcPr>
          <w:p w14:paraId="30028F8E"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816" w:type="dxa"/>
            <w:tcBorders>
              <w:top w:val="single" w:sz="8" w:space="0" w:color="auto"/>
              <w:left w:val="single" w:sz="4" w:space="0" w:color="auto"/>
              <w:bottom w:val="nil"/>
              <w:right w:val="nil"/>
            </w:tcBorders>
            <w:shd w:val="clear" w:color="auto" w:fill="FFFFFF" w:themeFill="background1"/>
            <w:noWrap/>
            <w:vAlign w:val="center"/>
            <w:hideMark/>
          </w:tcPr>
          <w:p w14:paraId="6D4A11F3"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c>
          <w:tcPr>
            <w:tcW w:w="1026" w:type="dxa"/>
            <w:tcBorders>
              <w:top w:val="single" w:sz="8" w:space="0" w:color="auto"/>
              <w:left w:val="single" w:sz="4" w:space="0" w:color="auto"/>
              <w:bottom w:val="nil"/>
              <w:right w:val="nil"/>
            </w:tcBorders>
            <w:noWrap/>
            <w:vAlign w:val="center"/>
            <w:hideMark/>
          </w:tcPr>
          <w:p w14:paraId="4D9F8F89"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single" w:sz="8" w:space="0" w:color="auto"/>
              <w:left w:val="single" w:sz="4" w:space="0" w:color="auto"/>
              <w:bottom w:val="nil"/>
              <w:right w:val="nil"/>
            </w:tcBorders>
            <w:noWrap/>
            <w:vAlign w:val="center"/>
            <w:hideMark/>
          </w:tcPr>
          <w:p w14:paraId="7D526923"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425" w:type="dxa"/>
            <w:tcBorders>
              <w:top w:val="nil"/>
              <w:left w:val="nil"/>
              <w:bottom w:val="nil"/>
              <w:right w:val="single" w:sz="8" w:space="0" w:color="auto"/>
            </w:tcBorders>
            <w:shd w:val="clear" w:color="auto" w:fill="969696"/>
            <w:noWrap/>
            <w:vAlign w:val="center"/>
            <w:hideMark/>
          </w:tcPr>
          <w:p w14:paraId="5D9852E8"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1040" w:type="dxa"/>
            <w:tcBorders>
              <w:top w:val="single" w:sz="8" w:space="0" w:color="auto"/>
              <w:left w:val="single" w:sz="8" w:space="0" w:color="auto"/>
              <w:bottom w:val="nil"/>
              <w:right w:val="nil"/>
            </w:tcBorders>
            <w:noWrap/>
            <w:vAlign w:val="center"/>
            <w:hideMark/>
          </w:tcPr>
          <w:p w14:paraId="37B17D67" w14:textId="77777777" w:rsidR="00161974" w:rsidRPr="00120FCC" w:rsidRDefault="00161974" w:rsidP="003F6A31">
            <w:pPr>
              <w:spacing w:before="0" w:after="0"/>
              <w:rPr>
                <w:rFonts w:ascii="Times New Roman" w:eastAsia="Times New Roman" w:hAnsi="Times New Roman" w:cs="Times New Roman"/>
                <w:noProof/>
                <w:color w:val="auto"/>
                <w:sz w:val="19"/>
                <w:szCs w:val="19"/>
                <w:lang w:val="en-IE" w:eastAsia="en-IE"/>
              </w:rPr>
            </w:pPr>
          </w:p>
        </w:tc>
        <w:tc>
          <w:tcPr>
            <w:tcW w:w="1154" w:type="dxa"/>
            <w:tcBorders>
              <w:top w:val="single" w:sz="8" w:space="0" w:color="auto"/>
              <w:left w:val="nil"/>
              <w:bottom w:val="nil"/>
              <w:right w:val="nil"/>
            </w:tcBorders>
            <w:noWrap/>
            <w:vAlign w:val="center"/>
            <w:hideMark/>
          </w:tcPr>
          <w:p w14:paraId="2F249A35"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c>
          <w:tcPr>
            <w:tcW w:w="1352" w:type="dxa"/>
            <w:tcBorders>
              <w:top w:val="single" w:sz="8" w:space="0" w:color="auto"/>
              <w:left w:val="nil"/>
              <w:bottom w:val="nil"/>
              <w:right w:val="single" w:sz="8" w:space="0" w:color="auto"/>
            </w:tcBorders>
            <w:noWrap/>
            <w:vAlign w:val="center"/>
            <w:hideMark/>
          </w:tcPr>
          <w:p w14:paraId="2A3CA92A" w14:textId="77777777" w:rsidR="00161974" w:rsidRPr="00120FCC" w:rsidRDefault="00161974" w:rsidP="003F6A31">
            <w:pPr>
              <w:spacing w:before="0" w:after="0"/>
              <w:jc w:val="center"/>
              <w:rPr>
                <w:rFonts w:ascii="Times New Roman" w:eastAsia="Times New Roman" w:hAnsi="Times New Roman" w:cs="Times New Roman"/>
                <w:noProof/>
                <w:color w:val="auto"/>
                <w:sz w:val="19"/>
                <w:szCs w:val="19"/>
                <w:lang w:val="en-IE" w:eastAsia="en-IE"/>
              </w:rPr>
            </w:pPr>
          </w:p>
        </w:tc>
      </w:tr>
      <w:tr w:rsidR="004D7673" w:rsidRPr="00D658C3" w14:paraId="294FD5AE" w14:textId="77777777" w:rsidTr="000A65B4">
        <w:trPr>
          <w:trHeight w:val="1620"/>
        </w:trPr>
        <w:tc>
          <w:tcPr>
            <w:tcW w:w="1985" w:type="dxa"/>
            <w:gridSpan w:val="2"/>
            <w:vMerge w:val="restart"/>
            <w:tcBorders>
              <w:top w:val="single" w:sz="8" w:space="0" w:color="auto"/>
              <w:left w:val="single" w:sz="8" w:space="0" w:color="auto"/>
              <w:bottom w:val="nil"/>
              <w:right w:val="nil"/>
            </w:tcBorders>
            <w:vAlign w:val="center"/>
            <w:hideMark/>
          </w:tcPr>
          <w:p w14:paraId="17E26F03" w14:textId="4F80981A" w:rsidR="003F6A31" w:rsidRPr="00120FCC" w:rsidRDefault="00FF7FB6" w:rsidP="003F6A31">
            <w:pPr>
              <w:spacing w:before="0" w:after="0"/>
              <w:rPr>
                <w:rFonts w:ascii="Calibri" w:eastAsia="Times New Roman" w:hAnsi="Calibri" w:cs="Calibri"/>
                <w:noProof/>
                <w:color w:val="000000"/>
                <w:sz w:val="19"/>
                <w:szCs w:val="19"/>
                <w:lang w:val="en-IE" w:eastAsia="en-IE"/>
              </w:rPr>
            </w:pPr>
            <w:r w:rsidRPr="00FF7FB6">
              <w:rPr>
                <w:rFonts w:ascii="Calibri" w:eastAsia="Times New Roman" w:hAnsi="Calibri" w:cs="Calibri"/>
                <w:noProof/>
                <w:color w:val="000000"/>
                <w:sz w:val="19"/>
                <w:szCs w:val="19"/>
                <w:lang w:val="en-IE" w:eastAsia="en-IE"/>
              </w:rPr>
              <w:t>Option 2a + introduce a deadline (48 hours) and cost ceiling of EUR 100 to complete the registration including the preventive administrative, judicial or notarial control when the standardised template is used by founders as natural persons.</w:t>
            </w:r>
          </w:p>
        </w:tc>
        <w:tc>
          <w:tcPr>
            <w:tcW w:w="236" w:type="dxa"/>
            <w:tcBorders>
              <w:top w:val="nil"/>
              <w:left w:val="nil"/>
              <w:bottom w:val="nil"/>
              <w:right w:val="single" w:sz="4" w:space="0" w:color="auto"/>
            </w:tcBorders>
            <w:shd w:val="clear" w:color="auto" w:fill="969696"/>
            <w:vAlign w:val="center"/>
            <w:hideMark/>
          </w:tcPr>
          <w:p w14:paraId="64C98900"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901" w:type="dxa"/>
            <w:tcBorders>
              <w:top w:val="single" w:sz="4" w:space="0" w:color="auto"/>
              <w:left w:val="single" w:sz="4" w:space="0" w:color="auto"/>
              <w:bottom w:val="single" w:sz="4" w:space="0" w:color="auto"/>
              <w:right w:val="single" w:sz="4" w:space="0" w:color="auto"/>
            </w:tcBorders>
            <w:vAlign w:val="center"/>
            <w:hideMark/>
          </w:tcPr>
          <w:p w14:paraId="2299A6B5"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277,958</w:t>
            </w:r>
          </w:p>
        </w:tc>
        <w:tc>
          <w:tcPr>
            <w:tcW w:w="1111" w:type="dxa"/>
            <w:tcBorders>
              <w:top w:val="single" w:sz="4" w:space="0" w:color="auto"/>
              <w:left w:val="single" w:sz="4" w:space="0" w:color="auto"/>
              <w:bottom w:val="single" w:sz="4" w:space="0" w:color="auto"/>
              <w:right w:val="single" w:sz="4" w:space="0" w:color="auto"/>
            </w:tcBorders>
            <w:vAlign w:val="center"/>
            <w:hideMark/>
          </w:tcPr>
          <w:p w14:paraId="7B9D4232"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w:t>
            </w:r>
          </w:p>
        </w:tc>
        <w:tc>
          <w:tcPr>
            <w:tcW w:w="732" w:type="dxa"/>
            <w:tcBorders>
              <w:top w:val="single" w:sz="4" w:space="0" w:color="auto"/>
              <w:left w:val="single" w:sz="4" w:space="0" w:color="auto"/>
              <w:bottom w:val="single" w:sz="4" w:space="0" w:color="auto"/>
              <w:right w:val="single" w:sz="4" w:space="0" w:color="auto"/>
            </w:tcBorders>
            <w:vAlign w:val="center"/>
            <w:hideMark/>
          </w:tcPr>
          <w:p w14:paraId="5B016D33" w14:textId="77777777" w:rsidR="003F6A31" w:rsidRPr="00120FCC" w:rsidRDefault="003F6A31" w:rsidP="003F6A31">
            <w:pPr>
              <w:spacing w:before="0" w:after="0"/>
              <w:jc w:val="right"/>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100.00%</w:t>
            </w:r>
          </w:p>
        </w:tc>
        <w:tc>
          <w:tcPr>
            <w:tcW w:w="1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C7333D"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Total one-off administrative burden reduction for 28th regime companies</w:t>
            </w:r>
          </w:p>
        </w:tc>
        <w:tc>
          <w:tcPr>
            <w:tcW w:w="281" w:type="dxa"/>
            <w:tcBorders>
              <w:top w:val="nil"/>
              <w:left w:val="nil"/>
              <w:bottom w:val="nil"/>
              <w:right w:val="nil"/>
            </w:tcBorders>
            <w:shd w:val="clear" w:color="auto" w:fill="969696"/>
            <w:noWrap/>
            <w:vAlign w:val="center"/>
            <w:hideMark/>
          </w:tcPr>
          <w:p w14:paraId="550592B6"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DA2B01"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40.00</w:t>
            </w:r>
          </w:p>
        </w:tc>
        <w:tc>
          <w:tcPr>
            <w:tcW w:w="8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B0ABDE"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10.00</w:t>
            </w:r>
          </w:p>
        </w:tc>
        <w:tc>
          <w:tcPr>
            <w:tcW w:w="1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BE29B5"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150.00</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F52D83A" w14:textId="269A5E05" w:rsidR="003F6A31" w:rsidRPr="00120FCC" w:rsidRDefault="003F6A31" w:rsidP="003F6A31">
            <w:pPr>
              <w:spacing w:before="0" w:after="0"/>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 xml:space="preserve">Time spent reduction same as PO 2a. </w:t>
            </w:r>
            <w:r w:rsidR="00527472" w:rsidRPr="00120FCC">
              <w:rPr>
                <w:rFonts w:ascii="Calibri" w:eastAsia="Times New Roman" w:hAnsi="Calibri" w:cs="Calibri"/>
                <w:noProof/>
                <w:color w:val="000000"/>
                <w:sz w:val="19"/>
                <w:szCs w:val="19"/>
                <w:lang w:val="en-IE" w:eastAsia="en-IE"/>
              </w:rPr>
              <w:t xml:space="preserve">Cost ceiling of </w:t>
            </w:r>
            <w:r w:rsidR="00527472">
              <w:rPr>
                <w:rFonts w:ascii="Calibri" w:eastAsia="Times New Roman" w:hAnsi="Calibri" w:cs="Calibri"/>
                <w:noProof/>
                <w:color w:val="000000"/>
                <w:sz w:val="19"/>
                <w:szCs w:val="19"/>
                <w:lang w:val="en-IE" w:eastAsia="en-IE"/>
              </w:rPr>
              <w:t>EUR </w:t>
            </w:r>
            <w:r w:rsidR="00527472" w:rsidRPr="00120FCC">
              <w:rPr>
                <w:rFonts w:ascii="Calibri" w:eastAsia="Times New Roman" w:hAnsi="Calibri" w:cs="Calibri"/>
                <w:noProof/>
                <w:color w:val="000000"/>
                <w:sz w:val="19"/>
                <w:szCs w:val="19"/>
                <w:lang w:val="en-IE" w:eastAsia="en-IE"/>
              </w:rPr>
              <w:t xml:space="preserve">100 to complete registration, instead of average </w:t>
            </w:r>
            <w:r w:rsidR="00527472">
              <w:rPr>
                <w:rFonts w:ascii="Calibri" w:eastAsia="Times New Roman" w:hAnsi="Calibri" w:cs="Calibri"/>
                <w:noProof/>
                <w:color w:val="000000"/>
                <w:sz w:val="19"/>
                <w:szCs w:val="19"/>
                <w:lang w:val="en-IE" w:eastAsia="en-IE"/>
              </w:rPr>
              <w:t>EUR </w:t>
            </w:r>
            <w:r w:rsidR="00527472" w:rsidRPr="00120FCC">
              <w:rPr>
                <w:rFonts w:ascii="Calibri" w:eastAsia="Times New Roman" w:hAnsi="Calibri" w:cs="Calibri"/>
                <w:noProof/>
                <w:color w:val="000000"/>
                <w:sz w:val="19"/>
                <w:szCs w:val="19"/>
                <w:lang w:val="en-IE" w:eastAsia="en-IE"/>
              </w:rPr>
              <w:t>250</w:t>
            </w:r>
            <w:r w:rsidR="00527472">
              <w:rPr>
                <w:rFonts w:ascii="Calibri" w:eastAsia="Times New Roman" w:hAnsi="Calibri" w:cs="Calibri"/>
                <w:noProof/>
                <w:color w:val="000000"/>
                <w:sz w:val="19"/>
                <w:szCs w:val="19"/>
                <w:lang w:val="en-IE" w:eastAsia="en-IE"/>
              </w:rPr>
              <w:t xml:space="preserve"> </w:t>
            </w:r>
            <w:r w:rsidR="00527472" w:rsidRPr="00120FCC">
              <w:rPr>
                <w:rFonts w:ascii="Calibri" w:eastAsia="Times New Roman" w:hAnsi="Calibri" w:cs="Calibri"/>
                <w:noProof/>
                <w:color w:val="000000"/>
                <w:sz w:val="19"/>
                <w:szCs w:val="19"/>
                <w:lang w:val="en-IE" w:eastAsia="en-IE"/>
              </w:rPr>
              <w:t>per company.</w:t>
            </w:r>
            <w:r w:rsidRPr="00120FCC">
              <w:rPr>
                <w:rFonts w:ascii="Calibri" w:eastAsia="Times New Roman" w:hAnsi="Calibri" w:cs="Calibri"/>
                <w:noProof/>
                <w:color w:val="000000"/>
                <w:sz w:val="19"/>
                <w:szCs w:val="19"/>
                <w:lang w:val="en-IE" w:eastAsia="en-IE"/>
              </w:rPr>
              <w:t xml:space="preserve">Cost ceiling of </w:t>
            </w:r>
            <w:r w:rsidR="00955DBA">
              <w:rPr>
                <w:rFonts w:ascii="Calibri" w:eastAsia="Times New Roman" w:hAnsi="Calibri" w:cs="Calibri"/>
                <w:noProof/>
                <w:color w:val="000000"/>
                <w:sz w:val="19"/>
                <w:szCs w:val="19"/>
                <w:lang w:val="en-IE" w:eastAsia="en-IE"/>
              </w:rPr>
              <w:t>EUR </w:t>
            </w:r>
            <w:r w:rsidRPr="00120FCC">
              <w:rPr>
                <w:rFonts w:ascii="Calibri" w:eastAsia="Times New Roman" w:hAnsi="Calibri" w:cs="Calibri"/>
                <w:noProof/>
                <w:color w:val="000000"/>
                <w:sz w:val="19"/>
                <w:szCs w:val="19"/>
                <w:lang w:val="en-IE" w:eastAsia="en-IE"/>
              </w:rPr>
              <w:t xml:space="preserve">100 to complete registration, instead of average </w:t>
            </w:r>
            <w:r w:rsidR="00B61357">
              <w:rPr>
                <w:rFonts w:ascii="Calibri" w:eastAsia="Times New Roman" w:hAnsi="Calibri" w:cs="Calibri"/>
                <w:noProof/>
                <w:color w:val="000000"/>
                <w:sz w:val="19"/>
                <w:szCs w:val="19"/>
                <w:lang w:val="en-IE" w:eastAsia="en-IE"/>
              </w:rPr>
              <w:t>EUR </w:t>
            </w:r>
            <w:r w:rsidRPr="00120FCC">
              <w:rPr>
                <w:rFonts w:ascii="Calibri" w:eastAsia="Times New Roman" w:hAnsi="Calibri" w:cs="Calibri"/>
                <w:noProof/>
                <w:color w:val="000000"/>
                <w:sz w:val="19"/>
                <w:szCs w:val="19"/>
                <w:lang w:val="en-IE" w:eastAsia="en-IE"/>
              </w:rPr>
              <w:t>250per company.</w:t>
            </w:r>
          </w:p>
        </w:tc>
        <w:tc>
          <w:tcPr>
            <w:tcW w:w="425" w:type="dxa"/>
            <w:tcBorders>
              <w:top w:val="nil"/>
              <w:left w:val="nil"/>
              <w:bottom w:val="nil"/>
              <w:right w:val="nil"/>
            </w:tcBorders>
            <w:shd w:val="clear" w:color="auto" w:fill="969696"/>
            <w:noWrap/>
            <w:vAlign w:val="center"/>
            <w:hideMark/>
          </w:tcPr>
          <w:p w14:paraId="483DE9E2"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1040" w:type="dxa"/>
            <w:tcBorders>
              <w:top w:val="single" w:sz="4" w:space="0" w:color="auto"/>
              <w:left w:val="single" w:sz="4" w:space="0" w:color="auto"/>
              <w:bottom w:val="single" w:sz="4" w:space="0" w:color="auto"/>
              <w:right w:val="single" w:sz="4" w:space="0" w:color="auto"/>
            </w:tcBorders>
            <w:vAlign w:val="center"/>
            <w:hideMark/>
          </w:tcPr>
          <w:p w14:paraId="0A426184"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550.00</w:t>
            </w:r>
          </w:p>
        </w:tc>
        <w:tc>
          <w:tcPr>
            <w:tcW w:w="1154" w:type="dxa"/>
            <w:tcBorders>
              <w:top w:val="single" w:sz="4" w:space="0" w:color="auto"/>
              <w:left w:val="single" w:sz="4" w:space="0" w:color="auto"/>
              <w:bottom w:val="single" w:sz="4" w:space="0" w:color="auto"/>
              <w:right w:val="single" w:sz="4" w:space="0" w:color="auto"/>
            </w:tcBorders>
            <w:vAlign w:val="center"/>
            <w:hideMark/>
          </w:tcPr>
          <w:p w14:paraId="2FA3B356"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277,958</w:t>
            </w:r>
          </w:p>
        </w:tc>
        <w:tc>
          <w:tcPr>
            <w:tcW w:w="1352" w:type="dxa"/>
            <w:tcBorders>
              <w:top w:val="single" w:sz="4" w:space="0" w:color="auto"/>
              <w:left w:val="single" w:sz="4" w:space="0" w:color="auto"/>
              <w:bottom w:val="single" w:sz="4" w:space="0" w:color="auto"/>
              <w:right w:val="single" w:sz="4" w:space="0" w:color="auto"/>
            </w:tcBorders>
            <w:vAlign w:val="center"/>
            <w:hideMark/>
          </w:tcPr>
          <w:p w14:paraId="3623AE6E" w14:textId="3CC43D46" w:rsidR="003F6A31" w:rsidRPr="00120FCC" w:rsidRDefault="47DFD6F3" w:rsidP="003F6A31">
            <w:pPr>
              <w:spacing w:before="0" w:after="0"/>
              <w:jc w:val="center"/>
              <w:rPr>
                <w:rFonts w:ascii="Calibri" w:eastAsia="Times New Roman" w:hAnsi="Calibri" w:cs="Calibri"/>
                <w:noProof/>
                <w:color w:val="000000"/>
                <w:sz w:val="19"/>
                <w:szCs w:val="19"/>
                <w:lang w:val="en-IE" w:eastAsia="en-IE"/>
              </w:rPr>
            </w:pPr>
            <w:r w:rsidRPr="6F00936E">
              <w:rPr>
                <w:rFonts w:ascii="Calibri" w:eastAsia="Times New Roman" w:hAnsi="Calibri" w:cs="Calibri"/>
                <w:noProof/>
                <w:sz w:val="19"/>
                <w:szCs w:val="19"/>
                <w:lang w:val="en-IE" w:eastAsia="en-IE"/>
              </w:rPr>
              <w:t>EUR</w:t>
            </w:r>
            <w:r w:rsidR="003F6A31" w:rsidRPr="6F00936E">
              <w:rPr>
                <w:rFonts w:ascii="Calibri" w:eastAsia="Times New Roman" w:hAnsi="Calibri" w:cs="Calibri"/>
                <w:noProof/>
                <w:sz w:val="19"/>
                <w:szCs w:val="19"/>
                <w:lang w:val="en-IE" w:eastAsia="en-IE"/>
              </w:rPr>
              <w:t xml:space="preserve"> 152,876,900 </w:t>
            </w:r>
          </w:p>
        </w:tc>
      </w:tr>
      <w:tr w:rsidR="004D7673" w:rsidRPr="00D658C3" w14:paraId="70183306" w14:textId="77777777" w:rsidTr="000A65B4">
        <w:trPr>
          <w:trHeight w:val="1620"/>
        </w:trPr>
        <w:tc>
          <w:tcPr>
            <w:tcW w:w="1985" w:type="dxa"/>
            <w:gridSpan w:val="2"/>
            <w:vMerge/>
            <w:vAlign w:val="center"/>
            <w:hideMark/>
          </w:tcPr>
          <w:p w14:paraId="40F8B547"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236" w:type="dxa"/>
            <w:tcBorders>
              <w:top w:val="nil"/>
              <w:left w:val="nil"/>
              <w:bottom w:val="nil"/>
              <w:right w:val="nil"/>
            </w:tcBorders>
            <w:shd w:val="clear" w:color="auto" w:fill="969696"/>
            <w:vAlign w:val="center"/>
            <w:hideMark/>
          </w:tcPr>
          <w:p w14:paraId="204F405C" w14:textId="77777777" w:rsidR="003F6A31" w:rsidRPr="00224F11" w:rsidRDefault="003F6A31" w:rsidP="003F6A31">
            <w:pPr>
              <w:spacing w:before="0" w:after="0"/>
              <w:rPr>
                <w:rFonts w:ascii="Times New Roman" w:eastAsia="Times New Roman" w:hAnsi="Times New Roman" w:cs="Times New Roman"/>
                <w:noProof/>
                <w:color w:val="auto"/>
                <w:sz w:val="18"/>
                <w:szCs w:val="18"/>
                <w:lang w:val="en-IE" w:eastAsia="en-IE"/>
              </w:rPr>
            </w:pPr>
          </w:p>
        </w:tc>
        <w:tc>
          <w:tcPr>
            <w:tcW w:w="901" w:type="dxa"/>
            <w:tcBorders>
              <w:top w:val="single" w:sz="4" w:space="0" w:color="auto"/>
              <w:left w:val="single" w:sz="4" w:space="0" w:color="auto"/>
              <w:bottom w:val="single" w:sz="4" w:space="0" w:color="auto"/>
              <w:right w:val="single" w:sz="4" w:space="0" w:color="auto"/>
            </w:tcBorders>
            <w:vAlign w:val="center"/>
            <w:hideMark/>
          </w:tcPr>
          <w:p w14:paraId="1B64BB8D"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277,958</w:t>
            </w:r>
          </w:p>
        </w:tc>
        <w:tc>
          <w:tcPr>
            <w:tcW w:w="1111" w:type="dxa"/>
            <w:tcBorders>
              <w:top w:val="single" w:sz="4" w:space="0" w:color="auto"/>
              <w:left w:val="single" w:sz="4" w:space="0" w:color="auto"/>
              <w:bottom w:val="single" w:sz="4" w:space="0" w:color="auto"/>
              <w:right w:val="single" w:sz="4" w:space="0" w:color="auto"/>
            </w:tcBorders>
            <w:vAlign w:val="center"/>
            <w:hideMark/>
          </w:tcPr>
          <w:p w14:paraId="027BD78F"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1</w:t>
            </w:r>
          </w:p>
        </w:tc>
        <w:tc>
          <w:tcPr>
            <w:tcW w:w="732" w:type="dxa"/>
            <w:tcBorders>
              <w:top w:val="single" w:sz="4" w:space="0" w:color="auto"/>
              <w:left w:val="single" w:sz="4" w:space="0" w:color="auto"/>
              <w:bottom w:val="single" w:sz="4" w:space="0" w:color="auto"/>
              <w:right w:val="single" w:sz="4" w:space="0" w:color="auto"/>
            </w:tcBorders>
            <w:noWrap/>
            <w:vAlign w:val="center"/>
            <w:hideMark/>
          </w:tcPr>
          <w:p w14:paraId="6409396D"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89.88%</w:t>
            </w:r>
          </w:p>
        </w:tc>
        <w:tc>
          <w:tcPr>
            <w:tcW w:w="1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ECF872"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Total one-off administrative burden reduction for 28th regime companies in notarial countries</w:t>
            </w:r>
          </w:p>
        </w:tc>
        <w:tc>
          <w:tcPr>
            <w:tcW w:w="281" w:type="dxa"/>
            <w:tcBorders>
              <w:top w:val="nil"/>
              <w:left w:val="nil"/>
              <w:bottom w:val="nil"/>
              <w:right w:val="nil"/>
            </w:tcBorders>
            <w:shd w:val="clear" w:color="auto" w:fill="969696"/>
            <w:noWrap/>
            <w:vAlign w:val="center"/>
            <w:hideMark/>
          </w:tcPr>
          <w:p w14:paraId="2E0402D5"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ED81EA"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40.00</w:t>
            </w:r>
          </w:p>
        </w:tc>
        <w:tc>
          <w:tcPr>
            <w:tcW w:w="8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9DD45C"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p>
        </w:tc>
        <w:tc>
          <w:tcPr>
            <w:tcW w:w="1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E8AC0F"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300.00</w:t>
            </w:r>
          </w:p>
        </w:tc>
        <w:tc>
          <w:tcPr>
            <w:tcW w:w="1512" w:type="dxa"/>
            <w:tcBorders>
              <w:top w:val="single" w:sz="4" w:space="0" w:color="auto"/>
              <w:left w:val="single" w:sz="4" w:space="0" w:color="auto"/>
              <w:bottom w:val="single" w:sz="4" w:space="0" w:color="auto"/>
              <w:right w:val="single" w:sz="4" w:space="0" w:color="auto"/>
            </w:tcBorders>
            <w:vAlign w:val="center"/>
            <w:hideMark/>
          </w:tcPr>
          <w:p w14:paraId="6A1D7EBC" w14:textId="7542A440" w:rsidR="003F6A31" w:rsidRPr="00224F11" w:rsidRDefault="00527472" w:rsidP="003F6A31">
            <w:pPr>
              <w:spacing w:before="0" w:after="0"/>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 xml:space="preserve">In those Member States where notaries are involved, the additional average cost is </w:t>
            </w:r>
            <w:r>
              <w:rPr>
                <w:rFonts w:ascii="Calibri" w:eastAsia="Times New Roman" w:hAnsi="Calibri" w:cs="Calibri"/>
                <w:noProof/>
                <w:color w:val="000000"/>
                <w:sz w:val="18"/>
                <w:szCs w:val="18"/>
                <w:lang w:val="en-IE" w:eastAsia="en-IE"/>
              </w:rPr>
              <w:t>EUR </w:t>
            </w:r>
            <w:r w:rsidRPr="00224F11">
              <w:rPr>
                <w:rFonts w:ascii="Calibri" w:eastAsia="Times New Roman" w:hAnsi="Calibri" w:cs="Calibri"/>
                <w:noProof/>
                <w:color w:val="000000"/>
                <w:sz w:val="18"/>
                <w:szCs w:val="18"/>
                <w:lang w:val="en-IE" w:eastAsia="en-IE"/>
              </w:rPr>
              <w:t>300</w:t>
            </w:r>
            <w:r>
              <w:rPr>
                <w:rFonts w:ascii="Calibri" w:eastAsia="Times New Roman" w:hAnsi="Calibri" w:cs="Calibri"/>
                <w:noProof/>
                <w:color w:val="000000"/>
                <w:sz w:val="18"/>
                <w:szCs w:val="18"/>
                <w:lang w:val="en-IE" w:eastAsia="en-IE"/>
              </w:rPr>
              <w:t xml:space="preserve"> </w:t>
            </w:r>
            <w:r w:rsidRPr="00224F11">
              <w:rPr>
                <w:rFonts w:ascii="Calibri" w:eastAsia="Times New Roman" w:hAnsi="Calibri" w:cs="Calibri"/>
                <w:noProof/>
                <w:color w:val="000000"/>
                <w:sz w:val="18"/>
                <w:szCs w:val="18"/>
                <w:lang w:val="en-IE" w:eastAsia="en-IE"/>
              </w:rPr>
              <w:t>when national template is used.</w:t>
            </w:r>
            <w:r w:rsidR="008B765F">
              <w:rPr>
                <w:rFonts w:ascii="Calibri" w:eastAsia="Times New Roman" w:hAnsi="Calibri" w:cs="Calibri"/>
                <w:noProof/>
                <w:color w:val="000000"/>
                <w:sz w:val="18"/>
                <w:szCs w:val="18"/>
                <w:lang w:val="en-IE" w:eastAsia="en-IE"/>
              </w:rPr>
              <w:t xml:space="preserve">  </w:t>
            </w:r>
            <w:r w:rsidR="003F6A31" w:rsidRPr="00224F11">
              <w:rPr>
                <w:rFonts w:ascii="Calibri" w:eastAsia="Times New Roman" w:hAnsi="Calibri" w:cs="Calibri"/>
                <w:noProof/>
                <w:color w:val="000000"/>
                <w:sz w:val="18"/>
                <w:szCs w:val="18"/>
                <w:lang w:val="en-IE" w:eastAsia="en-IE"/>
              </w:rPr>
              <w:t xml:space="preserve">In those Member States where notaries are involved, the additional average cost is </w:t>
            </w:r>
            <w:r w:rsidR="00BD3244">
              <w:rPr>
                <w:rFonts w:ascii="Calibri" w:eastAsia="Times New Roman" w:hAnsi="Calibri" w:cs="Calibri"/>
                <w:noProof/>
                <w:color w:val="000000"/>
                <w:sz w:val="18"/>
                <w:szCs w:val="18"/>
                <w:lang w:val="en-IE" w:eastAsia="en-IE"/>
              </w:rPr>
              <w:t>EUR </w:t>
            </w:r>
            <w:r w:rsidR="003F6A31" w:rsidRPr="00224F11">
              <w:rPr>
                <w:rFonts w:ascii="Calibri" w:eastAsia="Times New Roman" w:hAnsi="Calibri" w:cs="Calibri"/>
                <w:noProof/>
                <w:color w:val="000000"/>
                <w:sz w:val="18"/>
                <w:szCs w:val="18"/>
                <w:lang w:val="en-IE" w:eastAsia="en-IE"/>
              </w:rPr>
              <w:t>300when national template is used.</w:t>
            </w:r>
          </w:p>
        </w:tc>
        <w:tc>
          <w:tcPr>
            <w:tcW w:w="425" w:type="dxa"/>
            <w:tcBorders>
              <w:top w:val="nil"/>
              <w:left w:val="nil"/>
              <w:bottom w:val="nil"/>
              <w:right w:val="nil"/>
            </w:tcBorders>
            <w:shd w:val="clear" w:color="auto" w:fill="969696"/>
            <w:noWrap/>
            <w:vAlign w:val="center"/>
            <w:hideMark/>
          </w:tcPr>
          <w:p w14:paraId="0893D07C"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1040" w:type="dxa"/>
            <w:tcBorders>
              <w:top w:val="single" w:sz="4" w:space="0" w:color="auto"/>
              <w:left w:val="single" w:sz="4" w:space="0" w:color="auto"/>
              <w:bottom w:val="single" w:sz="4" w:space="0" w:color="auto"/>
              <w:right w:val="single" w:sz="4" w:space="0" w:color="auto"/>
            </w:tcBorders>
            <w:vAlign w:val="center"/>
            <w:hideMark/>
          </w:tcPr>
          <w:p w14:paraId="29B1E4E3"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300.00</w:t>
            </w:r>
          </w:p>
        </w:tc>
        <w:tc>
          <w:tcPr>
            <w:tcW w:w="1154" w:type="dxa"/>
            <w:tcBorders>
              <w:top w:val="single" w:sz="4" w:space="0" w:color="auto"/>
              <w:left w:val="single" w:sz="4" w:space="0" w:color="auto"/>
              <w:bottom w:val="single" w:sz="4" w:space="0" w:color="auto"/>
              <w:right w:val="single" w:sz="4" w:space="0" w:color="auto"/>
            </w:tcBorders>
            <w:vAlign w:val="center"/>
            <w:hideMark/>
          </w:tcPr>
          <w:p w14:paraId="28A6A904"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249,839</w:t>
            </w:r>
          </w:p>
        </w:tc>
        <w:tc>
          <w:tcPr>
            <w:tcW w:w="1352" w:type="dxa"/>
            <w:tcBorders>
              <w:top w:val="single" w:sz="4" w:space="0" w:color="auto"/>
              <w:left w:val="single" w:sz="4" w:space="0" w:color="auto"/>
              <w:bottom w:val="single" w:sz="4" w:space="0" w:color="auto"/>
              <w:right w:val="single" w:sz="4" w:space="0" w:color="auto"/>
            </w:tcBorders>
            <w:vAlign w:val="center"/>
            <w:hideMark/>
          </w:tcPr>
          <w:p w14:paraId="1CAEBC0C" w14:textId="65DC4F87" w:rsidR="003F6A31" w:rsidRPr="00224F11" w:rsidRDefault="249495E4" w:rsidP="003F6A31">
            <w:pPr>
              <w:spacing w:before="0" w:after="0"/>
              <w:jc w:val="center"/>
              <w:rPr>
                <w:rFonts w:ascii="Calibri" w:eastAsia="Times New Roman" w:hAnsi="Calibri" w:cs="Calibri"/>
                <w:noProof/>
                <w:color w:val="000000"/>
                <w:sz w:val="18"/>
                <w:szCs w:val="18"/>
                <w:lang w:val="en-IE" w:eastAsia="en-IE"/>
              </w:rPr>
            </w:pPr>
            <w:r w:rsidRPr="6F00936E">
              <w:rPr>
                <w:rFonts w:ascii="Calibri" w:eastAsia="Times New Roman" w:hAnsi="Calibri" w:cs="Calibri"/>
                <w:noProof/>
                <w:sz w:val="18"/>
                <w:szCs w:val="18"/>
                <w:lang w:val="en-IE" w:eastAsia="en-IE"/>
              </w:rPr>
              <w:t>EUR</w:t>
            </w:r>
            <w:r w:rsidR="003F6A31" w:rsidRPr="6F00936E">
              <w:rPr>
                <w:rFonts w:ascii="Calibri" w:eastAsia="Times New Roman" w:hAnsi="Calibri" w:cs="Calibri"/>
                <w:noProof/>
                <w:sz w:val="18"/>
                <w:szCs w:val="18"/>
                <w:lang w:val="en-IE" w:eastAsia="en-IE"/>
              </w:rPr>
              <w:t xml:space="preserve"> 74,951,749 </w:t>
            </w:r>
          </w:p>
        </w:tc>
      </w:tr>
      <w:tr w:rsidR="004D7673" w:rsidRPr="00D658C3" w14:paraId="4772A01E" w14:textId="77777777" w:rsidTr="000A65B4">
        <w:trPr>
          <w:trHeight w:val="1620"/>
        </w:trPr>
        <w:tc>
          <w:tcPr>
            <w:tcW w:w="1985" w:type="dxa"/>
            <w:gridSpan w:val="2"/>
            <w:vMerge/>
            <w:vAlign w:val="center"/>
            <w:hideMark/>
          </w:tcPr>
          <w:p w14:paraId="581BE6D1"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236" w:type="dxa"/>
            <w:tcBorders>
              <w:top w:val="nil"/>
              <w:left w:val="nil"/>
              <w:bottom w:val="nil"/>
              <w:right w:val="nil"/>
            </w:tcBorders>
            <w:shd w:val="clear" w:color="auto" w:fill="969696"/>
            <w:vAlign w:val="center"/>
            <w:hideMark/>
          </w:tcPr>
          <w:p w14:paraId="4172BEDC" w14:textId="77777777" w:rsidR="003F6A31" w:rsidRPr="00224F11" w:rsidRDefault="003F6A31" w:rsidP="003F6A31">
            <w:pPr>
              <w:spacing w:before="0" w:after="0"/>
              <w:rPr>
                <w:rFonts w:ascii="Times New Roman" w:eastAsia="Times New Roman" w:hAnsi="Times New Roman" w:cs="Times New Roman"/>
                <w:noProof/>
                <w:color w:val="auto"/>
                <w:sz w:val="18"/>
                <w:szCs w:val="18"/>
                <w:lang w:val="en-IE" w:eastAsia="en-IE"/>
              </w:rPr>
            </w:pPr>
          </w:p>
        </w:tc>
        <w:tc>
          <w:tcPr>
            <w:tcW w:w="901" w:type="dxa"/>
            <w:tcBorders>
              <w:top w:val="single" w:sz="4" w:space="0" w:color="auto"/>
              <w:left w:val="single" w:sz="4" w:space="0" w:color="auto"/>
              <w:bottom w:val="single" w:sz="4" w:space="0" w:color="auto"/>
              <w:right w:val="single" w:sz="4" w:space="0" w:color="auto"/>
            </w:tcBorders>
            <w:vAlign w:val="center"/>
            <w:hideMark/>
          </w:tcPr>
          <w:p w14:paraId="6A10DD14"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277,958</w:t>
            </w:r>
          </w:p>
        </w:tc>
        <w:tc>
          <w:tcPr>
            <w:tcW w:w="1111" w:type="dxa"/>
            <w:tcBorders>
              <w:top w:val="single" w:sz="4" w:space="0" w:color="auto"/>
              <w:left w:val="single" w:sz="4" w:space="0" w:color="auto"/>
              <w:bottom w:val="single" w:sz="4" w:space="0" w:color="auto"/>
              <w:right w:val="single" w:sz="4" w:space="0" w:color="auto"/>
            </w:tcBorders>
            <w:vAlign w:val="center"/>
            <w:hideMark/>
          </w:tcPr>
          <w:p w14:paraId="23FE3C55"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1</w:t>
            </w:r>
          </w:p>
        </w:tc>
        <w:tc>
          <w:tcPr>
            <w:tcW w:w="732" w:type="dxa"/>
            <w:tcBorders>
              <w:top w:val="single" w:sz="4" w:space="0" w:color="auto"/>
              <w:left w:val="single" w:sz="4" w:space="0" w:color="auto"/>
              <w:bottom w:val="single" w:sz="4" w:space="0" w:color="auto"/>
              <w:right w:val="single" w:sz="4" w:space="0" w:color="auto"/>
            </w:tcBorders>
            <w:noWrap/>
            <w:vAlign w:val="center"/>
            <w:hideMark/>
          </w:tcPr>
          <w:p w14:paraId="6B5D4A37"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89.88%</w:t>
            </w:r>
          </w:p>
        </w:tc>
        <w:tc>
          <w:tcPr>
            <w:tcW w:w="1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F508CD"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Total one-off administrative burden reduction for 28th regime companies in notarial countries</w:t>
            </w:r>
          </w:p>
        </w:tc>
        <w:tc>
          <w:tcPr>
            <w:tcW w:w="281" w:type="dxa"/>
            <w:tcBorders>
              <w:top w:val="nil"/>
              <w:left w:val="nil"/>
              <w:bottom w:val="nil"/>
              <w:right w:val="nil"/>
            </w:tcBorders>
            <w:shd w:val="clear" w:color="auto" w:fill="969696"/>
            <w:noWrap/>
            <w:vAlign w:val="center"/>
            <w:hideMark/>
          </w:tcPr>
          <w:p w14:paraId="775FA52B"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5056D6"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40.00</w:t>
            </w:r>
          </w:p>
        </w:tc>
        <w:tc>
          <w:tcPr>
            <w:tcW w:w="8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201F17"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p>
        </w:tc>
        <w:tc>
          <w:tcPr>
            <w:tcW w:w="1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559CE9"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750.00</w:t>
            </w:r>
          </w:p>
        </w:tc>
        <w:tc>
          <w:tcPr>
            <w:tcW w:w="1512" w:type="dxa"/>
            <w:tcBorders>
              <w:top w:val="single" w:sz="4" w:space="0" w:color="auto"/>
              <w:left w:val="single" w:sz="4" w:space="0" w:color="auto"/>
              <w:bottom w:val="single" w:sz="4" w:space="0" w:color="auto"/>
              <w:right w:val="single" w:sz="4" w:space="0" w:color="auto"/>
            </w:tcBorders>
            <w:vAlign w:val="center"/>
            <w:hideMark/>
          </w:tcPr>
          <w:p w14:paraId="32714B2C" w14:textId="159A3EAB" w:rsidR="003F6A31" w:rsidRPr="00224F11" w:rsidRDefault="003F6A31" w:rsidP="003F6A31">
            <w:pPr>
              <w:spacing w:before="0" w:after="0"/>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 xml:space="preserve">In those Member States where notaries are involved, the additional average cost is </w:t>
            </w:r>
            <w:r w:rsidR="00BD3244">
              <w:rPr>
                <w:rFonts w:ascii="Calibri" w:eastAsia="Times New Roman" w:hAnsi="Calibri" w:cs="Calibri"/>
                <w:noProof/>
                <w:color w:val="000000"/>
                <w:sz w:val="18"/>
                <w:szCs w:val="18"/>
                <w:lang w:val="en-IE" w:eastAsia="en-IE"/>
              </w:rPr>
              <w:t>EUR </w:t>
            </w:r>
            <w:r w:rsidRPr="00224F11">
              <w:rPr>
                <w:rFonts w:ascii="Calibri" w:eastAsia="Times New Roman" w:hAnsi="Calibri" w:cs="Calibri"/>
                <w:noProof/>
                <w:color w:val="000000"/>
                <w:sz w:val="18"/>
                <w:szCs w:val="18"/>
                <w:lang w:val="en-IE" w:eastAsia="en-IE"/>
              </w:rPr>
              <w:t>750 in other cases.</w:t>
            </w:r>
          </w:p>
        </w:tc>
        <w:tc>
          <w:tcPr>
            <w:tcW w:w="425" w:type="dxa"/>
            <w:tcBorders>
              <w:top w:val="nil"/>
              <w:left w:val="nil"/>
              <w:bottom w:val="nil"/>
              <w:right w:val="nil"/>
            </w:tcBorders>
            <w:shd w:val="clear" w:color="auto" w:fill="969696"/>
            <w:noWrap/>
            <w:vAlign w:val="center"/>
            <w:hideMark/>
          </w:tcPr>
          <w:p w14:paraId="3F5D9720" w14:textId="77777777" w:rsidR="003F6A31" w:rsidRPr="00224F11" w:rsidRDefault="003F6A31" w:rsidP="003F6A31">
            <w:pPr>
              <w:spacing w:before="0" w:after="0"/>
              <w:rPr>
                <w:rFonts w:ascii="Calibri" w:eastAsia="Times New Roman" w:hAnsi="Calibri" w:cs="Calibri"/>
                <w:noProof/>
                <w:color w:val="000000"/>
                <w:sz w:val="18"/>
                <w:szCs w:val="18"/>
                <w:lang w:val="en-IE" w:eastAsia="en-IE"/>
              </w:rPr>
            </w:pPr>
          </w:p>
        </w:tc>
        <w:tc>
          <w:tcPr>
            <w:tcW w:w="1040" w:type="dxa"/>
            <w:tcBorders>
              <w:top w:val="single" w:sz="4" w:space="0" w:color="auto"/>
              <w:left w:val="single" w:sz="4" w:space="0" w:color="auto"/>
              <w:bottom w:val="single" w:sz="4" w:space="0" w:color="auto"/>
              <w:right w:val="single" w:sz="4" w:space="0" w:color="auto"/>
            </w:tcBorders>
            <w:vAlign w:val="center"/>
            <w:hideMark/>
          </w:tcPr>
          <w:p w14:paraId="047B6CB0"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750.00</w:t>
            </w:r>
          </w:p>
        </w:tc>
        <w:tc>
          <w:tcPr>
            <w:tcW w:w="1154" w:type="dxa"/>
            <w:tcBorders>
              <w:top w:val="single" w:sz="4" w:space="0" w:color="auto"/>
              <w:left w:val="single" w:sz="4" w:space="0" w:color="auto"/>
              <w:bottom w:val="single" w:sz="4" w:space="0" w:color="auto"/>
              <w:right w:val="single" w:sz="4" w:space="0" w:color="auto"/>
            </w:tcBorders>
            <w:vAlign w:val="center"/>
            <w:hideMark/>
          </w:tcPr>
          <w:p w14:paraId="0E05490C" w14:textId="77777777" w:rsidR="003F6A31" w:rsidRPr="00224F11" w:rsidRDefault="003F6A31" w:rsidP="003F6A31">
            <w:pPr>
              <w:spacing w:before="0" w:after="0"/>
              <w:jc w:val="center"/>
              <w:rPr>
                <w:rFonts w:ascii="Calibri" w:eastAsia="Times New Roman" w:hAnsi="Calibri" w:cs="Calibri"/>
                <w:noProof/>
                <w:color w:val="000000"/>
                <w:sz w:val="18"/>
                <w:szCs w:val="18"/>
                <w:lang w:val="en-IE" w:eastAsia="en-IE"/>
              </w:rPr>
            </w:pPr>
            <w:r w:rsidRPr="00224F11">
              <w:rPr>
                <w:rFonts w:ascii="Calibri" w:eastAsia="Times New Roman" w:hAnsi="Calibri" w:cs="Calibri"/>
                <w:noProof/>
                <w:color w:val="000000"/>
                <w:sz w:val="18"/>
                <w:szCs w:val="18"/>
                <w:lang w:val="en-IE" w:eastAsia="en-IE"/>
              </w:rPr>
              <w:t>249,839</w:t>
            </w:r>
          </w:p>
        </w:tc>
        <w:tc>
          <w:tcPr>
            <w:tcW w:w="1352" w:type="dxa"/>
            <w:tcBorders>
              <w:top w:val="single" w:sz="4" w:space="0" w:color="auto"/>
              <w:left w:val="single" w:sz="4" w:space="0" w:color="auto"/>
              <w:bottom w:val="single" w:sz="4" w:space="0" w:color="auto"/>
              <w:right w:val="single" w:sz="4" w:space="0" w:color="auto"/>
            </w:tcBorders>
            <w:vAlign w:val="center"/>
            <w:hideMark/>
          </w:tcPr>
          <w:p w14:paraId="7BD0122B" w14:textId="48E6ECD7" w:rsidR="003F6A31" w:rsidRPr="00224F11" w:rsidRDefault="06DFD416" w:rsidP="003F6A31">
            <w:pPr>
              <w:spacing w:before="0" w:after="0"/>
              <w:jc w:val="center"/>
              <w:rPr>
                <w:rFonts w:ascii="Calibri" w:eastAsia="Times New Roman" w:hAnsi="Calibri" w:cs="Calibri"/>
                <w:noProof/>
                <w:color w:val="000000"/>
                <w:sz w:val="18"/>
                <w:szCs w:val="18"/>
                <w:lang w:val="en-IE" w:eastAsia="en-IE"/>
              </w:rPr>
            </w:pPr>
            <w:r w:rsidRPr="6F00936E">
              <w:rPr>
                <w:rFonts w:ascii="Calibri" w:eastAsia="Times New Roman" w:hAnsi="Calibri" w:cs="Calibri"/>
                <w:noProof/>
                <w:sz w:val="18"/>
                <w:szCs w:val="18"/>
                <w:lang w:val="en-IE" w:eastAsia="en-IE"/>
              </w:rPr>
              <w:t>EUR</w:t>
            </w:r>
            <w:r w:rsidR="003F6A31" w:rsidRPr="6F00936E">
              <w:rPr>
                <w:rFonts w:ascii="Calibri" w:eastAsia="Times New Roman" w:hAnsi="Calibri" w:cs="Calibri"/>
                <w:noProof/>
                <w:sz w:val="18"/>
                <w:szCs w:val="18"/>
                <w:lang w:val="en-IE" w:eastAsia="en-IE"/>
              </w:rPr>
              <w:t xml:space="preserve"> 187,379,373 </w:t>
            </w:r>
          </w:p>
        </w:tc>
      </w:tr>
      <w:tr w:rsidR="00783610" w:rsidRPr="00D658C3" w14:paraId="23FD3C54" w14:textId="77777777" w:rsidTr="000A65B4">
        <w:trPr>
          <w:trHeight w:val="285"/>
        </w:trPr>
        <w:tc>
          <w:tcPr>
            <w:tcW w:w="511" w:type="dxa"/>
            <w:tcBorders>
              <w:top w:val="single" w:sz="8" w:space="0" w:color="auto"/>
              <w:left w:val="single" w:sz="8" w:space="0" w:color="auto"/>
              <w:bottom w:val="single" w:sz="8" w:space="0" w:color="auto"/>
              <w:right w:val="nil"/>
            </w:tcBorders>
            <w:shd w:val="clear" w:color="auto" w:fill="305496"/>
            <w:noWrap/>
            <w:vAlign w:val="center"/>
            <w:hideMark/>
          </w:tcPr>
          <w:p w14:paraId="18B2FAF7"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474" w:type="dxa"/>
            <w:tcBorders>
              <w:top w:val="single" w:sz="8" w:space="0" w:color="auto"/>
              <w:left w:val="nil"/>
              <w:bottom w:val="single" w:sz="8" w:space="0" w:color="auto"/>
              <w:right w:val="nil"/>
            </w:tcBorders>
            <w:shd w:val="clear" w:color="auto" w:fill="305496"/>
            <w:noWrap/>
            <w:vAlign w:val="center"/>
            <w:hideMark/>
          </w:tcPr>
          <w:p w14:paraId="2552865C"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36" w:type="dxa"/>
            <w:tcBorders>
              <w:top w:val="nil"/>
              <w:left w:val="nil"/>
              <w:bottom w:val="nil"/>
              <w:right w:val="nil"/>
            </w:tcBorders>
            <w:shd w:val="clear" w:color="auto" w:fill="969696"/>
            <w:vAlign w:val="center"/>
            <w:hideMark/>
          </w:tcPr>
          <w:p w14:paraId="69F94CD7"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901" w:type="dxa"/>
            <w:tcBorders>
              <w:top w:val="nil"/>
              <w:left w:val="single" w:sz="4" w:space="0" w:color="auto"/>
              <w:bottom w:val="single" w:sz="8" w:space="0" w:color="auto"/>
              <w:right w:val="nil"/>
            </w:tcBorders>
            <w:shd w:val="clear" w:color="auto" w:fill="8EA9DB"/>
            <w:noWrap/>
            <w:vAlign w:val="center"/>
            <w:hideMark/>
          </w:tcPr>
          <w:p w14:paraId="1C05B0A5"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111" w:type="dxa"/>
            <w:tcBorders>
              <w:top w:val="nil"/>
              <w:left w:val="single" w:sz="4" w:space="0" w:color="auto"/>
              <w:bottom w:val="single" w:sz="8" w:space="0" w:color="auto"/>
              <w:right w:val="nil"/>
            </w:tcBorders>
            <w:shd w:val="clear" w:color="auto" w:fill="8EA9DB"/>
            <w:noWrap/>
            <w:vAlign w:val="center"/>
            <w:hideMark/>
          </w:tcPr>
          <w:p w14:paraId="215669EF"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732" w:type="dxa"/>
            <w:tcBorders>
              <w:top w:val="nil"/>
              <w:left w:val="single" w:sz="4" w:space="0" w:color="auto"/>
              <w:bottom w:val="single" w:sz="8" w:space="0" w:color="auto"/>
              <w:right w:val="nil"/>
            </w:tcBorders>
            <w:shd w:val="clear" w:color="auto" w:fill="8EA9DB"/>
            <w:noWrap/>
            <w:vAlign w:val="center"/>
            <w:hideMark/>
          </w:tcPr>
          <w:p w14:paraId="0B2AADF3"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56" w:type="dxa"/>
            <w:tcBorders>
              <w:top w:val="nil"/>
              <w:left w:val="single" w:sz="4" w:space="0" w:color="auto"/>
              <w:bottom w:val="single" w:sz="8" w:space="0" w:color="auto"/>
              <w:right w:val="nil"/>
            </w:tcBorders>
            <w:shd w:val="clear" w:color="auto" w:fill="8EA9DB"/>
            <w:noWrap/>
            <w:vAlign w:val="center"/>
            <w:hideMark/>
          </w:tcPr>
          <w:p w14:paraId="7F5FF89F"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81" w:type="dxa"/>
            <w:tcBorders>
              <w:top w:val="nil"/>
              <w:left w:val="nil"/>
              <w:bottom w:val="nil"/>
              <w:right w:val="nil"/>
            </w:tcBorders>
            <w:shd w:val="clear" w:color="auto" w:fill="969696"/>
            <w:noWrap/>
            <w:vAlign w:val="center"/>
            <w:hideMark/>
          </w:tcPr>
          <w:p w14:paraId="1FD1F88E"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757" w:type="dxa"/>
            <w:tcBorders>
              <w:top w:val="nil"/>
              <w:left w:val="single" w:sz="4" w:space="0" w:color="auto"/>
              <w:bottom w:val="single" w:sz="8" w:space="0" w:color="auto"/>
              <w:right w:val="nil"/>
            </w:tcBorders>
            <w:shd w:val="clear" w:color="auto" w:fill="C6E0B4"/>
            <w:noWrap/>
            <w:vAlign w:val="center"/>
            <w:hideMark/>
          </w:tcPr>
          <w:p w14:paraId="55391EC0"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816" w:type="dxa"/>
            <w:tcBorders>
              <w:top w:val="nil"/>
              <w:left w:val="single" w:sz="4" w:space="0" w:color="auto"/>
              <w:bottom w:val="single" w:sz="8" w:space="0" w:color="auto"/>
              <w:right w:val="nil"/>
            </w:tcBorders>
            <w:shd w:val="clear" w:color="auto" w:fill="C6E0B4"/>
            <w:noWrap/>
            <w:vAlign w:val="center"/>
            <w:hideMark/>
          </w:tcPr>
          <w:p w14:paraId="0B5D8A50"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026" w:type="dxa"/>
            <w:tcBorders>
              <w:top w:val="nil"/>
              <w:left w:val="single" w:sz="4" w:space="0" w:color="auto"/>
              <w:bottom w:val="single" w:sz="8" w:space="0" w:color="auto"/>
              <w:right w:val="nil"/>
            </w:tcBorders>
            <w:shd w:val="clear" w:color="auto" w:fill="C6E0B4"/>
            <w:vAlign w:val="center"/>
            <w:hideMark/>
          </w:tcPr>
          <w:p w14:paraId="1E8FDB62"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nil"/>
              <w:left w:val="single" w:sz="4" w:space="0" w:color="auto"/>
              <w:bottom w:val="single" w:sz="8" w:space="0" w:color="auto"/>
              <w:right w:val="nil"/>
            </w:tcBorders>
            <w:shd w:val="clear" w:color="auto" w:fill="C6E0B4"/>
            <w:vAlign w:val="center"/>
            <w:hideMark/>
          </w:tcPr>
          <w:p w14:paraId="0FDFFA8C"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425" w:type="dxa"/>
            <w:tcBorders>
              <w:top w:val="nil"/>
              <w:left w:val="nil"/>
              <w:bottom w:val="nil"/>
              <w:right w:val="nil"/>
            </w:tcBorders>
            <w:shd w:val="clear" w:color="auto" w:fill="969696"/>
            <w:noWrap/>
            <w:vAlign w:val="center"/>
            <w:hideMark/>
          </w:tcPr>
          <w:p w14:paraId="1E9B8C53"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194" w:type="dxa"/>
            <w:gridSpan w:val="2"/>
            <w:tcBorders>
              <w:top w:val="nil"/>
              <w:left w:val="single" w:sz="8" w:space="0" w:color="auto"/>
              <w:bottom w:val="single" w:sz="8" w:space="0" w:color="auto"/>
              <w:right w:val="nil"/>
            </w:tcBorders>
            <w:shd w:val="clear" w:color="auto" w:fill="DBDBDB"/>
            <w:noWrap/>
            <w:vAlign w:val="center"/>
            <w:hideMark/>
          </w:tcPr>
          <w:p w14:paraId="50632039" w14:textId="77777777" w:rsidR="003F6A31" w:rsidRPr="00120FCC" w:rsidRDefault="003F6A31" w:rsidP="003F6A31">
            <w:pPr>
              <w:spacing w:before="0" w:after="0"/>
              <w:jc w:val="center"/>
              <w:rPr>
                <w:rFonts w:ascii="Arial" w:eastAsia="Times New Roman" w:hAnsi="Arial" w:cs="Arial"/>
                <w:b/>
                <w:bCs/>
                <w:noProof/>
                <w:color w:val="auto"/>
                <w:sz w:val="19"/>
                <w:szCs w:val="19"/>
                <w:lang w:val="en-IE" w:eastAsia="en-IE"/>
              </w:rPr>
            </w:pPr>
            <w:r w:rsidRPr="00120FCC">
              <w:rPr>
                <w:rFonts w:ascii="Arial" w:eastAsia="Times New Roman" w:hAnsi="Arial" w:cs="Arial"/>
                <w:b/>
                <w:bCs/>
                <w:noProof/>
                <w:color w:val="auto"/>
                <w:sz w:val="19"/>
                <w:szCs w:val="19"/>
                <w:lang w:val="en-IE" w:eastAsia="en-IE"/>
              </w:rPr>
              <w:t>Admin burden reduction PO2b</w:t>
            </w:r>
          </w:p>
        </w:tc>
        <w:tc>
          <w:tcPr>
            <w:tcW w:w="1352" w:type="dxa"/>
            <w:tcBorders>
              <w:top w:val="nil"/>
              <w:left w:val="single" w:sz="8" w:space="0" w:color="auto"/>
              <w:bottom w:val="single" w:sz="8" w:space="0" w:color="auto"/>
              <w:right w:val="single" w:sz="8" w:space="0" w:color="auto"/>
            </w:tcBorders>
            <w:shd w:val="clear" w:color="auto" w:fill="DBDBDB"/>
            <w:noWrap/>
            <w:vAlign w:val="center"/>
            <w:hideMark/>
          </w:tcPr>
          <w:p w14:paraId="67D11913" w14:textId="3E68D11B" w:rsidR="003F6A31" w:rsidRDefault="408E623F" w:rsidP="003F6A31">
            <w:pPr>
              <w:spacing w:before="0" w:after="0"/>
              <w:jc w:val="center"/>
              <w:rPr>
                <w:rFonts w:ascii="Arial" w:eastAsia="Times New Roman" w:hAnsi="Arial" w:cs="Arial"/>
                <w:b/>
                <w:bCs/>
                <w:noProof/>
                <w:color w:val="auto"/>
                <w:sz w:val="19"/>
                <w:szCs w:val="19"/>
                <w:lang w:val="en-IE" w:eastAsia="en-IE"/>
              </w:rPr>
            </w:pPr>
            <w:r w:rsidRPr="6F00936E">
              <w:rPr>
                <w:rFonts w:ascii="Arial" w:eastAsia="Times New Roman" w:hAnsi="Arial" w:cs="Arial"/>
                <w:b/>
                <w:bCs/>
                <w:noProof/>
                <w:color w:val="auto"/>
                <w:sz w:val="19"/>
                <w:szCs w:val="19"/>
                <w:lang w:val="en-IE" w:eastAsia="en-IE"/>
              </w:rPr>
              <w:t>EUR</w:t>
            </w:r>
            <w:r w:rsidR="003F6A31" w:rsidRPr="6F00936E">
              <w:rPr>
                <w:rFonts w:ascii="Arial" w:eastAsia="Times New Roman" w:hAnsi="Arial" w:cs="Arial"/>
                <w:b/>
                <w:bCs/>
                <w:noProof/>
                <w:color w:val="auto"/>
                <w:sz w:val="19"/>
                <w:szCs w:val="19"/>
                <w:lang w:val="en-IE" w:eastAsia="en-IE"/>
              </w:rPr>
              <w:t xml:space="preserve"> 227,828,649 </w:t>
            </w:r>
          </w:p>
          <w:p w14:paraId="2B50A16A" w14:textId="6F3411BF" w:rsidR="00224F11" w:rsidRDefault="00524F97" w:rsidP="003F6A31">
            <w:pPr>
              <w:spacing w:before="0" w:after="0"/>
              <w:jc w:val="center"/>
              <w:rPr>
                <w:rFonts w:ascii="Arial" w:eastAsia="Times New Roman" w:hAnsi="Arial" w:cs="Arial"/>
                <w:b/>
                <w:bCs/>
                <w:noProof/>
                <w:color w:val="auto"/>
                <w:sz w:val="19"/>
                <w:szCs w:val="19"/>
                <w:lang w:val="en-IE" w:eastAsia="en-IE"/>
              </w:rPr>
            </w:pPr>
            <w:r>
              <w:rPr>
                <w:rFonts w:ascii="Arial" w:eastAsia="Times New Roman" w:hAnsi="Arial" w:cs="Arial"/>
                <w:b/>
                <w:bCs/>
                <w:noProof/>
                <w:color w:val="auto"/>
                <w:sz w:val="19"/>
                <w:szCs w:val="19"/>
                <w:lang w:val="en-IE" w:eastAsia="en-IE"/>
              </w:rPr>
              <w:t>to</w:t>
            </w:r>
          </w:p>
          <w:p w14:paraId="05D7FCE8" w14:textId="3118EC71" w:rsidR="00224F11" w:rsidRPr="00120FCC" w:rsidRDefault="00224F11" w:rsidP="003F6A31">
            <w:pPr>
              <w:spacing w:before="0" w:after="0"/>
              <w:jc w:val="center"/>
              <w:rPr>
                <w:rFonts w:ascii="Arial" w:eastAsia="Times New Roman" w:hAnsi="Arial" w:cs="Arial"/>
                <w:b/>
                <w:bCs/>
                <w:noProof/>
                <w:color w:val="auto"/>
                <w:sz w:val="19"/>
                <w:szCs w:val="19"/>
                <w:lang w:val="en-IE" w:eastAsia="en-IE"/>
              </w:rPr>
            </w:pPr>
            <w:r>
              <w:rPr>
                <w:rFonts w:ascii="Arial" w:eastAsia="Times New Roman" w:hAnsi="Arial" w:cs="Arial"/>
                <w:b/>
                <w:bCs/>
                <w:noProof/>
                <w:color w:val="auto"/>
                <w:sz w:val="19"/>
                <w:szCs w:val="19"/>
                <w:lang w:val="en-IE" w:eastAsia="en-IE"/>
              </w:rPr>
              <w:t>340,256,273</w:t>
            </w:r>
          </w:p>
        </w:tc>
      </w:tr>
      <w:tr w:rsidR="00783610" w:rsidRPr="00D658C3" w14:paraId="60372944" w14:textId="77777777" w:rsidTr="000A65B4">
        <w:trPr>
          <w:trHeight w:val="285"/>
        </w:trPr>
        <w:tc>
          <w:tcPr>
            <w:tcW w:w="1985" w:type="dxa"/>
            <w:gridSpan w:val="2"/>
            <w:tcBorders>
              <w:top w:val="single" w:sz="8" w:space="0" w:color="auto"/>
              <w:left w:val="single" w:sz="8" w:space="0" w:color="auto"/>
              <w:bottom w:val="single" w:sz="8" w:space="0" w:color="auto"/>
              <w:right w:val="nil"/>
            </w:tcBorders>
            <w:shd w:val="clear" w:color="auto" w:fill="FFFF00"/>
            <w:noWrap/>
            <w:vAlign w:val="center"/>
            <w:hideMark/>
          </w:tcPr>
          <w:p w14:paraId="34185228" w14:textId="0D862E4A" w:rsidR="00524F97" w:rsidRPr="00120FCC" w:rsidRDefault="00524F97" w:rsidP="003F6A31">
            <w:pPr>
              <w:spacing w:before="0" w:after="0"/>
              <w:rPr>
                <w:rFonts w:ascii="Arial" w:eastAsia="Times New Roman" w:hAnsi="Arial" w:cs="Arial"/>
                <w:b/>
                <w:bCs/>
                <w:noProof/>
                <w:color w:val="auto"/>
                <w:sz w:val="19"/>
                <w:szCs w:val="19"/>
                <w:lang w:val="en-IE" w:eastAsia="en-IE"/>
              </w:rPr>
            </w:pPr>
            <w:r w:rsidRPr="00120FCC">
              <w:rPr>
                <w:rFonts w:ascii="Arial" w:eastAsia="Times New Roman" w:hAnsi="Arial" w:cs="Arial"/>
                <w:b/>
                <w:bCs/>
                <w:noProof/>
                <w:color w:val="auto"/>
                <w:sz w:val="19"/>
                <w:szCs w:val="19"/>
                <w:lang w:val="en-IE" w:eastAsia="en-IE"/>
              </w:rPr>
              <w:t>PO 2c</w:t>
            </w:r>
          </w:p>
        </w:tc>
        <w:tc>
          <w:tcPr>
            <w:tcW w:w="236" w:type="dxa"/>
            <w:tcBorders>
              <w:top w:val="nil"/>
              <w:left w:val="nil"/>
              <w:bottom w:val="nil"/>
              <w:right w:val="nil"/>
            </w:tcBorders>
            <w:shd w:val="clear" w:color="auto" w:fill="969696"/>
            <w:vAlign w:val="center"/>
            <w:hideMark/>
          </w:tcPr>
          <w:p w14:paraId="2414AA2A" w14:textId="77777777" w:rsidR="00524F97" w:rsidRPr="00120FCC" w:rsidRDefault="00524F97" w:rsidP="003F6A31">
            <w:pPr>
              <w:spacing w:before="0" w:after="0"/>
              <w:rPr>
                <w:rFonts w:ascii="Times New Roman" w:eastAsia="Times New Roman" w:hAnsi="Times New Roman" w:cs="Times New Roman"/>
                <w:noProof/>
                <w:color w:val="auto"/>
                <w:sz w:val="19"/>
                <w:szCs w:val="19"/>
                <w:lang w:val="en-IE" w:eastAsia="en-IE"/>
              </w:rPr>
            </w:pPr>
          </w:p>
        </w:tc>
        <w:tc>
          <w:tcPr>
            <w:tcW w:w="901" w:type="dxa"/>
            <w:tcBorders>
              <w:top w:val="single" w:sz="8" w:space="0" w:color="auto"/>
              <w:left w:val="single" w:sz="4" w:space="0" w:color="auto"/>
              <w:bottom w:val="nil"/>
              <w:right w:val="nil"/>
            </w:tcBorders>
            <w:vAlign w:val="center"/>
            <w:hideMark/>
          </w:tcPr>
          <w:p w14:paraId="47D0DABC" w14:textId="77777777" w:rsidR="00524F97" w:rsidRPr="00120FCC" w:rsidRDefault="00524F97" w:rsidP="003F6A31">
            <w:pPr>
              <w:spacing w:before="0" w:after="0"/>
              <w:rPr>
                <w:rFonts w:ascii="Times New Roman" w:eastAsia="Times New Roman" w:hAnsi="Times New Roman" w:cs="Times New Roman"/>
                <w:noProof/>
                <w:color w:val="auto"/>
                <w:sz w:val="19"/>
                <w:szCs w:val="19"/>
                <w:lang w:val="en-IE" w:eastAsia="en-IE"/>
              </w:rPr>
            </w:pPr>
          </w:p>
        </w:tc>
        <w:tc>
          <w:tcPr>
            <w:tcW w:w="1111" w:type="dxa"/>
            <w:tcBorders>
              <w:top w:val="single" w:sz="8" w:space="0" w:color="auto"/>
              <w:left w:val="single" w:sz="4" w:space="0" w:color="auto"/>
              <w:bottom w:val="nil"/>
              <w:right w:val="nil"/>
            </w:tcBorders>
            <w:noWrap/>
            <w:vAlign w:val="center"/>
            <w:hideMark/>
          </w:tcPr>
          <w:p w14:paraId="32643118" w14:textId="77777777" w:rsidR="00524F97" w:rsidRPr="00120FCC" w:rsidRDefault="00524F97" w:rsidP="003F6A31">
            <w:pPr>
              <w:spacing w:before="0" w:after="0"/>
              <w:jc w:val="center"/>
              <w:rPr>
                <w:rFonts w:ascii="Times New Roman" w:eastAsia="Times New Roman" w:hAnsi="Times New Roman" w:cs="Times New Roman"/>
                <w:noProof/>
                <w:color w:val="auto"/>
                <w:sz w:val="19"/>
                <w:szCs w:val="19"/>
                <w:lang w:val="en-IE" w:eastAsia="en-IE"/>
              </w:rPr>
            </w:pPr>
          </w:p>
        </w:tc>
        <w:tc>
          <w:tcPr>
            <w:tcW w:w="732" w:type="dxa"/>
            <w:tcBorders>
              <w:top w:val="single" w:sz="8" w:space="0" w:color="auto"/>
              <w:left w:val="single" w:sz="4" w:space="0" w:color="auto"/>
              <w:bottom w:val="nil"/>
              <w:right w:val="nil"/>
            </w:tcBorders>
            <w:noWrap/>
            <w:vAlign w:val="center"/>
            <w:hideMark/>
          </w:tcPr>
          <w:p w14:paraId="48BC348B" w14:textId="77777777" w:rsidR="00524F97" w:rsidRPr="00120FCC" w:rsidRDefault="00524F97" w:rsidP="003F6A31">
            <w:pPr>
              <w:spacing w:before="0" w:after="0"/>
              <w:jc w:val="center"/>
              <w:rPr>
                <w:rFonts w:ascii="Times New Roman" w:eastAsia="Times New Roman" w:hAnsi="Times New Roman" w:cs="Times New Roman"/>
                <w:noProof/>
                <w:color w:val="auto"/>
                <w:sz w:val="19"/>
                <w:szCs w:val="19"/>
                <w:lang w:val="en-IE" w:eastAsia="en-IE"/>
              </w:rPr>
            </w:pPr>
          </w:p>
        </w:tc>
        <w:tc>
          <w:tcPr>
            <w:tcW w:w="1556" w:type="dxa"/>
            <w:tcBorders>
              <w:top w:val="single" w:sz="8" w:space="0" w:color="auto"/>
              <w:left w:val="single" w:sz="4" w:space="0" w:color="auto"/>
              <w:bottom w:val="nil"/>
              <w:right w:val="nil"/>
            </w:tcBorders>
            <w:noWrap/>
            <w:vAlign w:val="center"/>
            <w:hideMark/>
          </w:tcPr>
          <w:p w14:paraId="773895A1" w14:textId="77777777" w:rsidR="00524F97" w:rsidRPr="00120FCC" w:rsidRDefault="00524F97" w:rsidP="003F6A31">
            <w:pPr>
              <w:spacing w:before="0" w:after="0"/>
              <w:rPr>
                <w:rFonts w:ascii="Times New Roman" w:eastAsia="Times New Roman" w:hAnsi="Times New Roman" w:cs="Times New Roman"/>
                <w:noProof/>
                <w:color w:val="auto"/>
                <w:sz w:val="19"/>
                <w:szCs w:val="19"/>
                <w:lang w:val="en-IE" w:eastAsia="en-IE"/>
              </w:rPr>
            </w:pPr>
          </w:p>
        </w:tc>
        <w:tc>
          <w:tcPr>
            <w:tcW w:w="281" w:type="dxa"/>
            <w:tcBorders>
              <w:top w:val="nil"/>
              <w:left w:val="nil"/>
              <w:bottom w:val="nil"/>
              <w:right w:val="nil"/>
            </w:tcBorders>
            <w:shd w:val="clear" w:color="auto" w:fill="969696"/>
            <w:noWrap/>
            <w:vAlign w:val="center"/>
            <w:hideMark/>
          </w:tcPr>
          <w:p w14:paraId="50D13939" w14:textId="77777777" w:rsidR="00524F97" w:rsidRPr="00120FCC" w:rsidRDefault="00524F97" w:rsidP="003F6A31">
            <w:pPr>
              <w:spacing w:before="0" w:after="0"/>
              <w:rPr>
                <w:rFonts w:ascii="Times New Roman" w:eastAsia="Times New Roman" w:hAnsi="Times New Roman" w:cs="Times New Roman"/>
                <w:noProof/>
                <w:color w:val="auto"/>
                <w:sz w:val="19"/>
                <w:szCs w:val="19"/>
                <w:lang w:val="en-IE" w:eastAsia="en-IE"/>
              </w:rPr>
            </w:pPr>
          </w:p>
        </w:tc>
        <w:tc>
          <w:tcPr>
            <w:tcW w:w="757" w:type="dxa"/>
            <w:tcBorders>
              <w:top w:val="single" w:sz="8" w:space="0" w:color="auto"/>
              <w:left w:val="single" w:sz="4" w:space="0" w:color="auto"/>
              <w:bottom w:val="nil"/>
              <w:right w:val="nil"/>
            </w:tcBorders>
            <w:noWrap/>
            <w:vAlign w:val="center"/>
            <w:hideMark/>
          </w:tcPr>
          <w:p w14:paraId="058D23BD" w14:textId="77777777" w:rsidR="00524F97" w:rsidRPr="00120FCC" w:rsidRDefault="00524F97" w:rsidP="003F6A31">
            <w:pPr>
              <w:spacing w:before="0" w:after="0"/>
              <w:rPr>
                <w:rFonts w:ascii="Times New Roman" w:eastAsia="Times New Roman" w:hAnsi="Times New Roman" w:cs="Times New Roman"/>
                <w:noProof/>
                <w:color w:val="auto"/>
                <w:sz w:val="19"/>
                <w:szCs w:val="19"/>
                <w:lang w:val="en-IE" w:eastAsia="en-IE"/>
              </w:rPr>
            </w:pPr>
          </w:p>
        </w:tc>
        <w:tc>
          <w:tcPr>
            <w:tcW w:w="816" w:type="dxa"/>
            <w:tcBorders>
              <w:top w:val="single" w:sz="8" w:space="0" w:color="auto"/>
              <w:left w:val="single" w:sz="4" w:space="0" w:color="auto"/>
              <w:bottom w:val="nil"/>
              <w:right w:val="nil"/>
            </w:tcBorders>
            <w:shd w:val="clear" w:color="auto" w:fill="FFFFFF" w:themeFill="background1"/>
            <w:noWrap/>
            <w:vAlign w:val="center"/>
            <w:hideMark/>
          </w:tcPr>
          <w:p w14:paraId="12A0CFF2" w14:textId="77777777" w:rsidR="00524F97" w:rsidRPr="00120FCC" w:rsidRDefault="00524F97" w:rsidP="003F6A31">
            <w:pPr>
              <w:spacing w:before="0" w:after="0"/>
              <w:jc w:val="center"/>
              <w:rPr>
                <w:rFonts w:ascii="Times New Roman" w:eastAsia="Times New Roman" w:hAnsi="Times New Roman" w:cs="Times New Roman"/>
                <w:noProof/>
                <w:color w:val="auto"/>
                <w:sz w:val="19"/>
                <w:szCs w:val="19"/>
                <w:lang w:val="en-IE" w:eastAsia="en-IE"/>
              </w:rPr>
            </w:pPr>
          </w:p>
        </w:tc>
        <w:tc>
          <w:tcPr>
            <w:tcW w:w="1026" w:type="dxa"/>
            <w:tcBorders>
              <w:top w:val="single" w:sz="8" w:space="0" w:color="auto"/>
              <w:left w:val="single" w:sz="4" w:space="0" w:color="auto"/>
              <w:bottom w:val="nil"/>
              <w:right w:val="nil"/>
            </w:tcBorders>
            <w:noWrap/>
            <w:vAlign w:val="center"/>
            <w:hideMark/>
          </w:tcPr>
          <w:p w14:paraId="3E5638ED" w14:textId="77777777" w:rsidR="00524F97" w:rsidRPr="00120FCC" w:rsidRDefault="00524F97"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single" w:sz="8" w:space="0" w:color="auto"/>
              <w:left w:val="single" w:sz="4" w:space="0" w:color="auto"/>
              <w:bottom w:val="nil"/>
              <w:right w:val="nil"/>
            </w:tcBorders>
            <w:noWrap/>
            <w:vAlign w:val="center"/>
            <w:hideMark/>
          </w:tcPr>
          <w:p w14:paraId="0CD2B6EA" w14:textId="77777777" w:rsidR="00524F97" w:rsidRPr="00120FCC" w:rsidRDefault="00524F97" w:rsidP="003F6A31">
            <w:pPr>
              <w:spacing w:before="0" w:after="0"/>
              <w:rPr>
                <w:rFonts w:ascii="Times New Roman" w:eastAsia="Times New Roman" w:hAnsi="Times New Roman" w:cs="Times New Roman"/>
                <w:noProof/>
                <w:color w:val="auto"/>
                <w:sz w:val="19"/>
                <w:szCs w:val="19"/>
                <w:lang w:val="en-IE" w:eastAsia="en-IE"/>
              </w:rPr>
            </w:pPr>
          </w:p>
        </w:tc>
        <w:tc>
          <w:tcPr>
            <w:tcW w:w="425" w:type="dxa"/>
            <w:tcBorders>
              <w:top w:val="nil"/>
              <w:left w:val="nil"/>
              <w:bottom w:val="nil"/>
              <w:right w:val="single" w:sz="8" w:space="0" w:color="auto"/>
            </w:tcBorders>
            <w:shd w:val="clear" w:color="auto" w:fill="969696"/>
            <w:noWrap/>
            <w:vAlign w:val="center"/>
            <w:hideMark/>
          </w:tcPr>
          <w:p w14:paraId="0ABFE82F" w14:textId="77777777" w:rsidR="00524F97" w:rsidRPr="00120FCC" w:rsidRDefault="00524F97" w:rsidP="003F6A31">
            <w:pPr>
              <w:spacing w:before="0" w:after="0"/>
              <w:rPr>
                <w:rFonts w:ascii="Times New Roman" w:eastAsia="Times New Roman" w:hAnsi="Times New Roman" w:cs="Times New Roman"/>
                <w:noProof/>
                <w:color w:val="auto"/>
                <w:sz w:val="19"/>
                <w:szCs w:val="19"/>
                <w:lang w:val="en-IE" w:eastAsia="en-IE"/>
              </w:rPr>
            </w:pPr>
          </w:p>
        </w:tc>
        <w:tc>
          <w:tcPr>
            <w:tcW w:w="1040" w:type="dxa"/>
            <w:tcBorders>
              <w:top w:val="single" w:sz="8" w:space="0" w:color="auto"/>
              <w:left w:val="single" w:sz="8" w:space="0" w:color="auto"/>
              <w:bottom w:val="nil"/>
              <w:right w:val="nil"/>
            </w:tcBorders>
            <w:noWrap/>
            <w:vAlign w:val="center"/>
            <w:hideMark/>
          </w:tcPr>
          <w:p w14:paraId="7F3AF6E3" w14:textId="77777777" w:rsidR="00524F97" w:rsidRPr="00120FCC" w:rsidRDefault="00524F97" w:rsidP="003F6A31">
            <w:pPr>
              <w:spacing w:before="0" w:after="0"/>
              <w:rPr>
                <w:rFonts w:ascii="Times New Roman" w:eastAsia="Times New Roman" w:hAnsi="Times New Roman" w:cs="Times New Roman"/>
                <w:noProof/>
                <w:color w:val="auto"/>
                <w:sz w:val="19"/>
                <w:szCs w:val="19"/>
                <w:lang w:val="en-IE" w:eastAsia="en-IE"/>
              </w:rPr>
            </w:pPr>
          </w:p>
        </w:tc>
        <w:tc>
          <w:tcPr>
            <w:tcW w:w="1154" w:type="dxa"/>
            <w:tcBorders>
              <w:top w:val="single" w:sz="8" w:space="0" w:color="auto"/>
              <w:left w:val="nil"/>
              <w:bottom w:val="nil"/>
              <w:right w:val="nil"/>
            </w:tcBorders>
            <w:noWrap/>
            <w:vAlign w:val="center"/>
            <w:hideMark/>
          </w:tcPr>
          <w:p w14:paraId="141E5BED" w14:textId="77777777" w:rsidR="00524F97" w:rsidRPr="00120FCC" w:rsidRDefault="00524F97" w:rsidP="003F6A31">
            <w:pPr>
              <w:spacing w:before="0" w:after="0"/>
              <w:jc w:val="center"/>
              <w:rPr>
                <w:rFonts w:ascii="Times New Roman" w:eastAsia="Times New Roman" w:hAnsi="Times New Roman" w:cs="Times New Roman"/>
                <w:noProof/>
                <w:color w:val="auto"/>
                <w:sz w:val="19"/>
                <w:szCs w:val="19"/>
                <w:lang w:val="en-IE" w:eastAsia="en-IE"/>
              </w:rPr>
            </w:pPr>
          </w:p>
        </w:tc>
        <w:tc>
          <w:tcPr>
            <w:tcW w:w="1352" w:type="dxa"/>
            <w:tcBorders>
              <w:top w:val="single" w:sz="8" w:space="0" w:color="auto"/>
              <w:left w:val="nil"/>
              <w:bottom w:val="nil"/>
              <w:right w:val="single" w:sz="8" w:space="0" w:color="auto"/>
            </w:tcBorders>
            <w:noWrap/>
            <w:vAlign w:val="center"/>
            <w:hideMark/>
          </w:tcPr>
          <w:p w14:paraId="6BB95781" w14:textId="77777777" w:rsidR="00524F97" w:rsidRPr="00120FCC" w:rsidRDefault="00524F97" w:rsidP="003F6A31">
            <w:pPr>
              <w:spacing w:before="0" w:after="0"/>
              <w:jc w:val="center"/>
              <w:rPr>
                <w:rFonts w:ascii="Times New Roman" w:eastAsia="Times New Roman" w:hAnsi="Times New Roman" w:cs="Times New Roman"/>
                <w:noProof/>
                <w:color w:val="auto"/>
                <w:sz w:val="19"/>
                <w:szCs w:val="19"/>
                <w:lang w:val="en-IE" w:eastAsia="en-IE"/>
              </w:rPr>
            </w:pPr>
          </w:p>
        </w:tc>
      </w:tr>
      <w:tr w:rsidR="004D7673" w:rsidRPr="00D658C3" w14:paraId="1095EA9B" w14:textId="77777777" w:rsidTr="000A65B4">
        <w:trPr>
          <w:trHeight w:val="1215"/>
        </w:trPr>
        <w:tc>
          <w:tcPr>
            <w:tcW w:w="1985" w:type="dxa"/>
            <w:gridSpan w:val="2"/>
            <w:tcBorders>
              <w:top w:val="single" w:sz="8" w:space="0" w:color="auto"/>
              <w:left w:val="single" w:sz="8" w:space="0" w:color="auto"/>
              <w:bottom w:val="single" w:sz="8" w:space="0" w:color="auto"/>
              <w:right w:val="nil"/>
            </w:tcBorders>
            <w:vAlign w:val="center"/>
            <w:hideMark/>
          </w:tcPr>
          <w:p w14:paraId="5BDA331A" w14:textId="44A8CEF8" w:rsidR="003F6A31" w:rsidRPr="00120FCC" w:rsidRDefault="00E65D7E" w:rsidP="003F6A31">
            <w:pPr>
              <w:spacing w:before="0" w:after="0"/>
              <w:rPr>
                <w:rFonts w:ascii="Calibri" w:eastAsia="Times New Roman" w:hAnsi="Calibri" w:cs="Calibri"/>
                <w:noProof/>
                <w:color w:val="000000"/>
                <w:sz w:val="19"/>
                <w:szCs w:val="19"/>
                <w:lang w:val="en-IE" w:eastAsia="en-IE"/>
              </w:rPr>
            </w:pPr>
            <w:r w:rsidRPr="00E65D7E">
              <w:rPr>
                <w:rFonts w:ascii="Calibri" w:eastAsia="Times New Roman" w:hAnsi="Calibri" w:cs="Calibri"/>
                <w:noProof/>
                <w:color w:val="000000"/>
                <w:sz w:val="19"/>
                <w:szCs w:val="19"/>
                <w:lang w:val="en-IE" w:eastAsia="en-IE"/>
              </w:rPr>
              <w:t>As policy option 2b but with preventive control by judicial or administrative authorities (excluding notaries) when the standardized template is used by founders as natural persons.</w:t>
            </w:r>
          </w:p>
        </w:tc>
        <w:tc>
          <w:tcPr>
            <w:tcW w:w="236" w:type="dxa"/>
            <w:tcBorders>
              <w:top w:val="nil"/>
              <w:left w:val="nil"/>
              <w:bottom w:val="nil"/>
              <w:right w:val="single" w:sz="4" w:space="0" w:color="auto"/>
            </w:tcBorders>
            <w:shd w:val="clear" w:color="auto" w:fill="969696"/>
            <w:vAlign w:val="center"/>
            <w:hideMark/>
          </w:tcPr>
          <w:p w14:paraId="5CE74FF3"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901" w:type="dxa"/>
            <w:tcBorders>
              <w:top w:val="single" w:sz="4" w:space="0" w:color="auto"/>
              <w:left w:val="single" w:sz="4" w:space="0" w:color="auto"/>
              <w:bottom w:val="single" w:sz="4" w:space="0" w:color="auto"/>
              <w:right w:val="single" w:sz="4" w:space="0" w:color="auto"/>
            </w:tcBorders>
            <w:vAlign w:val="center"/>
            <w:hideMark/>
          </w:tcPr>
          <w:p w14:paraId="30F2FF82"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277,958</w:t>
            </w:r>
          </w:p>
        </w:tc>
        <w:tc>
          <w:tcPr>
            <w:tcW w:w="1111" w:type="dxa"/>
            <w:tcBorders>
              <w:top w:val="single" w:sz="4" w:space="0" w:color="auto"/>
              <w:left w:val="single" w:sz="4" w:space="0" w:color="auto"/>
              <w:bottom w:val="single" w:sz="4" w:space="0" w:color="auto"/>
              <w:right w:val="single" w:sz="4" w:space="0" w:color="auto"/>
            </w:tcBorders>
            <w:vAlign w:val="center"/>
            <w:hideMark/>
          </w:tcPr>
          <w:p w14:paraId="7540FD15" w14:textId="77777777" w:rsidR="003F6A31" w:rsidRPr="00120FCC" w:rsidRDefault="003F6A31" w:rsidP="003F6A31">
            <w:pPr>
              <w:spacing w:before="0" w:after="0"/>
              <w:jc w:val="center"/>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w:t>
            </w:r>
          </w:p>
        </w:tc>
        <w:tc>
          <w:tcPr>
            <w:tcW w:w="732" w:type="dxa"/>
            <w:tcBorders>
              <w:top w:val="single" w:sz="4" w:space="0" w:color="auto"/>
              <w:left w:val="single" w:sz="4" w:space="0" w:color="auto"/>
              <w:bottom w:val="single" w:sz="4" w:space="0" w:color="auto"/>
              <w:right w:val="single" w:sz="4" w:space="0" w:color="auto"/>
            </w:tcBorders>
            <w:vAlign w:val="center"/>
            <w:hideMark/>
          </w:tcPr>
          <w:p w14:paraId="593A0D2E" w14:textId="77777777" w:rsidR="003F6A31" w:rsidRPr="00120FCC" w:rsidRDefault="003F6A31" w:rsidP="003F6A31">
            <w:pPr>
              <w:spacing w:before="0" w:after="0"/>
              <w:jc w:val="right"/>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100%</w:t>
            </w:r>
          </w:p>
        </w:tc>
        <w:tc>
          <w:tcPr>
            <w:tcW w:w="1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1895F9"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Total one-off administrative burden reduction for 28th regime companies created over a period of 10 years.</w:t>
            </w:r>
          </w:p>
        </w:tc>
        <w:tc>
          <w:tcPr>
            <w:tcW w:w="281" w:type="dxa"/>
            <w:tcBorders>
              <w:top w:val="nil"/>
              <w:left w:val="nil"/>
              <w:bottom w:val="nil"/>
              <w:right w:val="nil"/>
            </w:tcBorders>
            <w:shd w:val="clear" w:color="auto" w:fill="969696"/>
            <w:noWrap/>
            <w:vAlign w:val="center"/>
            <w:hideMark/>
          </w:tcPr>
          <w:p w14:paraId="013E3964"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2C7331"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8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4BEBAF"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9D3F17"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8A16C5"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r w:rsidRPr="00120FCC">
              <w:rPr>
                <w:rFonts w:ascii="Calibri" w:eastAsia="Times New Roman" w:hAnsi="Calibri" w:cs="Calibri"/>
                <w:noProof/>
                <w:color w:val="000000"/>
                <w:sz w:val="19"/>
                <w:szCs w:val="19"/>
                <w:lang w:val="en-IE" w:eastAsia="en-IE"/>
              </w:rPr>
              <w:t>same as 2b</w:t>
            </w:r>
          </w:p>
        </w:tc>
        <w:tc>
          <w:tcPr>
            <w:tcW w:w="425" w:type="dxa"/>
            <w:tcBorders>
              <w:top w:val="nil"/>
              <w:left w:val="nil"/>
              <w:bottom w:val="nil"/>
              <w:right w:val="nil"/>
            </w:tcBorders>
            <w:shd w:val="clear" w:color="auto" w:fill="969696"/>
            <w:noWrap/>
            <w:vAlign w:val="center"/>
            <w:hideMark/>
          </w:tcPr>
          <w:p w14:paraId="0D986401" w14:textId="77777777" w:rsidR="003F6A31" w:rsidRPr="00120FCC" w:rsidRDefault="003F6A31" w:rsidP="003F6A31">
            <w:pPr>
              <w:spacing w:before="0" w:after="0"/>
              <w:rPr>
                <w:rFonts w:ascii="Calibri" w:eastAsia="Times New Roman" w:hAnsi="Calibri" w:cs="Calibri"/>
                <w:noProof/>
                <w:color w:val="000000"/>
                <w:sz w:val="19"/>
                <w:szCs w:val="19"/>
                <w:lang w:val="en-IE" w:eastAsia="en-IE"/>
              </w:rPr>
            </w:pPr>
          </w:p>
        </w:tc>
        <w:tc>
          <w:tcPr>
            <w:tcW w:w="1040" w:type="dxa"/>
            <w:tcBorders>
              <w:top w:val="single" w:sz="4" w:space="0" w:color="auto"/>
              <w:left w:val="single" w:sz="4" w:space="0" w:color="auto"/>
              <w:bottom w:val="single" w:sz="4" w:space="0" w:color="auto"/>
              <w:right w:val="single" w:sz="4" w:space="0" w:color="auto"/>
            </w:tcBorders>
            <w:vAlign w:val="center"/>
            <w:hideMark/>
          </w:tcPr>
          <w:p w14:paraId="2A412513"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154" w:type="dxa"/>
            <w:tcBorders>
              <w:top w:val="single" w:sz="4" w:space="0" w:color="auto"/>
              <w:left w:val="single" w:sz="4" w:space="0" w:color="auto"/>
              <w:bottom w:val="single" w:sz="4" w:space="0" w:color="auto"/>
              <w:right w:val="single" w:sz="4" w:space="0" w:color="auto"/>
            </w:tcBorders>
            <w:vAlign w:val="center"/>
            <w:hideMark/>
          </w:tcPr>
          <w:p w14:paraId="203811E9"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2213E07A"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r>
      <w:tr w:rsidR="00783610" w:rsidRPr="00D658C3" w14:paraId="5EDB6322" w14:textId="77777777" w:rsidTr="000A65B4">
        <w:trPr>
          <w:trHeight w:val="285"/>
        </w:trPr>
        <w:tc>
          <w:tcPr>
            <w:tcW w:w="511" w:type="dxa"/>
            <w:tcBorders>
              <w:top w:val="single" w:sz="8" w:space="0" w:color="auto"/>
              <w:left w:val="single" w:sz="8" w:space="0" w:color="auto"/>
              <w:bottom w:val="single" w:sz="8" w:space="0" w:color="auto"/>
              <w:right w:val="nil"/>
            </w:tcBorders>
            <w:shd w:val="clear" w:color="auto" w:fill="305496"/>
            <w:noWrap/>
            <w:vAlign w:val="center"/>
            <w:hideMark/>
          </w:tcPr>
          <w:p w14:paraId="25AC1FEA"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474" w:type="dxa"/>
            <w:tcBorders>
              <w:top w:val="single" w:sz="8" w:space="0" w:color="auto"/>
              <w:left w:val="nil"/>
              <w:bottom w:val="single" w:sz="8" w:space="0" w:color="auto"/>
              <w:right w:val="nil"/>
            </w:tcBorders>
            <w:shd w:val="clear" w:color="auto" w:fill="305496"/>
            <w:noWrap/>
            <w:vAlign w:val="center"/>
            <w:hideMark/>
          </w:tcPr>
          <w:p w14:paraId="575114D2"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36" w:type="dxa"/>
            <w:tcBorders>
              <w:top w:val="nil"/>
              <w:left w:val="nil"/>
              <w:bottom w:val="nil"/>
              <w:right w:val="nil"/>
            </w:tcBorders>
            <w:shd w:val="clear" w:color="auto" w:fill="969696"/>
            <w:vAlign w:val="center"/>
            <w:hideMark/>
          </w:tcPr>
          <w:p w14:paraId="5C98B1B3"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901" w:type="dxa"/>
            <w:tcBorders>
              <w:top w:val="nil"/>
              <w:left w:val="single" w:sz="4" w:space="0" w:color="auto"/>
              <w:bottom w:val="single" w:sz="8" w:space="0" w:color="auto"/>
              <w:right w:val="nil"/>
            </w:tcBorders>
            <w:shd w:val="clear" w:color="auto" w:fill="8EA9DB"/>
            <w:noWrap/>
            <w:vAlign w:val="center"/>
            <w:hideMark/>
          </w:tcPr>
          <w:p w14:paraId="68E61211"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1111" w:type="dxa"/>
            <w:tcBorders>
              <w:top w:val="nil"/>
              <w:left w:val="single" w:sz="4" w:space="0" w:color="auto"/>
              <w:bottom w:val="single" w:sz="8" w:space="0" w:color="auto"/>
              <w:right w:val="nil"/>
            </w:tcBorders>
            <w:shd w:val="clear" w:color="auto" w:fill="8EA9DB"/>
            <w:noWrap/>
            <w:vAlign w:val="center"/>
            <w:hideMark/>
          </w:tcPr>
          <w:p w14:paraId="5D50018C"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732" w:type="dxa"/>
            <w:tcBorders>
              <w:top w:val="nil"/>
              <w:left w:val="single" w:sz="4" w:space="0" w:color="auto"/>
              <w:bottom w:val="single" w:sz="8" w:space="0" w:color="auto"/>
              <w:right w:val="nil"/>
            </w:tcBorders>
            <w:shd w:val="clear" w:color="auto" w:fill="8EA9DB"/>
            <w:noWrap/>
            <w:vAlign w:val="center"/>
            <w:hideMark/>
          </w:tcPr>
          <w:p w14:paraId="61583CDC"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56" w:type="dxa"/>
            <w:tcBorders>
              <w:top w:val="nil"/>
              <w:left w:val="single" w:sz="4" w:space="0" w:color="auto"/>
              <w:bottom w:val="single" w:sz="8" w:space="0" w:color="auto"/>
              <w:right w:val="nil"/>
            </w:tcBorders>
            <w:shd w:val="clear" w:color="auto" w:fill="8EA9DB"/>
            <w:noWrap/>
            <w:vAlign w:val="center"/>
            <w:hideMark/>
          </w:tcPr>
          <w:p w14:paraId="1123BE6F"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81" w:type="dxa"/>
            <w:tcBorders>
              <w:top w:val="nil"/>
              <w:left w:val="nil"/>
              <w:bottom w:val="nil"/>
              <w:right w:val="nil"/>
            </w:tcBorders>
            <w:shd w:val="clear" w:color="auto" w:fill="969696"/>
            <w:noWrap/>
            <w:vAlign w:val="center"/>
            <w:hideMark/>
          </w:tcPr>
          <w:p w14:paraId="234D5B21"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757" w:type="dxa"/>
            <w:tcBorders>
              <w:top w:val="nil"/>
              <w:left w:val="single" w:sz="4" w:space="0" w:color="auto"/>
              <w:bottom w:val="single" w:sz="8" w:space="0" w:color="auto"/>
              <w:right w:val="nil"/>
            </w:tcBorders>
            <w:shd w:val="clear" w:color="auto" w:fill="C6E0B4"/>
            <w:noWrap/>
            <w:vAlign w:val="center"/>
            <w:hideMark/>
          </w:tcPr>
          <w:p w14:paraId="69ADBA4E"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816" w:type="dxa"/>
            <w:tcBorders>
              <w:top w:val="nil"/>
              <w:left w:val="single" w:sz="4" w:space="0" w:color="auto"/>
              <w:bottom w:val="single" w:sz="8" w:space="0" w:color="auto"/>
              <w:right w:val="nil"/>
            </w:tcBorders>
            <w:shd w:val="clear" w:color="auto" w:fill="C6E0B4"/>
            <w:noWrap/>
            <w:vAlign w:val="center"/>
            <w:hideMark/>
          </w:tcPr>
          <w:p w14:paraId="48D140D1"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026" w:type="dxa"/>
            <w:tcBorders>
              <w:top w:val="nil"/>
              <w:left w:val="single" w:sz="4" w:space="0" w:color="auto"/>
              <w:bottom w:val="single" w:sz="8" w:space="0" w:color="auto"/>
              <w:right w:val="nil"/>
            </w:tcBorders>
            <w:shd w:val="clear" w:color="auto" w:fill="C6E0B4"/>
            <w:vAlign w:val="center"/>
            <w:hideMark/>
          </w:tcPr>
          <w:p w14:paraId="1EB05CC8" w14:textId="77777777" w:rsidR="003F6A31" w:rsidRPr="00120FCC" w:rsidRDefault="003F6A31" w:rsidP="003F6A31">
            <w:pPr>
              <w:spacing w:before="0" w:after="0"/>
              <w:jc w:val="center"/>
              <w:rPr>
                <w:rFonts w:ascii="Times New Roman" w:eastAsia="Times New Roman" w:hAnsi="Times New Roman" w:cs="Times New Roman"/>
                <w:noProof/>
                <w:color w:val="auto"/>
                <w:sz w:val="19"/>
                <w:szCs w:val="19"/>
                <w:lang w:val="en-IE" w:eastAsia="en-IE"/>
              </w:rPr>
            </w:pPr>
          </w:p>
        </w:tc>
        <w:tc>
          <w:tcPr>
            <w:tcW w:w="1512" w:type="dxa"/>
            <w:tcBorders>
              <w:top w:val="nil"/>
              <w:left w:val="single" w:sz="4" w:space="0" w:color="auto"/>
              <w:bottom w:val="single" w:sz="8" w:space="0" w:color="auto"/>
              <w:right w:val="nil"/>
            </w:tcBorders>
            <w:shd w:val="clear" w:color="auto" w:fill="C6E0B4"/>
            <w:vAlign w:val="center"/>
            <w:hideMark/>
          </w:tcPr>
          <w:p w14:paraId="6EE429BD"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425" w:type="dxa"/>
            <w:tcBorders>
              <w:top w:val="nil"/>
              <w:left w:val="nil"/>
              <w:bottom w:val="nil"/>
              <w:right w:val="nil"/>
            </w:tcBorders>
            <w:shd w:val="clear" w:color="auto" w:fill="969696"/>
            <w:noWrap/>
            <w:vAlign w:val="center"/>
            <w:hideMark/>
          </w:tcPr>
          <w:p w14:paraId="422223A2" w14:textId="77777777" w:rsidR="003F6A31" w:rsidRPr="00120FCC" w:rsidRDefault="003F6A31" w:rsidP="003F6A31">
            <w:pPr>
              <w:spacing w:before="0" w:after="0"/>
              <w:rPr>
                <w:rFonts w:ascii="Times New Roman" w:eastAsia="Times New Roman" w:hAnsi="Times New Roman" w:cs="Times New Roman"/>
                <w:noProof/>
                <w:color w:val="auto"/>
                <w:sz w:val="19"/>
                <w:szCs w:val="19"/>
                <w:lang w:val="en-IE" w:eastAsia="en-IE"/>
              </w:rPr>
            </w:pPr>
          </w:p>
        </w:tc>
        <w:tc>
          <w:tcPr>
            <w:tcW w:w="2194" w:type="dxa"/>
            <w:gridSpan w:val="2"/>
            <w:tcBorders>
              <w:top w:val="nil"/>
              <w:left w:val="single" w:sz="8" w:space="0" w:color="auto"/>
              <w:bottom w:val="single" w:sz="8" w:space="0" w:color="auto"/>
              <w:right w:val="nil"/>
            </w:tcBorders>
            <w:shd w:val="clear" w:color="auto" w:fill="DBDBDB"/>
            <w:noWrap/>
            <w:vAlign w:val="center"/>
            <w:hideMark/>
          </w:tcPr>
          <w:p w14:paraId="32BDCDF3" w14:textId="77777777" w:rsidR="003F6A31" w:rsidRPr="00120FCC" w:rsidRDefault="003F6A31" w:rsidP="003F6A31">
            <w:pPr>
              <w:spacing w:before="0" w:after="0"/>
              <w:jc w:val="center"/>
              <w:rPr>
                <w:rFonts w:ascii="Arial" w:eastAsia="Times New Roman" w:hAnsi="Arial" w:cs="Arial"/>
                <w:b/>
                <w:bCs/>
                <w:noProof/>
                <w:color w:val="auto"/>
                <w:sz w:val="19"/>
                <w:szCs w:val="19"/>
                <w:lang w:val="en-IE" w:eastAsia="en-IE"/>
              </w:rPr>
            </w:pPr>
            <w:r w:rsidRPr="00120FCC">
              <w:rPr>
                <w:rFonts w:ascii="Arial" w:eastAsia="Times New Roman" w:hAnsi="Arial" w:cs="Arial"/>
                <w:b/>
                <w:bCs/>
                <w:noProof/>
                <w:color w:val="auto"/>
                <w:sz w:val="19"/>
                <w:szCs w:val="19"/>
                <w:lang w:val="en-IE" w:eastAsia="en-IE"/>
              </w:rPr>
              <w:t>Admin burden reduction PO2c</w:t>
            </w:r>
          </w:p>
        </w:tc>
        <w:tc>
          <w:tcPr>
            <w:tcW w:w="1352" w:type="dxa"/>
            <w:tcBorders>
              <w:top w:val="nil"/>
              <w:left w:val="single" w:sz="8" w:space="0" w:color="auto"/>
              <w:bottom w:val="single" w:sz="8" w:space="0" w:color="auto"/>
              <w:right w:val="single" w:sz="8" w:space="0" w:color="auto"/>
            </w:tcBorders>
            <w:shd w:val="clear" w:color="auto" w:fill="DBDBDB"/>
            <w:noWrap/>
            <w:vAlign w:val="center"/>
            <w:hideMark/>
          </w:tcPr>
          <w:p w14:paraId="76937C78" w14:textId="73A36E32" w:rsidR="003F6A31" w:rsidRDefault="14711D81" w:rsidP="003F6A31">
            <w:pPr>
              <w:spacing w:before="0" w:after="0"/>
              <w:jc w:val="center"/>
              <w:rPr>
                <w:rFonts w:ascii="Arial" w:eastAsia="Times New Roman" w:hAnsi="Arial" w:cs="Arial"/>
                <w:b/>
                <w:bCs/>
                <w:noProof/>
                <w:color w:val="auto"/>
                <w:sz w:val="19"/>
                <w:szCs w:val="19"/>
                <w:lang w:val="en-IE" w:eastAsia="en-IE"/>
              </w:rPr>
            </w:pPr>
            <w:r w:rsidRPr="6F00936E">
              <w:rPr>
                <w:rFonts w:ascii="Arial" w:eastAsia="Times New Roman" w:hAnsi="Arial" w:cs="Arial"/>
                <w:b/>
                <w:bCs/>
                <w:noProof/>
                <w:color w:val="auto"/>
                <w:sz w:val="19"/>
                <w:szCs w:val="19"/>
                <w:lang w:val="en-IE" w:eastAsia="en-IE"/>
              </w:rPr>
              <w:t>EUR</w:t>
            </w:r>
            <w:r w:rsidR="003F6A31" w:rsidRPr="6F00936E">
              <w:rPr>
                <w:rFonts w:ascii="Arial" w:eastAsia="Times New Roman" w:hAnsi="Arial" w:cs="Arial"/>
                <w:b/>
                <w:bCs/>
                <w:noProof/>
                <w:color w:val="auto"/>
                <w:sz w:val="19"/>
                <w:szCs w:val="19"/>
                <w:lang w:val="en-IE" w:eastAsia="en-IE"/>
              </w:rPr>
              <w:t xml:space="preserve"> 227,828,649 </w:t>
            </w:r>
          </w:p>
          <w:p w14:paraId="59BDFA7E" w14:textId="77777777" w:rsidR="00120FCC" w:rsidRDefault="00120FCC" w:rsidP="003F6A31">
            <w:pPr>
              <w:spacing w:before="0" w:after="0"/>
              <w:jc w:val="center"/>
              <w:rPr>
                <w:rFonts w:ascii="Arial" w:eastAsia="Times New Roman" w:hAnsi="Arial" w:cs="Arial"/>
                <w:b/>
                <w:bCs/>
                <w:noProof/>
                <w:color w:val="auto"/>
                <w:sz w:val="19"/>
                <w:szCs w:val="19"/>
                <w:lang w:val="en-IE" w:eastAsia="en-IE"/>
              </w:rPr>
            </w:pPr>
          </w:p>
          <w:p w14:paraId="3692C3C9" w14:textId="623056B5" w:rsidR="000A4646" w:rsidRPr="00120FCC" w:rsidRDefault="00913823" w:rsidP="003F6A31">
            <w:pPr>
              <w:spacing w:before="0" w:after="0"/>
              <w:jc w:val="center"/>
              <w:rPr>
                <w:rFonts w:ascii="Arial" w:eastAsia="Times New Roman" w:hAnsi="Arial" w:cs="Arial"/>
                <w:b/>
                <w:bCs/>
                <w:noProof/>
                <w:color w:val="auto"/>
                <w:sz w:val="19"/>
                <w:szCs w:val="19"/>
                <w:lang w:val="en-IE" w:eastAsia="en-IE"/>
              </w:rPr>
            </w:pPr>
            <w:r>
              <w:rPr>
                <w:rFonts w:ascii="Arial" w:eastAsia="Times New Roman" w:hAnsi="Arial" w:cs="Arial"/>
                <w:b/>
                <w:bCs/>
                <w:noProof/>
                <w:color w:val="auto"/>
                <w:sz w:val="19"/>
                <w:szCs w:val="19"/>
                <w:lang w:val="en-IE" w:eastAsia="en-IE"/>
              </w:rPr>
              <w:t>340,256,273</w:t>
            </w:r>
          </w:p>
        </w:tc>
      </w:tr>
    </w:tbl>
    <w:p w14:paraId="35370075" w14:textId="77D5CA64" w:rsidR="00D57F8F" w:rsidRDefault="00D57F8F" w:rsidP="004F2887">
      <w:pPr>
        <w:jc w:val="both"/>
        <w:rPr>
          <w:rFonts w:eastAsia="Times New Roman" w:cs="Times New Roman"/>
          <w:noProof/>
          <w:color w:val="auto"/>
          <w:sz w:val="22"/>
          <w:lang w:eastAsia="en-IE"/>
        </w:rPr>
      </w:pPr>
    </w:p>
    <w:p w14:paraId="6BE757BF" w14:textId="55FFB795" w:rsidR="001905CB" w:rsidRDefault="00421830" w:rsidP="004F2887">
      <w:pPr>
        <w:jc w:val="both"/>
        <w:rPr>
          <w:rFonts w:eastAsia="Times New Roman" w:cs="Times New Roman"/>
          <w:noProof/>
          <w:color w:val="auto"/>
          <w:sz w:val="22"/>
          <w:lang w:eastAsia="en-IE"/>
        </w:rPr>
      </w:pPr>
      <w:r>
        <w:rPr>
          <w:rFonts w:eastAsia="Times New Roman" w:cs="Times New Roman"/>
          <w:noProof/>
          <w:color w:val="auto"/>
          <w:sz w:val="22"/>
          <w:lang w:eastAsia="en-IE"/>
        </w:rPr>
        <w:t xml:space="preserve">Policy </w:t>
      </w:r>
      <w:r w:rsidR="00453B89">
        <w:rPr>
          <w:rFonts w:eastAsia="Times New Roman" w:cs="Times New Roman"/>
          <w:noProof/>
          <w:color w:val="auto"/>
          <w:sz w:val="22"/>
          <w:lang w:eastAsia="en-IE"/>
        </w:rPr>
        <w:t>O</w:t>
      </w:r>
      <w:r>
        <w:rPr>
          <w:rFonts w:eastAsia="Times New Roman" w:cs="Times New Roman"/>
          <w:noProof/>
          <w:color w:val="auto"/>
          <w:sz w:val="22"/>
          <w:lang w:eastAsia="en-IE"/>
        </w:rPr>
        <w:t>ption</w:t>
      </w:r>
      <w:r w:rsidR="00D8494C">
        <w:rPr>
          <w:rFonts w:eastAsia="Times New Roman" w:cs="Times New Roman"/>
          <w:noProof/>
          <w:color w:val="auto"/>
          <w:sz w:val="22"/>
          <w:lang w:eastAsia="en-IE"/>
        </w:rPr>
        <w:t>s</w:t>
      </w:r>
      <w:r>
        <w:rPr>
          <w:rFonts w:eastAsia="Times New Roman" w:cs="Times New Roman"/>
          <w:noProof/>
          <w:color w:val="auto"/>
          <w:sz w:val="22"/>
          <w:lang w:eastAsia="en-IE"/>
        </w:rPr>
        <w:t xml:space="preserve"> 3 </w:t>
      </w:r>
    </w:p>
    <w:tbl>
      <w:tblPr>
        <w:tblW w:w="14987" w:type="dxa"/>
        <w:tblInd w:w="-577" w:type="dxa"/>
        <w:tblLook w:val="04A0" w:firstRow="1" w:lastRow="0" w:firstColumn="1" w:lastColumn="0" w:noHBand="0" w:noVBand="1"/>
      </w:tblPr>
      <w:tblGrid>
        <w:gridCol w:w="382"/>
        <w:gridCol w:w="283"/>
        <w:gridCol w:w="1217"/>
        <w:gridCol w:w="272"/>
        <w:gridCol w:w="928"/>
        <w:gridCol w:w="1161"/>
        <w:gridCol w:w="627"/>
        <w:gridCol w:w="216"/>
        <w:gridCol w:w="1296"/>
        <w:gridCol w:w="405"/>
        <w:gridCol w:w="794"/>
        <w:gridCol w:w="850"/>
        <w:gridCol w:w="1295"/>
        <w:gridCol w:w="1296"/>
        <w:gridCol w:w="405"/>
        <w:gridCol w:w="1028"/>
        <w:gridCol w:w="1184"/>
        <w:gridCol w:w="1348"/>
      </w:tblGrid>
      <w:tr w:rsidR="00783610" w:rsidRPr="0095112F" w14:paraId="38044717" w14:textId="77777777" w:rsidTr="00453B89">
        <w:trPr>
          <w:trHeight w:val="300"/>
        </w:trPr>
        <w:tc>
          <w:tcPr>
            <w:tcW w:w="1882" w:type="dxa"/>
            <w:gridSpan w:val="3"/>
            <w:tcBorders>
              <w:top w:val="single" w:sz="8" w:space="0" w:color="auto"/>
              <w:left w:val="single" w:sz="8" w:space="0" w:color="auto"/>
              <w:bottom w:val="single" w:sz="8" w:space="0" w:color="auto"/>
              <w:right w:val="nil"/>
            </w:tcBorders>
            <w:shd w:val="clear" w:color="auto" w:fill="305496"/>
            <w:noWrap/>
            <w:vAlign w:val="center"/>
            <w:hideMark/>
          </w:tcPr>
          <w:p w14:paraId="7C02701C" w14:textId="77777777" w:rsidR="00F53E54" w:rsidRPr="0095112F" w:rsidRDefault="00F53E54" w:rsidP="002738D7">
            <w:pPr>
              <w:spacing w:after="0"/>
              <w:ind w:left="-382" w:firstLine="382"/>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single" w:sz="8" w:space="0" w:color="auto"/>
              <w:left w:val="nil"/>
              <w:bottom w:val="nil"/>
              <w:right w:val="nil"/>
            </w:tcBorders>
            <w:shd w:val="clear" w:color="auto" w:fill="969696"/>
            <w:vAlign w:val="center"/>
            <w:hideMark/>
          </w:tcPr>
          <w:p w14:paraId="0493ED05" w14:textId="77777777" w:rsidR="00F53E54" w:rsidRPr="0095112F" w:rsidRDefault="00F53E54">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2716" w:type="dxa"/>
            <w:gridSpan w:val="3"/>
            <w:tcBorders>
              <w:top w:val="single" w:sz="8" w:space="0" w:color="auto"/>
              <w:left w:val="nil"/>
              <w:bottom w:val="single" w:sz="8" w:space="0" w:color="auto"/>
              <w:right w:val="nil"/>
            </w:tcBorders>
            <w:shd w:val="clear" w:color="auto" w:fill="8EA9DB"/>
            <w:noWrap/>
            <w:vAlign w:val="center"/>
            <w:hideMark/>
          </w:tcPr>
          <w:p w14:paraId="39F87C42"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512" w:type="dxa"/>
            <w:gridSpan w:val="2"/>
            <w:tcBorders>
              <w:top w:val="single" w:sz="8" w:space="0" w:color="auto"/>
              <w:left w:val="nil"/>
              <w:bottom w:val="nil"/>
              <w:right w:val="nil"/>
            </w:tcBorders>
            <w:shd w:val="clear" w:color="auto" w:fill="8EA9DB"/>
            <w:noWrap/>
            <w:vAlign w:val="center"/>
            <w:hideMark/>
          </w:tcPr>
          <w:p w14:paraId="0CC3C699"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405" w:type="dxa"/>
            <w:tcBorders>
              <w:top w:val="single" w:sz="8" w:space="0" w:color="auto"/>
              <w:left w:val="nil"/>
              <w:bottom w:val="nil"/>
              <w:right w:val="nil"/>
            </w:tcBorders>
            <w:shd w:val="clear" w:color="auto" w:fill="969696"/>
            <w:vAlign w:val="center"/>
            <w:hideMark/>
          </w:tcPr>
          <w:p w14:paraId="4DA68E28" w14:textId="77777777" w:rsidR="00F53E54" w:rsidRPr="0095112F" w:rsidRDefault="00F53E54">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2939" w:type="dxa"/>
            <w:gridSpan w:val="3"/>
            <w:tcBorders>
              <w:top w:val="single" w:sz="8" w:space="0" w:color="auto"/>
              <w:left w:val="nil"/>
              <w:bottom w:val="single" w:sz="8" w:space="0" w:color="auto"/>
              <w:right w:val="nil"/>
            </w:tcBorders>
            <w:shd w:val="clear" w:color="auto" w:fill="C6E0B4"/>
            <w:noWrap/>
            <w:vAlign w:val="center"/>
            <w:hideMark/>
          </w:tcPr>
          <w:p w14:paraId="09A885AD"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single" w:sz="8" w:space="0" w:color="auto"/>
              <w:left w:val="nil"/>
              <w:bottom w:val="nil"/>
              <w:right w:val="nil"/>
            </w:tcBorders>
            <w:shd w:val="clear" w:color="auto" w:fill="C6E0B4"/>
            <w:noWrap/>
            <w:vAlign w:val="center"/>
            <w:hideMark/>
          </w:tcPr>
          <w:p w14:paraId="211CFBF7"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405" w:type="dxa"/>
            <w:tcBorders>
              <w:top w:val="single" w:sz="8" w:space="0" w:color="auto"/>
              <w:left w:val="nil"/>
              <w:bottom w:val="nil"/>
              <w:right w:val="single" w:sz="8" w:space="0" w:color="auto"/>
            </w:tcBorders>
            <w:shd w:val="clear" w:color="auto" w:fill="969696"/>
            <w:vAlign w:val="center"/>
            <w:hideMark/>
          </w:tcPr>
          <w:p w14:paraId="6FFAFC75" w14:textId="77777777" w:rsidR="00F53E54" w:rsidRPr="0095112F" w:rsidRDefault="00F53E54">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3560" w:type="dxa"/>
            <w:gridSpan w:val="3"/>
            <w:tcBorders>
              <w:top w:val="single" w:sz="8" w:space="0" w:color="auto"/>
              <w:left w:val="nil"/>
              <w:bottom w:val="nil"/>
              <w:right w:val="single" w:sz="8" w:space="0" w:color="000000" w:themeColor="text1"/>
            </w:tcBorders>
            <w:shd w:val="clear" w:color="auto" w:fill="DBDBDB"/>
            <w:noWrap/>
            <w:vAlign w:val="center"/>
            <w:hideMark/>
          </w:tcPr>
          <w:p w14:paraId="0AB40A85"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r>
      <w:tr w:rsidR="00783610" w:rsidRPr="0095112F" w14:paraId="6ECFE369" w14:textId="77777777" w:rsidTr="00453B89">
        <w:trPr>
          <w:trHeight w:val="289"/>
        </w:trPr>
        <w:tc>
          <w:tcPr>
            <w:tcW w:w="665" w:type="dxa"/>
            <w:gridSpan w:val="2"/>
            <w:tcBorders>
              <w:top w:val="nil"/>
              <w:left w:val="single" w:sz="8" w:space="0" w:color="auto"/>
              <w:right w:val="nil"/>
            </w:tcBorders>
            <w:noWrap/>
            <w:vAlign w:val="center"/>
            <w:hideMark/>
          </w:tcPr>
          <w:p w14:paraId="17280EBB"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No.</w:t>
            </w:r>
          </w:p>
        </w:tc>
        <w:tc>
          <w:tcPr>
            <w:tcW w:w="1217" w:type="dxa"/>
            <w:tcBorders>
              <w:top w:val="nil"/>
              <w:left w:val="nil"/>
              <w:bottom w:val="single" w:sz="8" w:space="0" w:color="000000" w:themeColor="text1"/>
              <w:right w:val="nil"/>
            </w:tcBorders>
            <w:noWrap/>
            <w:vAlign w:val="center"/>
            <w:hideMark/>
          </w:tcPr>
          <w:p w14:paraId="76C9D972"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Description</w:t>
            </w:r>
          </w:p>
        </w:tc>
        <w:tc>
          <w:tcPr>
            <w:tcW w:w="272" w:type="dxa"/>
            <w:tcBorders>
              <w:top w:val="nil"/>
              <w:left w:val="nil"/>
              <w:bottom w:val="nil"/>
              <w:right w:val="nil"/>
            </w:tcBorders>
            <w:shd w:val="clear" w:color="auto" w:fill="969696"/>
            <w:vAlign w:val="center"/>
            <w:hideMark/>
          </w:tcPr>
          <w:p w14:paraId="38A7EF7D" w14:textId="77777777" w:rsidR="00F53E54" w:rsidRPr="0095112F" w:rsidRDefault="00F53E54">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000000" w:themeColor="text1"/>
              <w:right w:val="single" w:sz="4" w:space="0" w:color="auto"/>
            </w:tcBorders>
            <w:noWrap/>
            <w:vAlign w:val="center"/>
            <w:hideMark/>
          </w:tcPr>
          <w:p w14:paraId="1D9B58AB"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Number (Q)</w:t>
            </w:r>
          </w:p>
        </w:tc>
        <w:tc>
          <w:tcPr>
            <w:tcW w:w="1161" w:type="dxa"/>
            <w:tcBorders>
              <w:top w:val="nil"/>
              <w:left w:val="single" w:sz="4" w:space="0" w:color="auto"/>
              <w:bottom w:val="single" w:sz="8" w:space="0" w:color="000000" w:themeColor="text1"/>
              <w:right w:val="single" w:sz="4" w:space="0" w:color="auto"/>
            </w:tcBorders>
            <w:noWrap/>
            <w:vAlign w:val="center"/>
            <w:hideMark/>
          </w:tcPr>
          <w:p w14:paraId="6BA54BD2"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Frequency</w:t>
            </w:r>
          </w:p>
        </w:tc>
        <w:tc>
          <w:tcPr>
            <w:tcW w:w="843" w:type="dxa"/>
            <w:gridSpan w:val="2"/>
            <w:tcBorders>
              <w:top w:val="nil"/>
              <w:left w:val="single" w:sz="4" w:space="0" w:color="auto"/>
              <w:bottom w:val="single" w:sz="8" w:space="0" w:color="000000" w:themeColor="text1"/>
              <w:right w:val="nil"/>
            </w:tcBorders>
            <w:noWrap/>
            <w:vAlign w:val="center"/>
            <w:hideMark/>
          </w:tcPr>
          <w:p w14:paraId="3F5A9DDE"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w:t>
            </w:r>
          </w:p>
        </w:tc>
        <w:tc>
          <w:tcPr>
            <w:tcW w:w="1296" w:type="dxa"/>
            <w:tcBorders>
              <w:top w:val="single" w:sz="8" w:space="0" w:color="auto"/>
              <w:left w:val="single" w:sz="4" w:space="0" w:color="auto"/>
              <w:bottom w:val="single" w:sz="8" w:space="0" w:color="000000" w:themeColor="text1"/>
              <w:right w:val="nil"/>
            </w:tcBorders>
            <w:noWrap/>
            <w:vAlign w:val="center"/>
            <w:hideMark/>
          </w:tcPr>
          <w:p w14:paraId="12671AC1"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Explanation</w:t>
            </w:r>
          </w:p>
        </w:tc>
        <w:tc>
          <w:tcPr>
            <w:tcW w:w="405" w:type="dxa"/>
            <w:tcBorders>
              <w:top w:val="nil"/>
              <w:left w:val="nil"/>
              <w:bottom w:val="nil"/>
              <w:right w:val="nil"/>
            </w:tcBorders>
            <w:shd w:val="clear" w:color="auto" w:fill="969696"/>
            <w:noWrap/>
            <w:vAlign w:val="center"/>
            <w:hideMark/>
          </w:tcPr>
          <w:p w14:paraId="187A0E12"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000000" w:themeColor="text1"/>
              <w:right w:val="single" w:sz="4" w:space="0" w:color="auto"/>
            </w:tcBorders>
            <w:vAlign w:val="center"/>
            <w:hideMark/>
          </w:tcPr>
          <w:p w14:paraId="1D7A859C"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Hourly rate</w:t>
            </w:r>
            <w:r w:rsidRPr="0095112F">
              <w:rPr>
                <w:rFonts w:ascii="Arial" w:eastAsia="Times New Roman" w:hAnsi="Arial" w:cs="Arial"/>
                <w:noProof/>
                <w:szCs w:val="20"/>
                <w:lang w:val="en-IE" w:eastAsia="en-IE"/>
              </w:rPr>
              <w:br/>
              <w:t>(euro)</w:t>
            </w:r>
          </w:p>
        </w:tc>
        <w:tc>
          <w:tcPr>
            <w:tcW w:w="850" w:type="dxa"/>
            <w:tcBorders>
              <w:top w:val="nil"/>
              <w:left w:val="single" w:sz="4" w:space="0" w:color="auto"/>
              <w:bottom w:val="single" w:sz="8" w:space="0" w:color="000000" w:themeColor="text1"/>
              <w:right w:val="single" w:sz="4" w:space="0" w:color="auto"/>
            </w:tcBorders>
            <w:vAlign w:val="center"/>
            <w:hideMark/>
          </w:tcPr>
          <w:p w14:paraId="00646693"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xml:space="preserve">Time spent </w:t>
            </w:r>
            <w:r w:rsidRPr="0095112F">
              <w:rPr>
                <w:rFonts w:ascii="Arial" w:eastAsia="Times New Roman" w:hAnsi="Arial" w:cs="Arial"/>
                <w:noProof/>
                <w:szCs w:val="20"/>
                <w:lang w:val="en-IE" w:eastAsia="en-IE"/>
              </w:rPr>
              <w:br/>
              <w:t>(hours)</w:t>
            </w:r>
          </w:p>
        </w:tc>
        <w:tc>
          <w:tcPr>
            <w:tcW w:w="1295" w:type="dxa"/>
            <w:tcBorders>
              <w:top w:val="nil"/>
              <w:left w:val="single" w:sz="4" w:space="0" w:color="auto"/>
              <w:bottom w:val="single" w:sz="8" w:space="0" w:color="000000" w:themeColor="text1"/>
              <w:right w:val="nil"/>
            </w:tcBorders>
            <w:vAlign w:val="center"/>
            <w:hideMark/>
          </w:tcPr>
          <w:p w14:paraId="26BFD205"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Notary and professional adviser costs (euro)</w:t>
            </w:r>
          </w:p>
        </w:tc>
        <w:tc>
          <w:tcPr>
            <w:tcW w:w="1296" w:type="dxa"/>
            <w:vMerge w:val="restart"/>
            <w:tcBorders>
              <w:top w:val="single" w:sz="8" w:space="0" w:color="auto"/>
              <w:left w:val="single" w:sz="4" w:space="0" w:color="auto"/>
              <w:bottom w:val="single" w:sz="8" w:space="0" w:color="000000" w:themeColor="text1"/>
              <w:right w:val="nil"/>
            </w:tcBorders>
            <w:vAlign w:val="center"/>
            <w:hideMark/>
          </w:tcPr>
          <w:p w14:paraId="27E8E1A3"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Explanation</w:t>
            </w:r>
          </w:p>
        </w:tc>
        <w:tc>
          <w:tcPr>
            <w:tcW w:w="405" w:type="dxa"/>
            <w:tcBorders>
              <w:top w:val="nil"/>
              <w:left w:val="nil"/>
              <w:bottom w:val="nil"/>
              <w:right w:val="nil"/>
            </w:tcBorders>
            <w:shd w:val="clear" w:color="auto" w:fill="969696"/>
            <w:noWrap/>
            <w:vAlign w:val="center"/>
            <w:hideMark/>
          </w:tcPr>
          <w:p w14:paraId="2C24E795"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3560" w:type="dxa"/>
            <w:gridSpan w:val="3"/>
            <w:tcBorders>
              <w:top w:val="single" w:sz="4" w:space="0" w:color="auto"/>
              <w:left w:val="single" w:sz="4" w:space="0" w:color="auto"/>
              <w:bottom w:val="single" w:sz="4" w:space="0" w:color="auto"/>
              <w:right w:val="single" w:sz="4" w:space="0" w:color="auto"/>
            </w:tcBorders>
            <w:noWrap/>
            <w:vAlign w:val="center"/>
            <w:hideMark/>
          </w:tcPr>
          <w:p w14:paraId="1ED50FE7"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Administrative burden reduction</w:t>
            </w:r>
          </w:p>
        </w:tc>
      </w:tr>
      <w:tr w:rsidR="00783610" w:rsidRPr="0095112F" w14:paraId="49FB70EA" w14:textId="77777777" w:rsidTr="00453B89">
        <w:trPr>
          <w:trHeight w:val="529"/>
        </w:trPr>
        <w:tc>
          <w:tcPr>
            <w:tcW w:w="665" w:type="dxa"/>
            <w:gridSpan w:val="2"/>
            <w:tcBorders>
              <w:left w:val="single" w:sz="8" w:space="0" w:color="auto"/>
              <w:bottom w:val="single" w:sz="8" w:space="0" w:color="auto"/>
              <w:right w:val="nil"/>
            </w:tcBorders>
            <w:noWrap/>
            <w:vAlign w:val="center"/>
            <w:hideMark/>
          </w:tcPr>
          <w:p w14:paraId="385432D3" w14:textId="77777777" w:rsidR="00F53E54" w:rsidRPr="0095112F" w:rsidRDefault="00F53E54">
            <w:pPr>
              <w:spacing w:after="0"/>
              <w:jc w:val="center"/>
              <w:rPr>
                <w:rFonts w:ascii="Arial" w:eastAsia="Times New Roman" w:hAnsi="Arial" w:cs="Arial"/>
                <w:noProof/>
                <w:szCs w:val="20"/>
                <w:lang w:val="en-IE" w:eastAsia="en-IE"/>
              </w:rPr>
            </w:pPr>
          </w:p>
        </w:tc>
        <w:tc>
          <w:tcPr>
            <w:tcW w:w="1217" w:type="dxa"/>
            <w:tcBorders>
              <w:top w:val="nil"/>
              <w:left w:val="nil"/>
              <w:bottom w:val="single" w:sz="8" w:space="0" w:color="000000" w:themeColor="text1"/>
              <w:right w:val="nil"/>
            </w:tcBorders>
            <w:vAlign w:val="center"/>
            <w:hideMark/>
          </w:tcPr>
          <w:p w14:paraId="112E8FEA" w14:textId="77777777" w:rsidR="00F53E54" w:rsidRPr="0095112F" w:rsidRDefault="00F53E54">
            <w:pPr>
              <w:spacing w:after="0"/>
              <w:rPr>
                <w:rFonts w:ascii="Arial" w:eastAsia="Times New Roman" w:hAnsi="Arial" w:cs="Arial"/>
                <w:noProof/>
                <w:szCs w:val="20"/>
                <w:lang w:val="en-IE" w:eastAsia="en-IE"/>
              </w:rPr>
            </w:pPr>
          </w:p>
        </w:tc>
        <w:tc>
          <w:tcPr>
            <w:tcW w:w="272" w:type="dxa"/>
            <w:tcBorders>
              <w:top w:val="nil"/>
              <w:left w:val="nil"/>
              <w:bottom w:val="nil"/>
              <w:right w:val="nil"/>
            </w:tcBorders>
            <w:shd w:val="clear" w:color="auto" w:fill="969696"/>
            <w:vAlign w:val="center"/>
            <w:hideMark/>
          </w:tcPr>
          <w:p w14:paraId="4253AD85" w14:textId="77777777" w:rsidR="00F53E54" w:rsidRPr="0095112F" w:rsidRDefault="00F53E54">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000000" w:themeColor="text1"/>
              <w:right w:val="single" w:sz="4" w:space="0" w:color="auto"/>
            </w:tcBorders>
            <w:vAlign w:val="center"/>
            <w:hideMark/>
          </w:tcPr>
          <w:p w14:paraId="1F3492EC" w14:textId="77777777" w:rsidR="00F53E54" w:rsidRPr="0095112F" w:rsidRDefault="00F53E54">
            <w:pPr>
              <w:spacing w:after="0"/>
              <w:rPr>
                <w:rFonts w:ascii="Arial" w:eastAsia="Times New Roman" w:hAnsi="Arial" w:cs="Arial"/>
                <w:noProof/>
                <w:szCs w:val="20"/>
                <w:lang w:val="en-IE" w:eastAsia="en-IE"/>
              </w:rPr>
            </w:pPr>
          </w:p>
        </w:tc>
        <w:tc>
          <w:tcPr>
            <w:tcW w:w="1161" w:type="dxa"/>
            <w:tcBorders>
              <w:top w:val="nil"/>
              <w:left w:val="single" w:sz="4" w:space="0" w:color="auto"/>
              <w:bottom w:val="single" w:sz="8" w:space="0" w:color="000000" w:themeColor="text1"/>
              <w:right w:val="single" w:sz="4" w:space="0" w:color="auto"/>
            </w:tcBorders>
            <w:vAlign w:val="center"/>
            <w:hideMark/>
          </w:tcPr>
          <w:p w14:paraId="3EF525C7" w14:textId="77777777" w:rsidR="00F53E54" w:rsidRPr="0095112F" w:rsidRDefault="00F53E54">
            <w:pPr>
              <w:spacing w:after="0"/>
              <w:rPr>
                <w:rFonts w:ascii="Arial" w:eastAsia="Times New Roman" w:hAnsi="Arial" w:cs="Arial"/>
                <w:noProof/>
                <w:szCs w:val="20"/>
                <w:lang w:val="en-IE" w:eastAsia="en-IE"/>
              </w:rPr>
            </w:pPr>
          </w:p>
        </w:tc>
        <w:tc>
          <w:tcPr>
            <w:tcW w:w="843" w:type="dxa"/>
            <w:gridSpan w:val="2"/>
            <w:tcBorders>
              <w:top w:val="nil"/>
              <w:left w:val="single" w:sz="4" w:space="0" w:color="auto"/>
              <w:bottom w:val="single" w:sz="8" w:space="0" w:color="000000" w:themeColor="text1"/>
              <w:right w:val="nil"/>
            </w:tcBorders>
            <w:vAlign w:val="center"/>
            <w:hideMark/>
          </w:tcPr>
          <w:p w14:paraId="5DB7060D" w14:textId="77777777" w:rsidR="00F53E54" w:rsidRPr="0095112F" w:rsidRDefault="00F53E54">
            <w:pPr>
              <w:spacing w:after="0"/>
              <w:rPr>
                <w:rFonts w:ascii="Arial" w:eastAsia="Times New Roman" w:hAnsi="Arial" w:cs="Arial"/>
                <w:noProof/>
                <w:szCs w:val="20"/>
                <w:lang w:val="en-IE" w:eastAsia="en-IE"/>
              </w:rPr>
            </w:pPr>
          </w:p>
        </w:tc>
        <w:tc>
          <w:tcPr>
            <w:tcW w:w="1296" w:type="dxa"/>
            <w:tcBorders>
              <w:top w:val="single" w:sz="8" w:space="0" w:color="auto"/>
              <w:left w:val="single" w:sz="4" w:space="0" w:color="auto"/>
              <w:bottom w:val="single" w:sz="8" w:space="0" w:color="000000" w:themeColor="text1"/>
              <w:right w:val="nil"/>
            </w:tcBorders>
            <w:vAlign w:val="center"/>
            <w:hideMark/>
          </w:tcPr>
          <w:p w14:paraId="51701ADB" w14:textId="77777777" w:rsidR="00F53E54" w:rsidRPr="0095112F" w:rsidRDefault="00F53E54">
            <w:pPr>
              <w:spacing w:after="0"/>
              <w:rPr>
                <w:rFonts w:ascii="Arial" w:eastAsia="Times New Roman" w:hAnsi="Arial" w:cs="Arial"/>
                <w:noProof/>
                <w:szCs w:val="20"/>
                <w:lang w:val="en-IE" w:eastAsia="en-IE"/>
              </w:rPr>
            </w:pPr>
          </w:p>
        </w:tc>
        <w:tc>
          <w:tcPr>
            <w:tcW w:w="405" w:type="dxa"/>
            <w:tcBorders>
              <w:top w:val="nil"/>
              <w:left w:val="nil"/>
              <w:bottom w:val="nil"/>
              <w:right w:val="nil"/>
            </w:tcBorders>
            <w:shd w:val="clear" w:color="auto" w:fill="969696"/>
            <w:vAlign w:val="center"/>
            <w:hideMark/>
          </w:tcPr>
          <w:p w14:paraId="54C3203E"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000000" w:themeColor="text1"/>
              <w:right w:val="single" w:sz="4" w:space="0" w:color="auto"/>
            </w:tcBorders>
            <w:vAlign w:val="center"/>
            <w:hideMark/>
          </w:tcPr>
          <w:p w14:paraId="5CB8DED0" w14:textId="77777777" w:rsidR="00F53E54" w:rsidRPr="0095112F" w:rsidRDefault="00F53E54">
            <w:pPr>
              <w:spacing w:after="0"/>
              <w:rPr>
                <w:rFonts w:ascii="Arial" w:eastAsia="Times New Roman" w:hAnsi="Arial" w:cs="Arial"/>
                <w:noProof/>
                <w:szCs w:val="20"/>
                <w:lang w:val="en-IE" w:eastAsia="en-IE"/>
              </w:rPr>
            </w:pPr>
          </w:p>
        </w:tc>
        <w:tc>
          <w:tcPr>
            <w:tcW w:w="850" w:type="dxa"/>
            <w:tcBorders>
              <w:top w:val="nil"/>
              <w:left w:val="single" w:sz="4" w:space="0" w:color="auto"/>
              <w:bottom w:val="single" w:sz="8" w:space="0" w:color="000000" w:themeColor="text1"/>
              <w:right w:val="single" w:sz="4" w:space="0" w:color="auto"/>
            </w:tcBorders>
            <w:vAlign w:val="center"/>
            <w:hideMark/>
          </w:tcPr>
          <w:p w14:paraId="3B48A7CE" w14:textId="77777777" w:rsidR="00F53E54" w:rsidRPr="0095112F" w:rsidRDefault="00F53E54">
            <w:pPr>
              <w:spacing w:after="0"/>
              <w:rPr>
                <w:rFonts w:ascii="Arial" w:eastAsia="Times New Roman" w:hAnsi="Arial" w:cs="Arial"/>
                <w:noProof/>
                <w:szCs w:val="20"/>
                <w:lang w:val="en-IE" w:eastAsia="en-IE"/>
              </w:rPr>
            </w:pPr>
          </w:p>
        </w:tc>
        <w:tc>
          <w:tcPr>
            <w:tcW w:w="1295" w:type="dxa"/>
            <w:tcBorders>
              <w:top w:val="nil"/>
              <w:left w:val="single" w:sz="4" w:space="0" w:color="auto"/>
              <w:bottom w:val="single" w:sz="8" w:space="0" w:color="000000" w:themeColor="text1"/>
              <w:right w:val="nil"/>
            </w:tcBorders>
            <w:vAlign w:val="center"/>
            <w:hideMark/>
          </w:tcPr>
          <w:p w14:paraId="6D5A664C" w14:textId="77777777" w:rsidR="00F53E54" w:rsidRPr="0095112F" w:rsidRDefault="00F53E54">
            <w:pPr>
              <w:spacing w:after="0"/>
              <w:rPr>
                <w:rFonts w:ascii="Arial" w:eastAsia="Times New Roman" w:hAnsi="Arial" w:cs="Arial"/>
                <w:noProof/>
                <w:szCs w:val="20"/>
                <w:lang w:val="en-IE" w:eastAsia="en-IE"/>
              </w:rPr>
            </w:pPr>
          </w:p>
        </w:tc>
        <w:tc>
          <w:tcPr>
            <w:tcW w:w="1296" w:type="dxa"/>
            <w:vMerge/>
            <w:vAlign w:val="center"/>
            <w:hideMark/>
          </w:tcPr>
          <w:p w14:paraId="401350FE" w14:textId="77777777" w:rsidR="00F53E54" w:rsidRPr="0095112F" w:rsidRDefault="00F53E54">
            <w:pPr>
              <w:spacing w:after="0"/>
              <w:rPr>
                <w:rFonts w:ascii="Arial" w:eastAsia="Times New Roman" w:hAnsi="Arial" w:cs="Arial"/>
                <w:noProof/>
                <w:szCs w:val="20"/>
                <w:lang w:val="en-IE" w:eastAsia="en-IE"/>
              </w:rPr>
            </w:pPr>
          </w:p>
        </w:tc>
        <w:tc>
          <w:tcPr>
            <w:tcW w:w="405" w:type="dxa"/>
            <w:tcBorders>
              <w:top w:val="nil"/>
              <w:left w:val="nil"/>
              <w:bottom w:val="nil"/>
              <w:right w:val="nil"/>
            </w:tcBorders>
            <w:shd w:val="clear" w:color="auto" w:fill="969696"/>
            <w:noWrap/>
            <w:vAlign w:val="center"/>
            <w:hideMark/>
          </w:tcPr>
          <w:p w14:paraId="401702F4"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nil"/>
              <w:left w:val="single" w:sz="4" w:space="0" w:color="auto"/>
              <w:bottom w:val="single" w:sz="4" w:space="0" w:color="auto"/>
              <w:right w:val="single" w:sz="4" w:space="0" w:color="auto"/>
            </w:tcBorders>
            <w:noWrap/>
            <w:vAlign w:val="center"/>
            <w:hideMark/>
          </w:tcPr>
          <w:p w14:paraId="4DD92CF2" w14:textId="476F201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xml:space="preserve">Cost </w:t>
            </w:r>
            <w:r w:rsidR="00BA26E7">
              <w:rPr>
                <w:rFonts w:ascii="Arial" w:eastAsia="Times New Roman" w:hAnsi="Arial" w:cs="Arial"/>
                <w:noProof/>
                <w:szCs w:val="20"/>
                <w:lang w:val="en-IE" w:eastAsia="en-IE"/>
              </w:rPr>
              <w:t xml:space="preserve">savings </w:t>
            </w:r>
            <w:r w:rsidRPr="0095112F">
              <w:rPr>
                <w:rFonts w:ascii="Arial" w:eastAsia="Times New Roman" w:hAnsi="Arial" w:cs="Arial"/>
                <w:noProof/>
                <w:szCs w:val="20"/>
                <w:lang w:val="en-IE" w:eastAsia="en-IE"/>
              </w:rPr>
              <w:t>per company</w:t>
            </w:r>
          </w:p>
        </w:tc>
        <w:tc>
          <w:tcPr>
            <w:tcW w:w="1184" w:type="dxa"/>
            <w:tcBorders>
              <w:top w:val="nil"/>
              <w:left w:val="nil"/>
              <w:bottom w:val="single" w:sz="4" w:space="0" w:color="auto"/>
              <w:right w:val="single" w:sz="4" w:space="0" w:color="auto"/>
            </w:tcBorders>
            <w:noWrap/>
            <w:vAlign w:val="center"/>
            <w:hideMark/>
          </w:tcPr>
          <w:p w14:paraId="1F9E25BE"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Number of companies</w:t>
            </w:r>
          </w:p>
        </w:tc>
        <w:tc>
          <w:tcPr>
            <w:tcW w:w="1348" w:type="dxa"/>
            <w:tcBorders>
              <w:top w:val="nil"/>
              <w:left w:val="nil"/>
              <w:bottom w:val="single" w:sz="4" w:space="0" w:color="auto"/>
              <w:right w:val="single" w:sz="4" w:space="0" w:color="auto"/>
            </w:tcBorders>
            <w:noWrap/>
            <w:vAlign w:val="center"/>
            <w:hideMark/>
          </w:tcPr>
          <w:p w14:paraId="111ABE19" w14:textId="77777777" w:rsidR="00F53E54" w:rsidRPr="0095112F" w:rsidRDefault="00F53E54">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Total benefit</w:t>
            </w:r>
          </w:p>
        </w:tc>
      </w:tr>
      <w:tr w:rsidR="00783610" w:rsidRPr="0095112F" w14:paraId="59DE88C0" w14:textId="77777777" w:rsidTr="00453B89">
        <w:trPr>
          <w:trHeight w:val="300"/>
        </w:trPr>
        <w:tc>
          <w:tcPr>
            <w:tcW w:w="382" w:type="dxa"/>
            <w:tcBorders>
              <w:top w:val="nil"/>
              <w:left w:val="single" w:sz="8" w:space="0" w:color="auto"/>
              <w:bottom w:val="single" w:sz="8" w:space="0" w:color="auto"/>
              <w:right w:val="nil"/>
            </w:tcBorders>
            <w:shd w:val="clear" w:color="auto" w:fill="305496"/>
            <w:noWrap/>
            <w:vAlign w:val="center"/>
            <w:hideMark/>
          </w:tcPr>
          <w:p w14:paraId="4E27A4D0"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83" w:type="dxa"/>
            <w:tcBorders>
              <w:top w:val="nil"/>
              <w:left w:val="nil"/>
              <w:bottom w:val="single" w:sz="8" w:space="0" w:color="auto"/>
              <w:right w:val="nil"/>
            </w:tcBorders>
            <w:shd w:val="clear" w:color="auto" w:fill="305496"/>
            <w:noWrap/>
            <w:vAlign w:val="center"/>
            <w:hideMark/>
          </w:tcPr>
          <w:p w14:paraId="61EA974D"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17" w:type="dxa"/>
            <w:tcBorders>
              <w:top w:val="nil"/>
              <w:left w:val="nil"/>
              <w:bottom w:val="single" w:sz="8" w:space="0" w:color="auto"/>
              <w:right w:val="nil"/>
            </w:tcBorders>
            <w:shd w:val="clear" w:color="auto" w:fill="305496"/>
            <w:noWrap/>
            <w:vAlign w:val="center"/>
            <w:hideMark/>
          </w:tcPr>
          <w:p w14:paraId="7FBB59B5"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516D74CE"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auto"/>
              <w:right w:val="nil"/>
            </w:tcBorders>
            <w:shd w:val="clear" w:color="auto" w:fill="8EA9DB"/>
            <w:noWrap/>
            <w:vAlign w:val="center"/>
            <w:hideMark/>
          </w:tcPr>
          <w:p w14:paraId="6F26ED02"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435F4E54"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43" w:type="dxa"/>
            <w:gridSpan w:val="2"/>
            <w:tcBorders>
              <w:top w:val="nil"/>
              <w:left w:val="single" w:sz="4" w:space="0" w:color="auto"/>
              <w:bottom w:val="single" w:sz="8" w:space="0" w:color="auto"/>
              <w:right w:val="nil"/>
            </w:tcBorders>
            <w:shd w:val="clear" w:color="auto" w:fill="8EA9DB"/>
            <w:noWrap/>
            <w:vAlign w:val="center"/>
            <w:hideMark/>
          </w:tcPr>
          <w:p w14:paraId="3A4CB5DF"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6" w:type="dxa"/>
            <w:tcBorders>
              <w:top w:val="nil"/>
              <w:left w:val="single" w:sz="4" w:space="0" w:color="auto"/>
              <w:bottom w:val="single" w:sz="8" w:space="0" w:color="auto"/>
              <w:right w:val="nil"/>
            </w:tcBorders>
            <w:shd w:val="clear" w:color="auto" w:fill="8EA9DB"/>
            <w:noWrap/>
            <w:vAlign w:val="center"/>
            <w:hideMark/>
          </w:tcPr>
          <w:p w14:paraId="2BE9FF2F"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405" w:type="dxa"/>
            <w:tcBorders>
              <w:top w:val="nil"/>
              <w:left w:val="nil"/>
              <w:bottom w:val="nil"/>
              <w:right w:val="nil"/>
            </w:tcBorders>
            <w:shd w:val="clear" w:color="auto" w:fill="969696"/>
            <w:noWrap/>
            <w:vAlign w:val="center"/>
            <w:hideMark/>
          </w:tcPr>
          <w:p w14:paraId="4AEF7960"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auto"/>
              <w:right w:val="nil"/>
            </w:tcBorders>
            <w:shd w:val="clear" w:color="auto" w:fill="C6E0B4"/>
            <w:noWrap/>
            <w:vAlign w:val="center"/>
            <w:hideMark/>
          </w:tcPr>
          <w:p w14:paraId="601046C4"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6B77C6CF"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6D12EBD5"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nil"/>
              <w:left w:val="single" w:sz="4" w:space="0" w:color="auto"/>
              <w:bottom w:val="single" w:sz="8" w:space="0" w:color="auto"/>
              <w:right w:val="nil"/>
            </w:tcBorders>
            <w:shd w:val="clear" w:color="auto" w:fill="C6E0B4"/>
            <w:vAlign w:val="center"/>
            <w:hideMark/>
          </w:tcPr>
          <w:p w14:paraId="09EE354E"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405" w:type="dxa"/>
            <w:tcBorders>
              <w:top w:val="nil"/>
              <w:left w:val="nil"/>
              <w:bottom w:val="nil"/>
              <w:right w:val="nil"/>
            </w:tcBorders>
            <w:shd w:val="clear" w:color="auto" w:fill="969696"/>
            <w:noWrap/>
            <w:vAlign w:val="center"/>
            <w:hideMark/>
          </w:tcPr>
          <w:p w14:paraId="127FAC9B"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470D83C9" w14:textId="77777777" w:rsidR="00F53E54" w:rsidRPr="0095112F" w:rsidRDefault="00F53E54">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c>
          <w:tcPr>
            <w:tcW w:w="1348" w:type="dxa"/>
            <w:tcBorders>
              <w:top w:val="nil"/>
              <w:left w:val="single" w:sz="8" w:space="0" w:color="auto"/>
              <w:bottom w:val="single" w:sz="8" w:space="0" w:color="auto"/>
              <w:right w:val="single" w:sz="8" w:space="0" w:color="auto"/>
            </w:tcBorders>
            <w:shd w:val="clear" w:color="auto" w:fill="DBDBDB"/>
            <w:noWrap/>
            <w:vAlign w:val="center"/>
            <w:hideMark/>
          </w:tcPr>
          <w:p w14:paraId="6C8588D0" w14:textId="77777777" w:rsidR="00F53E54" w:rsidRPr="0095112F" w:rsidRDefault="00F53E54">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401FEA" w:rsidRPr="0095112F" w14:paraId="10615CB4" w14:textId="77777777" w:rsidTr="00453B89">
        <w:trPr>
          <w:trHeight w:val="300"/>
        </w:trPr>
        <w:tc>
          <w:tcPr>
            <w:tcW w:w="1882" w:type="dxa"/>
            <w:gridSpan w:val="3"/>
            <w:tcBorders>
              <w:top w:val="single" w:sz="8" w:space="0" w:color="auto"/>
              <w:left w:val="single" w:sz="8" w:space="0" w:color="auto"/>
              <w:bottom w:val="single" w:sz="8" w:space="0" w:color="auto"/>
              <w:right w:val="nil"/>
            </w:tcBorders>
            <w:shd w:val="clear" w:color="auto" w:fill="FFFF00"/>
            <w:noWrap/>
            <w:vAlign w:val="center"/>
            <w:hideMark/>
          </w:tcPr>
          <w:p w14:paraId="797B77D5" w14:textId="0CADA220" w:rsidR="00453B89" w:rsidRPr="0095112F" w:rsidRDefault="00453B89" w:rsidP="00453B89">
            <w:pPr>
              <w:spacing w:after="0"/>
              <w:rPr>
                <w:rFonts w:ascii="Arial" w:eastAsia="Times New Roman" w:hAnsi="Arial" w:cs="Arial"/>
                <w:noProof/>
                <w:szCs w:val="20"/>
                <w:lang w:val="en-IE" w:eastAsia="en-IE"/>
              </w:rPr>
            </w:pPr>
            <w:r w:rsidRPr="0095112F">
              <w:rPr>
                <w:rFonts w:ascii="Arial" w:eastAsia="Times New Roman" w:hAnsi="Arial" w:cs="Arial"/>
                <w:b/>
                <w:bCs/>
                <w:noProof/>
                <w:szCs w:val="20"/>
                <w:lang w:val="en-IE" w:eastAsia="en-IE"/>
              </w:rPr>
              <w:t>PO 3a</w:t>
            </w: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10B130A0" w14:textId="77777777" w:rsidR="00453B89" w:rsidRPr="0095112F" w:rsidRDefault="00453B89">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nil"/>
              <w:right w:val="nil"/>
            </w:tcBorders>
            <w:noWrap/>
            <w:vAlign w:val="center"/>
            <w:hideMark/>
          </w:tcPr>
          <w:p w14:paraId="78A3228B" w14:textId="77777777" w:rsidR="00453B89" w:rsidRPr="0095112F" w:rsidRDefault="00453B89">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61" w:type="dxa"/>
            <w:tcBorders>
              <w:top w:val="nil"/>
              <w:left w:val="single" w:sz="4" w:space="0" w:color="auto"/>
              <w:bottom w:val="nil"/>
              <w:right w:val="nil"/>
            </w:tcBorders>
            <w:noWrap/>
            <w:vAlign w:val="center"/>
            <w:hideMark/>
          </w:tcPr>
          <w:p w14:paraId="25712615" w14:textId="77777777" w:rsidR="00453B89" w:rsidRPr="0095112F" w:rsidRDefault="00453B89">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43" w:type="dxa"/>
            <w:gridSpan w:val="2"/>
            <w:tcBorders>
              <w:top w:val="nil"/>
              <w:left w:val="single" w:sz="4" w:space="0" w:color="auto"/>
              <w:bottom w:val="nil"/>
              <w:right w:val="nil"/>
            </w:tcBorders>
            <w:noWrap/>
            <w:vAlign w:val="center"/>
            <w:hideMark/>
          </w:tcPr>
          <w:p w14:paraId="00CEC993" w14:textId="77777777" w:rsidR="00453B89" w:rsidRPr="0095112F" w:rsidRDefault="00453B89">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6" w:type="dxa"/>
            <w:tcBorders>
              <w:top w:val="nil"/>
              <w:left w:val="single" w:sz="4" w:space="0" w:color="auto"/>
              <w:bottom w:val="nil"/>
              <w:right w:val="nil"/>
            </w:tcBorders>
            <w:noWrap/>
            <w:vAlign w:val="center"/>
            <w:hideMark/>
          </w:tcPr>
          <w:p w14:paraId="1817CCFE" w14:textId="77777777" w:rsidR="00453B89" w:rsidRPr="0095112F" w:rsidRDefault="00453B89">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405" w:type="dxa"/>
            <w:tcBorders>
              <w:top w:val="nil"/>
              <w:left w:val="nil"/>
              <w:bottom w:val="nil"/>
              <w:right w:val="nil"/>
            </w:tcBorders>
            <w:shd w:val="clear" w:color="auto" w:fill="969696"/>
            <w:noWrap/>
            <w:vAlign w:val="center"/>
            <w:hideMark/>
          </w:tcPr>
          <w:p w14:paraId="641FF5C7" w14:textId="77777777" w:rsidR="00453B89" w:rsidRPr="0095112F" w:rsidRDefault="00453B89">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nil"/>
              <w:right w:val="nil"/>
            </w:tcBorders>
            <w:noWrap/>
            <w:vAlign w:val="center"/>
            <w:hideMark/>
          </w:tcPr>
          <w:p w14:paraId="3924BFE7" w14:textId="77777777" w:rsidR="00453B89" w:rsidRPr="0095112F" w:rsidRDefault="00453B89">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51E2D297" w14:textId="77777777" w:rsidR="00453B89" w:rsidRPr="0095112F" w:rsidRDefault="00453B89">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05B5C440" w14:textId="77777777" w:rsidR="00453B89" w:rsidRPr="0095112F" w:rsidRDefault="00453B89">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6" w:type="dxa"/>
            <w:tcBorders>
              <w:top w:val="nil"/>
              <w:left w:val="single" w:sz="4" w:space="0" w:color="auto"/>
              <w:bottom w:val="nil"/>
              <w:right w:val="nil"/>
            </w:tcBorders>
            <w:noWrap/>
            <w:vAlign w:val="center"/>
            <w:hideMark/>
          </w:tcPr>
          <w:p w14:paraId="2936731D" w14:textId="77777777" w:rsidR="00453B89" w:rsidRPr="0095112F" w:rsidRDefault="00453B89">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405" w:type="dxa"/>
            <w:tcBorders>
              <w:top w:val="nil"/>
              <w:left w:val="nil"/>
              <w:bottom w:val="nil"/>
              <w:right w:val="single" w:sz="8" w:space="0" w:color="auto"/>
            </w:tcBorders>
            <w:shd w:val="clear" w:color="auto" w:fill="969696"/>
            <w:noWrap/>
            <w:vAlign w:val="center"/>
            <w:hideMark/>
          </w:tcPr>
          <w:p w14:paraId="28EAEB4A" w14:textId="77777777" w:rsidR="00453B89" w:rsidRPr="0095112F" w:rsidRDefault="00453B89">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028" w:type="dxa"/>
            <w:tcBorders>
              <w:top w:val="nil"/>
              <w:left w:val="nil"/>
              <w:bottom w:val="nil"/>
              <w:right w:val="nil"/>
            </w:tcBorders>
            <w:noWrap/>
            <w:vAlign w:val="center"/>
            <w:hideMark/>
          </w:tcPr>
          <w:p w14:paraId="575141DC" w14:textId="77777777" w:rsidR="00453B89" w:rsidRPr="0095112F" w:rsidRDefault="00453B89">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635875CD" w14:textId="77777777" w:rsidR="00453B89" w:rsidRPr="0095112F" w:rsidRDefault="00453B89">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48" w:type="dxa"/>
            <w:tcBorders>
              <w:top w:val="nil"/>
              <w:left w:val="nil"/>
              <w:bottom w:val="nil"/>
              <w:right w:val="single" w:sz="8" w:space="0" w:color="auto"/>
            </w:tcBorders>
            <w:noWrap/>
            <w:vAlign w:val="center"/>
            <w:hideMark/>
          </w:tcPr>
          <w:p w14:paraId="53AC345B" w14:textId="77777777" w:rsidR="00453B89" w:rsidRPr="0095112F" w:rsidRDefault="00453B89">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783610" w:rsidRPr="0095112F" w14:paraId="3EC3B737" w14:textId="77777777" w:rsidTr="00453B89">
        <w:trPr>
          <w:trHeight w:val="1020"/>
        </w:trPr>
        <w:tc>
          <w:tcPr>
            <w:tcW w:w="1882" w:type="dxa"/>
            <w:gridSpan w:val="3"/>
            <w:vMerge w:val="restart"/>
            <w:tcBorders>
              <w:top w:val="single" w:sz="8" w:space="0" w:color="auto"/>
              <w:left w:val="single" w:sz="8" w:space="0" w:color="auto"/>
              <w:bottom w:val="single" w:sz="8" w:space="0" w:color="000000" w:themeColor="text1"/>
              <w:right w:val="nil"/>
            </w:tcBorders>
            <w:vAlign w:val="center"/>
            <w:hideMark/>
          </w:tcPr>
          <w:p w14:paraId="022E3079" w14:textId="1FC39494" w:rsidR="00F53E54" w:rsidRPr="0095112F" w:rsidRDefault="008C35A3">
            <w:pPr>
              <w:spacing w:after="0"/>
              <w:rPr>
                <w:rFonts w:ascii="Calibri" w:eastAsia="Times New Roman" w:hAnsi="Calibri" w:cs="Calibri"/>
                <w:noProof/>
                <w:color w:val="000000"/>
                <w:szCs w:val="20"/>
                <w:lang w:val="en-IE" w:eastAsia="en-IE"/>
              </w:rPr>
            </w:pPr>
            <w:r w:rsidRPr="008C35A3">
              <w:rPr>
                <w:rFonts w:ascii="Calibri" w:eastAsia="Times New Roman" w:hAnsi="Calibri" w:cs="Calibri"/>
                <w:noProof/>
                <w:color w:val="000000"/>
                <w:szCs w:val="20"/>
                <w:lang w:val="en-IE" w:eastAsia="en-IE"/>
              </w:rPr>
              <w:t>In the context of the company registration, ensure that the information about the company is transferred from the business register to the authority in charge of issuing the TIN, to social security authority and to the beneficial ownership register, with any beneficial ownership information as part of the template, without the 28th regime company needing to submit it again (“once-only principle”).</w:t>
            </w:r>
          </w:p>
        </w:tc>
        <w:tc>
          <w:tcPr>
            <w:tcW w:w="272" w:type="dxa"/>
            <w:tcBorders>
              <w:top w:val="nil"/>
              <w:left w:val="nil"/>
              <w:bottom w:val="nil"/>
              <w:right w:val="single" w:sz="4" w:space="0" w:color="auto"/>
            </w:tcBorders>
            <w:shd w:val="clear" w:color="auto" w:fill="969696"/>
            <w:vAlign w:val="center"/>
            <w:hideMark/>
          </w:tcPr>
          <w:p w14:paraId="41064595"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single" w:sz="4" w:space="0" w:color="auto"/>
              <w:left w:val="single" w:sz="4" w:space="0" w:color="auto"/>
              <w:bottom w:val="single" w:sz="4" w:space="0" w:color="auto"/>
              <w:right w:val="single" w:sz="4" w:space="0" w:color="auto"/>
            </w:tcBorders>
            <w:vAlign w:val="center"/>
            <w:hideMark/>
          </w:tcPr>
          <w:p w14:paraId="28A844BE" w14:textId="5F688E8A" w:rsidR="00F53E54" w:rsidRPr="0095112F" w:rsidRDefault="003B0902">
            <w:pPr>
              <w:spacing w:after="0"/>
              <w:jc w:val="center"/>
              <w:rPr>
                <w:rFonts w:ascii="Calibri" w:eastAsia="Times New Roman" w:hAnsi="Calibri" w:cs="Calibri"/>
                <w:noProof/>
                <w:color w:val="000000"/>
                <w:szCs w:val="20"/>
                <w:lang w:val="en-IE" w:eastAsia="en-IE"/>
              </w:rPr>
            </w:pPr>
            <w:r w:rsidRPr="003B0902">
              <w:rPr>
                <w:rFonts w:ascii="Calibri" w:eastAsia="Times New Roman" w:hAnsi="Calibri" w:cs="Calibri"/>
                <w:noProof/>
                <w:color w:val="000000"/>
                <w:szCs w:val="20"/>
                <w:lang w:val="en-IE" w:eastAsia="en-IE"/>
              </w:rPr>
              <w:t>277</w:t>
            </w:r>
            <w:r>
              <w:rPr>
                <w:rFonts w:ascii="Calibri" w:eastAsia="Times New Roman" w:hAnsi="Calibri" w:cs="Calibri"/>
                <w:noProof/>
                <w:color w:val="000000"/>
                <w:szCs w:val="20"/>
                <w:lang w:val="en-IE" w:eastAsia="en-IE"/>
              </w:rPr>
              <w:t>,</w:t>
            </w:r>
            <w:r w:rsidRPr="003B0902">
              <w:rPr>
                <w:rFonts w:ascii="Calibri" w:eastAsia="Times New Roman" w:hAnsi="Calibri" w:cs="Calibri"/>
                <w:noProof/>
                <w:color w:val="000000"/>
                <w:szCs w:val="20"/>
                <w:lang w:val="en-IE" w:eastAsia="en-IE"/>
              </w:rPr>
              <w:t>958</w:t>
            </w:r>
          </w:p>
        </w:tc>
        <w:tc>
          <w:tcPr>
            <w:tcW w:w="1161" w:type="dxa"/>
            <w:tcBorders>
              <w:top w:val="single" w:sz="4" w:space="0" w:color="auto"/>
              <w:left w:val="nil"/>
              <w:bottom w:val="single" w:sz="4" w:space="0" w:color="auto"/>
              <w:right w:val="single" w:sz="4" w:space="0" w:color="auto"/>
            </w:tcBorders>
            <w:vAlign w:val="center"/>
            <w:hideMark/>
          </w:tcPr>
          <w:p w14:paraId="5A61EECF"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843" w:type="dxa"/>
            <w:gridSpan w:val="2"/>
            <w:tcBorders>
              <w:top w:val="single" w:sz="4" w:space="0" w:color="auto"/>
              <w:left w:val="nil"/>
              <w:bottom w:val="single" w:sz="4" w:space="0" w:color="auto"/>
              <w:right w:val="single" w:sz="4" w:space="0" w:color="auto"/>
            </w:tcBorders>
            <w:vAlign w:val="center"/>
            <w:hideMark/>
          </w:tcPr>
          <w:p w14:paraId="7A136778" w14:textId="77777777" w:rsidR="00F53E54" w:rsidRPr="0095112F" w:rsidRDefault="00F53E54">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27.3%</w:t>
            </w:r>
          </w:p>
        </w:tc>
        <w:tc>
          <w:tcPr>
            <w:tcW w:w="1296" w:type="dxa"/>
            <w:tcBorders>
              <w:top w:val="single" w:sz="4" w:space="0" w:color="auto"/>
              <w:left w:val="nil"/>
              <w:bottom w:val="single" w:sz="4" w:space="0" w:color="auto"/>
              <w:right w:val="single" w:sz="4" w:space="0" w:color="auto"/>
            </w:tcBorders>
            <w:vAlign w:val="center"/>
            <w:hideMark/>
          </w:tcPr>
          <w:p w14:paraId="5575527D"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In 6 MSs, TIN is issued separately (upon request).</w:t>
            </w:r>
          </w:p>
        </w:tc>
        <w:tc>
          <w:tcPr>
            <w:tcW w:w="405" w:type="dxa"/>
            <w:tcBorders>
              <w:top w:val="nil"/>
              <w:left w:val="nil"/>
              <w:bottom w:val="nil"/>
              <w:right w:val="nil"/>
            </w:tcBorders>
            <w:shd w:val="clear" w:color="auto" w:fill="969696"/>
            <w:noWrap/>
            <w:vAlign w:val="center"/>
            <w:hideMark/>
          </w:tcPr>
          <w:p w14:paraId="10EA74D5"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90C6AE"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40.00</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hideMark/>
          </w:tcPr>
          <w:p w14:paraId="0622B6A3"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2.00</w:t>
            </w:r>
          </w:p>
        </w:tc>
        <w:tc>
          <w:tcPr>
            <w:tcW w:w="1295" w:type="dxa"/>
            <w:tcBorders>
              <w:top w:val="single" w:sz="4" w:space="0" w:color="auto"/>
              <w:left w:val="nil"/>
              <w:bottom w:val="single" w:sz="4" w:space="0" w:color="auto"/>
              <w:right w:val="single" w:sz="4" w:space="0" w:color="auto"/>
            </w:tcBorders>
            <w:shd w:val="clear" w:color="auto" w:fill="FFFFFF" w:themeFill="background1"/>
            <w:vAlign w:val="center"/>
            <w:hideMark/>
          </w:tcPr>
          <w:p w14:paraId="7CC5523E"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single" w:sz="4" w:space="0" w:color="auto"/>
              <w:left w:val="nil"/>
              <w:bottom w:val="single" w:sz="4" w:space="0" w:color="auto"/>
              <w:right w:val="single" w:sz="4" w:space="0" w:color="auto"/>
            </w:tcBorders>
            <w:vAlign w:val="center"/>
            <w:hideMark/>
          </w:tcPr>
          <w:p w14:paraId="38F11C38"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xml:space="preserve">Time spent reduction of 2 hours in relation to requesting the TIN in 6 MSs. </w:t>
            </w:r>
          </w:p>
        </w:tc>
        <w:tc>
          <w:tcPr>
            <w:tcW w:w="405" w:type="dxa"/>
            <w:tcBorders>
              <w:top w:val="nil"/>
              <w:left w:val="nil"/>
              <w:bottom w:val="nil"/>
              <w:right w:val="nil"/>
            </w:tcBorders>
            <w:shd w:val="clear" w:color="auto" w:fill="969696"/>
            <w:noWrap/>
            <w:vAlign w:val="center"/>
            <w:hideMark/>
          </w:tcPr>
          <w:p w14:paraId="14D46863"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single" w:sz="4" w:space="0" w:color="auto"/>
              <w:left w:val="single" w:sz="4" w:space="0" w:color="auto"/>
              <w:bottom w:val="single" w:sz="4" w:space="0" w:color="auto"/>
              <w:right w:val="single" w:sz="4" w:space="0" w:color="auto"/>
            </w:tcBorders>
            <w:vAlign w:val="center"/>
            <w:hideMark/>
          </w:tcPr>
          <w:p w14:paraId="33B561DA"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80.00</w:t>
            </w:r>
          </w:p>
        </w:tc>
        <w:tc>
          <w:tcPr>
            <w:tcW w:w="1184" w:type="dxa"/>
            <w:tcBorders>
              <w:top w:val="single" w:sz="4" w:space="0" w:color="auto"/>
              <w:left w:val="nil"/>
              <w:bottom w:val="single" w:sz="4" w:space="0" w:color="auto"/>
              <w:right w:val="single" w:sz="4" w:space="0" w:color="auto"/>
            </w:tcBorders>
            <w:vAlign w:val="center"/>
            <w:hideMark/>
          </w:tcPr>
          <w:p w14:paraId="5077B166" w14:textId="72F7AF43" w:rsidR="00F53E54" w:rsidRPr="0095112F" w:rsidRDefault="00AB73F0">
            <w:pPr>
              <w:spacing w:after="0"/>
              <w:jc w:val="center"/>
              <w:rPr>
                <w:rFonts w:ascii="Calibri" w:eastAsia="Times New Roman" w:hAnsi="Calibri" w:cs="Calibri"/>
                <w:noProof/>
                <w:color w:val="000000"/>
                <w:szCs w:val="20"/>
                <w:lang w:val="en-IE" w:eastAsia="en-IE"/>
              </w:rPr>
            </w:pPr>
            <w:r w:rsidRPr="00AB73F0">
              <w:rPr>
                <w:rFonts w:ascii="Calibri" w:eastAsia="Times New Roman" w:hAnsi="Calibri" w:cs="Calibri"/>
                <w:noProof/>
                <w:color w:val="000000"/>
                <w:szCs w:val="20"/>
                <w:lang w:val="en-IE" w:eastAsia="en-IE"/>
              </w:rPr>
              <w:t>75,827</w:t>
            </w:r>
          </w:p>
        </w:tc>
        <w:tc>
          <w:tcPr>
            <w:tcW w:w="1348" w:type="dxa"/>
            <w:tcBorders>
              <w:top w:val="single" w:sz="4" w:space="0" w:color="auto"/>
              <w:left w:val="nil"/>
              <w:bottom w:val="single" w:sz="4" w:space="0" w:color="auto"/>
              <w:right w:val="single" w:sz="4" w:space="0" w:color="auto"/>
            </w:tcBorders>
            <w:vAlign w:val="center"/>
            <w:hideMark/>
          </w:tcPr>
          <w:p w14:paraId="1ADD81A8" w14:textId="106A7F29" w:rsidR="00F53E54" w:rsidRPr="0095112F" w:rsidRDefault="7D55ABC6"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EUR</w:t>
            </w:r>
            <w:r w:rsidR="7266EECB" w:rsidRPr="6F00936E">
              <w:rPr>
                <w:rFonts w:ascii="Calibri" w:eastAsia="Times New Roman" w:hAnsi="Calibri" w:cs="Calibri"/>
                <w:noProof/>
                <w:lang w:val="en-IE" w:eastAsia="en-IE"/>
              </w:rPr>
              <w:t xml:space="preserve"> 6,066,155</w:t>
            </w:r>
          </w:p>
        </w:tc>
      </w:tr>
      <w:tr w:rsidR="00401FEA" w:rsidRPr="0095112F" w14:paraId="7C688C58" w14:textId="77777777" w:rsidTr="00453B89">
        <w:trPr>
          <w:trHeight w:val="1020"/>
        </w:trPr>
        <w:tc>
          <w:tcPr>
            <w:tcW w:w="1882" w:type="dxa"/>
            <w:gridSpan w:val="3"/>
            <w:vMerge/>
            <w:vAlign w:val="center"/>
            <w:hideMark/>
          </w:tcPr>
          <w:p w14:paraId="755880C2" w14:textId="77777777" w:rsidR="00F53E54" w:rsidRPr="0095112F" w:rsidRDefault="00F53E54">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vAlign w:val="center"/>
            <w:hideMark/>
          </w:tcPr>
          <w:p w14:paraId="5F509320"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4" w:space="0" w:color="auto"/>
              <w:right w:val="single" w:sz="4" w:space="0" w:color="auto"/>
            </w:tcBorders>
            <w:vAlign w:val="center"/>
            <w:hideMark/>
          </w:tcPr>
          <w:p w14:paraId="31292E2F" w14:textId="68B834CB" w:rsidR="00F53E54" w:rsidRPr="0095112F" w:rsidRDefault="003B0902">
            <w:pPr>
              <w:spacing w:after="0"/>
              <w:jc w:val="center"/>
              <w:rPr>
                <w:rFonts w:ascii="Calibri" w:eastAsia="Times New Roman" w:hAnsi="Calibri" w:cs="Calibri"/>
                <w:noProof/>
                <w:color w:val="000000"/>
                <w:szCs w:val="20"/>
                <w:lang w:val="en-IE" w:eastAsia="en-IE"/>
              </w:rPr>
            </w:pPr>
            <w:r w:rsidRPr="003B0902">
              <w:rPr>
                <w:rFonts w:ascii="Calibri" w:eastAsia="Times New Roman" w:hAnsi="Calibri" w:cs="Calibri"/>
                <w:noProof/>
                <w:color w:val="000000"/>
                <w:szCs w:val="20"/>
                <w:lang w:val="en-IE" w:eastAsia="en-IE"/>
              </w:rPr>
              <w:t>277</w:t>
            </w:r>
            <w:r>
              <w:rPr>
                <w:rFonts w:ascii="Calibri" w:eastAsia="Times New Roman" w:hAnsi="Calibri" w:cs="Calibri"/>
                <w:noProof/>
                <w:color w:val="000000"/>
                <w:szCs w:val="20"/>
                <w:lang w:val="en-IE" w:eastAsia="en-IE"/>
              </w:rPr>
              <w:t>,</w:t>
            </w:r>
            <w:r w:rsidRPr="003B0902">
              <w:rPr>
                <w:rFonts w:ascii="Calibri" w:eastAsia="Times New Roman" w:hAnsi="Calibri" w:cs="Calibri"/>
                <w:noProof/>
                <w:color w:val="000000"/>
                <w:szCs w:val="20"/>
                <w:lang w:val="en-IE" w:eastAsia="en-IE"/>
              </w:rPr>
              <w:t>958</w:t>
            </w:r>
          </w:p>
        </w:tc>
        <w:tc>
          <w:tcPr>
            <w:tcW w:w="1161" w:type="dxa"/>
            <w:tcBorders>
              <w:top w:val="nil"/>
              <w:left w:val="nil"/>
              <w:bottom w:val="single" w:sz="4" w:space="0" w:color="auto"/>
              <w:right w:val="single" w:sz="4" w:space="0" w:color="auto"/>
            </w:tcBorders>
            <w:vAlign w:val="center"/>
            <w:hideMark/>
          </w:tcPr>
          <w:p w14:paraId="13DD88B5"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843" w:type="dxa"/>
            <w:gridSpan w:val="2"/>
            <w:tcBorders>
              <w:top w:val="nil"/>
              <w:left w:val="nil"/>
              <w:bottom w:val="single" w:sz="4" w:space="0" w:color="auto"/>
              <w:right w:val="single" w:sz="4" w:space="0" w:color="auto"/>
            </w:tcBorders>
            <w:vAlign w:val="center"/>
            <w:hideMark/>
          </w:tcPr>
          <w:p w14:paraId="34D2541B" w14:textId="77777777" w:rsidR="00F53E54" w:rsidRPr="0095112F" w:rsidRDefault="00F53E54">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47.9%</w:t>
            </w:r>
          </w:p>
        </w:tc>
        <w:tc>
          <w:tcPr>
            <w:tcW w:w="1296" w:type="dxa"/>
            <w:tcBorders>
              <w:top w:val="nil"/>
              <w:left w:val="nil"/>
              <w:bottom w:val="single" w:sz="4" w:space="0" w:color="auto"/>
              <w:right w:val="single" w:sz="4" w:space="0" w:color="auto"/>
            </w:tcBorders>
            <w:vAlign w:val="center"/>
            <w:hideMark/>
          </w:tcPr>
          <w:p w14:paraId="03F16D2C"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In 14 MSs, the SSN is issued separately (upon request).</w:t>
            </w:r>
          </w:p>
        </w:tc>
        <w:tc>
          <w:tcPr>
            <w:tcW w:w="405" w:type="dxa"/>
            <w:tcBorders>
              <w:top w:val="nil"/>
              <w:left w:val="nil"/>
              <w:bottom w:val="nil"/>
              <w:right w:val="nil"/>
            </w:tcBorders>
            <w:shd w:val="clear" w:color="auto" w:fill="969696"/>
            <w:noWrap/>
            <w:vAlign w:val="center"/>
            <w:hideMark/>
          </w:tcPr>
          <w:p w14:paraId="5FF5F0E6"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277F11"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40.00</w:t>
            </w:r>
          </w:p>
        </w:tc>
        <w:tc>
          <w:tcPr>
            <w:tcW w:w="850" w:type="dxa"/>
            <w:tcBorders>
              <w:top w:val="nil"/>
              <w:left w:val="nil"/>
              <w:bottom w:val="single" w:sz="4" w:space="0" w:color="auto"/>
              <w:right w:val="single" w:sz="4" w:space="0" w:color="auto"/>
            </w:tcBorders>
            <w:shd w:val="clear" w:color="auto" w:fill="FFFFFF" w:themeFill="background1"/>
            <w:vAlign w:val="center"/>
            <w:hideMark/>
          </w:tcPr>
          <w:p w14:paraId="7B42B55E"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2.00</w:t>
            </w:r>
          </w:p>
        </w:tc>
        <w:tc>
          <w:tcPr>
            <w:tcW w:w="1295" w:type="dxa"/>
            <w:tcBorders>
              <w:top w:val="nil"/>
              <w:left w:val="nil"/>
              <w:bottom w:val="single" w:sz="4" w:space="0" w:color="auto"/>
              <w:right w:val="single" w:sz="4" w:space="0" w:color="auto"/>
            </w:tcBorders>
            <w:shd w:val="clear" w:color="auto" w:fill="FFFFFF" w:themeFill="background1"/>
            <w:vAlign w:val="center"/>
            <w:hideMark/>
          </w:tcPr>
          <w:p w14:paraId="4934E3A4"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nil"/>
              <w:left w:val="nil"/>
              <w:bottom w:val="single" w:sz="4" w:space="0" w:color="auto"/>
              <w:right w:val="single" w:sz="4" w:space="0" w:color="auto"/>
            </w:tcBorders>
            <w:vAlign w:val="center"/>
            <w:hideMark/>
          </w:tcPr>
          <w:p w14:paraId="0D0DD43C"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xml:space="preserve">Time spent reduction of 2 hours in relation to requesting the SSN in 14 MSs. </w:t>
            </w:r>
          </w:p>
        </w:tc>
        <w:tc>
          <w:tcPr>
            <w:tcW w:w="405" w:type="dxa"/>
            <w:tcBorders>
              <w:top w:val="nil"/>
              <w:left w:val="nil"/>
              <w:bottom w:val="nil"/>
              <w:right w:val="nil"/>
            </w:tcBorders>
            <w:shd w:val="clear" w:color="auto" w:fill="969696"/>
            <w:noWrap/>
            <w:vAlign w:val="center"/>
            <w:hideMark/>
          </w:tcPr>
          <w:p w14:paraId="6693CA7A"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nil"/>
              <w:left w:val="single" w:sz="4" w:space="0" w:color="auto"/>
              <w:bottom w:val="single" w:sz="4" w:space="0" w:color="auto"/>
              <w:right w:val="single" w:sz="4" w:space="0" w:color="auto"/>
            </w:tcBorders>
            <w:vAlign w:val="center"/>
            <w:hideMark/>
          </w:tcPr>
          <w:p w14:paraId="4ECB8B80"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80.00</w:t>
            </w:r>
          </w:p>
        </w:tc>
        <w:tc>
          <w:tcPr>
            <w:tcW w:w="1184" w:type="dxa"/>
            <w:tcBorders>
              <w:top w:val="nil"/>
              <w:left w:val="nil"/>
              <w:bottom w:val="single" w:sz="4" w:space="0" w:color="auto"/>
              <w:right w:val="single" w:sz="4" w:space="0" w:color="auto"/>
            </w:tcBorders>
            <w:vAlign w:val="center"/>
            <w:hideMark/>
          </w:tcPr>
          <w:p w14:paraId="71B39DE4" w14:textId="615030AF" w:rsidR="00F53E54" w:rsidRPr="0095112F" w:rsidRDefault="00BB0FC4">
            <w:pPr>
              <w:spacing w:after="0"/>
              <w:jc w:val="center"/>
              <w:rPr>
                <w:rFonts w:ascii="Calibri" w:eastAsia="Times New Roman" w:hAnsi="Calibri" w:cs="Calibri"/>
                <w:noProof/>
                <w:color w:val="000000"/>
                <w:szCs w:val="20"/>
                <w:lang w:val="en-IE" w:eastAsia="en-IE"/>
              </w:rPr>
            </w:pPr>
            <w:r w:rsidRPr="00BB0FC4">
              <w:rPr>
                <w:rFonts w:ascii="Calibri" w:eastAsia="Times New Roman" w:hAnsi="Calibri" w:cs="Calibri"/>
                <w:noProof/>
                <w:color w:val="000000"/>
                <w:szCs w:val="20"/>
                <w:lang w:val="en-IE" w:eastAsia="en-IE"/>
              </w:rPr>
              <w:t>133,114</w:t>
            </w:r>
          </w:p>
        </w:tc>
        <w:tc>
          <w:tcPr>
            <w:tcW w:w="1348" w:type="dxa"/>
            <w:tcBorders>
              <w:top w:val="nil"/>
              <w:left w:val="nil"/>
              <w:bottom w:val="single" w:sz="4" w:space="0" w:color="auto"/>
              <w:right w:val="single" w:sz="4" w:space="0" w:color="auto"/>
            </w:tcBorders>
            <w:vAlign w:val="center"/>
            <w:hideMark/>
          </w:tcPr>
          <w:p w14:paraId="12BD1F5A" w14:textId="117BFFE1" w:rsidR="00F53E54" w:rsidRPr="0095112F" w:rsidRDefault="7D55ABC6"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EUR</w:t>
            </w:r>
            <w:r w:rsidR="0FA5CCD7" w:rsidRPr="6F00936E">
              <w:rPr>
                <w:rFonts w:ascii="Calibri" w:eastAsia="Times New Roman" w:hAnsi="Calibri" w:cs="Calibri"/>
                <w:noProof/>
                <w:lang w:val="en-IE" w:eastAsia="en-IE"/>
              </w:rPr>
              <w:t xml:space="preserve"> 10,649,127</w:t>
            </w:r>
          </w:p>
        </w:tc>
      </w:tr>
      <w:tr w:rsidR="00401FEA" w:rsidRPr="0095112F" w14:paraId="5FCCD39C" w14:textId="77777777" w:rsidTr="00453B89">
        <w:trPr>
          <w:trHeight w:val="912"/>
        </w:trPr>
        <w:tc>
          <w:tcPr>
            <w:tcW w:w="1882" w:type="dxa"/>
            <w:gridSpan w:val="3"/>
            <w:vMerge/>
            <w:vAlign w:val="center"/>
            <w:hideMark/>
          </w:tcPr>
          <w:p w14:paraId="51DD0534" w14:textId="77777777" w:rsidR="00F53E54" w:rsidRPr="0095112F" w:rsidRDefault="00F53E54">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vAlign w:val="center"/>
            <w:hideMark/>
          </w:tcPr>
          <w:p w14:paraId="271D71D6"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4" w:space="0" w:color="auto"/>
              <w:right w:val="single" w:sz="4" w:space="0" w:color="auto"/>
            </w:tcBorders>
            <w:vAlign w:val="center"/>
            <w:hideMark/>
          </w:tcPr>
          <w:p w14:paraId="2FA4DF55" w14:textId="75440F60" w:rsidR="00F53E54" w:rsidRPr="0095112F" w:rsidRDefault="003B0902">
            <w:pPr>
              <w:spacing w:after="0"/>
              <w:jc w:val="center"/>
              <w:rPr>
                <w:rFonts w:ascii="Calibri" w:eastAsia="Times New Roman" w:hAnsi="Calibri" w:cs="Calibri"/>
                <w:noProof/>
                <w:color w:val="000000"/>
                <w:szCs w:val="20"/>
                <w:lang w:val="en-IE" w:eastAsia="en-IE"/>
              </w:rPr>
            </w:pPr>
            <w:r w:rsidRPr="003B0902">
              <w:rPr>
                <w:rFonts w:ascii="Calibri" w:eastAsia="Times New Roman" w:hAnsi="Calibri" w:cs="Calibri"/>
                <w:noProof/>
                <w:color w:val="000000"/>
                <w:szCs w:val="20"/>
                <w:lang w:val="en-IE" w:eastAsia="en-IE"/>
              </w:rPr>
              <w:t>277</w:t>
            </w:r>
            <w:r>
              <w:rPr>
                <w:rFonts w:ascii="Calibri" w:eastAsia="Times New Roman" w:hAnsi="Calibri" w:cs="Calibri"/>
                <w:noProof/>
                <w:color w:val="000000"/>
                <w:szCs w:val="20"/>
                <w:lang w:val="en-IE" w:eastAsia="en-IE"/>
              </w:rPr>
              <w:t>,</w:t>
            </w:r>
            <w:r w:rsidRPr="003B0902">
              <w:rPr>
                <w:rFonts w:ascii="Calibri" w:eastAsia="Times New Roman" w:hAnsi="Calibri" w:cs="Calibri"/>
                <w:noProof/>
                <w:color w:val="000000"/>
                <w:szCs w:val="20"/>
                <w:lang w:val="en-IE" w:eastAsia="en-IE"/>
              </w:rPr>
              <w:t>958</w:t>
            </w:r>
          </w:p>
        </w:tc>
        <w:tc>
          <w:tcPr>
            <w:tcW w:w="1161" w:type="dxa"/>
            <w:tcBorders>
              <w:top w:val="nil"/>
              <w:left w:val="nil"/>
              <w:bottom w:val="single" w:sz="4" w:space="0" w:color="auto"/>
              <w:right w:val="single" w:sz="4" w:space="0" w:color="auto"/>
            </w:tcBorders>
            <w:vAlign w:val="center"/>
            <w:hideMark/>
          </w:tcPr>
          <w:p w14:paraId="63188962"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843" w:type="dxa"/>
            <w:gridSpan w:val="2"/>
            <w:tcBorders>
              <w:top w:val="nil"/>
              <w:left w:val="nil"/>
              <w:bottom w:val="single" w:sz="4" w:space="0" w:color="auto"/>
              <w:right w:val="single" w:sz="4" w:space="0" w:color="auto"/>
            </w:tcBorders>
            <w:vAlign w:val="center"/>
            <w:hideMark/>
          </w:tcPr>
          <w:p w14:paraId="3F5B55B6" w14:textId="77777777" w:rsidR="00F53E54" w:rsidRPr="0095112F" w:rsidRDefault="00F53E54">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34.2%</w:t>
            </w:r>
          </w:p>
        </w:tc>
        <w:tc>
          <w:tcPr>
            <w:tcW w:w="1296" w:type="dxa"/>
            <w:tcBorders>
              <w:top w:val="nil"/>
              <w:left w:val="nil"/>
              <w:bottom w:val="single" w:sz="4" w:space="0" w:color="auto"/>
              <w:right w:val="single" w:sz="4" w:space="0" w:color="auto"/>
            </w:tcBorders>
            <w:vAlign w:val="center"/>
            <w:hideMark/>
          </w:tcPr>
          <w:p w14:paraId="2DF3EA2E"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In 10 Member States  beneficial ownership register is a separate register.</w:t>
            </w:r>
          </w:p>
        </w:tc>
        <w:tc>
          <w:tcPr>
            <w:tcW w:w="405" w:type="dxa"/>
            <w:tcBorders>
              <w:top w:val="nil"/>
              <w:left w:val="nil"/>
              <w:bottom w:val="nil"/>
              <w:right w:val="nil"/>
            </w:tcBorders>
            <w:shd w:val="clear" w:color="auto" w:fill="969696"/>
            <w:noWrap/>
            <w:vAlign w:val="center"/>
            <w:hideMark/>
          </w:tcPr>
          <w:p w14:paraId="016BAFFF"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4" w:space="0" w:color="auto"/>
              <w:right w:val="single" w:sz="4" w:space="0" w:color="auto"/>
            </w:tcBorders>
            <w:shd w:val="clear" w:color="auto" w:fill="FFFFFF" w:themeFill="background1"/>
            <w:vAlign w:val="center"/>
            <w:hideMark/>
          </w:tcPr>
          <w:p w14:paraId="1B4B6F7A"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40.00</w:t>
            </w:r>
          </w:p>
        </w:tc>
        <w:tc>
          <w:tcPr>
            <w:tcW w:w="850" w:type="dxa"/>
            <w:tcBorders>
              <w:top w:val="nil"/>
              <w:left w:val="nil"/>
              <w:bottom w:val="single" w:sz="4" w:space="0" w:color="auto"/>
              <w:right w:val="single" w:sz="4" w:space="0" w:color="auto"/>
            </w:tcBorders>
            <w:shd w:val="clear" w:color="auto" w:fill="FFFFFF" w:themeFill="background1"/>
            <w:vAlign w:val="center"/>
            <w:hideMark/>
          </w:tcPr>
          <w:p w14:paraId="38006ABF"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2.00</w:t>
            </w:r>
          </w:p>
        </w:tc>
        <w:tc>
          <w:tcPr>
            <w:tcW w:w="1295" w:type="dxa"/>
            <w:tcBorders>
              <w:top w:val="nil"/>
              <w:left w:val="nil"/>
              <w:bottom w:val="single" w:sz="4" w:space="0" w:color="auto"/>
              <w:right w:val="single" w:sz="4" w:space="0" w:color="auto"/>
            </w:tcBorders>
            <w:shd w:val="clear" w:color="auto" w:fill="FFFFFF" w:themeFill="background1"/>
            <w:vAlign w:val="center"/>
            <w:hideMark/>
          </w:tcPr>
          <w:p w14:paraId="030BF50C"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21.00</w:t>
            </w:r>
          </w:p>
        </w:tc>
        <w:tc>
          <w:tcPr>
            <w:tcW w:w="1296" w:type="dxa"/>
            <w:tcBorders>
              <w:top w:val="nil"/>
              <w:left w:val="nil"/>
              <w:bottom w:val="single" w:sz="4" w:space="0" w:color="auto"/>
              <w:right w:val="single" w:sz="4" w:space="0" w:color="auto"/>
            </w:tcBorders>
            <w:vAlign w:val="center"/>
            <w:hideMark/>
          </w:tcPr>
          <w:p w14:paraId="7CC48C72"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xml:space="preserve">Time spent reduction of 2 hours and beneficial ownership register filing cost reduction in 10 MSs. </w:t>
            </w:r>
          </w:p>
        </w:tc>
        <w:tc>
          <w:tcPr>
            <w:tcW w:w="405" w:type="dxa"/>
            <w:tcBorders>
              <w:top w:val="nil"/>
              <w:left w:val="nil"/>
              <w:bottom w:val="nil"/>
              <w:right w:val="nil"/>
            </w:tcBorders>
            <w:shd w:val="clear" w:color="auto" w:fill="969696"/>
            <w:noWrap/>
            <w:vAlign w:val="center"/>
            <w:hideMark/>
          </w:tcPr>
          <w:p w14:paraId="1B4CEF60"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nil"/>
              <w:left w:val="single" w:sz="4" w:space="0" w:color="auto"/>
              <w:bottom w:val="single" w:sz="4" w:space="0" w:color="auto"/>
              <w:right w:val="single" w:sz="4" w:space="0" w:color="auto"/>
            </w:tcBorders>
            <w:vAlign w:val="center"/>
            <w:hideMark/>
          </w:tcPr>
          <w:p w14:paraId="7187E6F3"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101.00</w:t>
            </w:r>
          </w:p>
        </w:tc>
        <w:tc>
          <w:tcPr>
            <w:tcW w:w="1184" w:type="dxa"/>
            <w:tcBorders>
              <w:top w:val="nil"/>
              <w:left w:val="nil"/>
              <w:bottom w:val="single" w:sz="4" w:space="0" w:color="auto"/>
              <w:right w:val="single" w:sz="4" w:space="0" w:color="auto"/>
            </w:tcBorders>
            <w:vAlign w:val="center"/>
            <w:hideMark/>
          </w:tcPr>
          <w:p w14:paraId="05B3F782" w14:textId="0A68A0E3" w:rsidR="00F53E54" w:rsidRPr="0095112F" w:rsidRDefault="008C171B">
            <w:pPr>
              <w:spacing w:after="0"/>
              <w:jc w:val="center"/>
              <w:rPr>
                <w:rFonts w:ascii="Calibri" w:eastAsia="Times New Roman" w:hAnsi="Calibri" w:cs="Calibri"/>
                <w:noProof/>
                <w:color w:val="000000"/>
                <w:szCs w:val="20"/>
                <w:lang w:val="en-IE" w:eastAsia="en-IE"/>
              </w:rPr>
            </w:pPr>
            <w:r w:rsidRPr="008C171B">
              <w:rPr>
                <w:rFonts w:ascii="Calibri" w:eastAsia="Times New Roman" w:hAnsi="Calibri" w:cs="Calibri"/>
                <w:noProof/>
                <w:color w:val="000000"/>
                <w:szCs w:val="20"/>
                <w:lang w:val="en-IE" w:eastAsia="en-IE"/>
              </w:rPr>
              <w:t>95,062</w:t>
            </w:r>
          </w:p>
        </w:tc>
        <w:tc>
          <w:tcPr>
            <w:tcW w:w="1348" w:type="dxa"/>
            <w:tcBorders>
              <w:top w:val="nil"/>
              <w:left w:val="nil"/>
              <w:bottom w:val="single" w:sz="4" w:space="0" w:color="auto"/>
              <w:right w:val="single" w:sz="4" w:space="0" w:color="auto"/>
            </w:tcBorders>
            <w:vAlign w:val="center"/>
            <w:hideMark/>
          </w:tcPr>
          <w:p w14:paraId="642AFA2F" w14:textId="18D62F05" w:rsidR="00F53E54" w:rsidRPr="0095112F" w:rsidRDefault="5E49A2CA"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EUR</w:t>
            </w:r>
            <w:r w:rsidR="167048D9" w:rsidRPr="6F00936E">
              <w:rPr>
                <w:rFonts w:ascii="Calibri" w:eastAsia="Times New Roman" w:hAnsi="Calibri" w:cs="Calibri"/>
                <w:noProof/>
                <w:lang w:val="en-IE" w:eastAsia="en-IE"/>
              </w:rPr>
              <w:t xml:space="preserve"> 9,601,225</w:t>
            </w:r>
          </w:p>
        </w:tc>
      </w:tr>
      <w:tr w:rsidR="00783610" w:rsidRPr="0095112F" w14:paraId="6CED561C" w14:textId="77777777" w:rsidTr="00453B89">
        <w:trPr>
          <w:trHeight w:val="300"/>
        </w:trPr>
        <w:tc>
          <w:tcPr>
            <w:tcW w:w="382" w:type="dxa"/>
            <w:tcBorders>
              <w:top w:val="nil"/>
              <w:left w:val="single" w:sz="8" w:space="0" w:color="auto"/>
              <w:bottom w:val="single" w:sz="8" w:space="0" w:color="auto"/>
              <w:right w:val="nil"/>
            </w:tcBorders>
            <w:shd w:val="clear" w:color="auto" w:fill="305496"/>
            <w:noWrap/>
            <w:vAlign w:val="center"/>
            <w:hideMark/>
          </w:tcPr>
          <w:p w14:paraId="4FDEEF26"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83" w:type="dxa"/>
            <w:tcBorders>
              <w:top w:val="nil"/>
              <w:left w:val="nil"/>
              <w:bottom w:val="single" w:sz="8" w:space="0" w:color="auto"/>
              <w:right w:val="nil"/>
            </w:tcBorders>
            <w:shd w:val="clear" w:color="auto" w:fill="305496"/>
            <w:noWrap/>
            <w:vAlign w:val="center"/>
            <w:hideMark/>
          </w:tcPr>
          <w:p w14:paraId="368958BA"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17" w:type="dxa"/>
            <w:tcBorders>
              <w:top w:val="nil"/>
              <w:left w:val="nil"/>
              <w:bottom w:val="single" w:sz="8" w:space="0" w:color="auto"/>
              <w:right w:val="nil"/>
            </w:tcBorders>
            <w:shd w:val="clear" w:color="auto" w:fill="305496"/>
            <w:noWrap/>
            <w:vAlign w:val="center"/>
            <w:hideMark/>
          </w:tcPr>
          <w:p w14:paraId="4E1D9BD4"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60F0000F"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auto"/>
              <w:right w:val="nil"/>
            </w:tcBorders>
            <w:shd w:val="clear" w:color="auto" w:fill="8EA9DB"/>
            <w:noWrap/>
            <w:vAlign w:val="center"/>
            <w:hideMark/>
          </w:tcPr>
          <w:p w14:paraId="723F3CCD"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7F0C8040"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43" w:type="dxa"/>
            <w:gridSpan w:val="2"/>
            <w:tcBorders>
              <w:top w:val="nil"/>
              <w:left w:val="single" w:sz="4" w:space="0" w:color="auto"/>
              <w:bottom w:val="single" w:sz="8" w:space="0" w:color="auto"/>
              <w:right w:val="nil"/>
            </w:tcBorders>
            <w:shd w:val="clear" w:color="auto" w:fill="8EA9DB"/>
            <w:noWrap/>
            <w:vAlign w:val="center"/>
            <w:hideMark/>
          </w:tcPr>
          <w:p w14:paraId="1DA11A27"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6" w:type="dxa"/>
            <w:tcBorders>
              <w:top w:val="nil"/>
              <w:left w:val="single" w:sz="4" w:space="0" w:color="auto"/>
              <w:bottom w:val="single" w:sz="8" w:space="0" w:color="auto"/>
              <w:right w:val="nil"/>
            </w:tcBorders>
            <w:shd w:val="clear" w:color="auto" w:fill="8EA9DB"/>
            <w:noWrap/>
            <w:vAlign w:val="center"/>
            <w:hideMark/>
          </w:tcPr>
          <w:p w14:paraId="48750A3B"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405" w:type="dxa"/>
            <w:tcBorders>
              <w:top w:val="nil"/>
              <w:left w:val="nil"/>
              <w:bottom w:val="nil"/>
              <w:right w:val="nil"/>
            </w:tcBorders>
            <w:shd w:val="clear" w:color="auto" w:fill="969696"/>
            <w:noWrap/>
            <w:vAlign w:val="center"/>
            <w:hideMark/>
          </w:tcPr>
          <w:p w14:paraId="4D165EE3"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auto"/>
              <w:right w:val="nil"/>
            </w:tcBorders>
            <w:shd w:val="clear" w:color="auto" w:fill="C6E0B4"/>
            <w:noWrap/>
            <w:vAlign w:val="center"/>
            <w:hideMark/>
          </w:tcPr>
          <w:p w14:paraId="6E43020E"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1BB2B9E4"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32921B66"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nil"/>
              <w:left w:val="single" w:sz="4" w:space="0" w:color="auto"/>
              <w:bottom w:val="single" w:sz="8" w:space="0" w:color="auto"/>
              <w:right w:val="nil"/>
            </w:tcBorders>
            <w:shd w:val="clear" w:color="auto" w:fill="C6E0B4"/>
            <w:vAlign w:val="center"/>
            <w:hideMark/>
          </w:tcPr>
          <w:p w14:paraId="2A31DB0B"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405" w:type="dxa"/>
            <w:tcBorders>
              <w:top w:val="nil"/>
              <w:left w:val="nil"/>
              <w:bottom w:val="nil"/>
              <w:right w:val="nil"/>
            </w:tcBorders>
            <w:shd w:val="clear" w:color="auto" w:fill="969696"/>
            <w:noWrap/>
            <w:vAlign w:val="center"/>
            <w:hideMark/>
          </w:tcPr>
          <w:p w14:paraId="55ACF74E"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67986205" w14:textId="77777777" w:rsidR="00F53E54" w:rsidRPr="0095112F" w:rsidRDefault="00F53E54">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PO3a</w:t>
            </w:r>
          </w:p>
        </w:tc>
        <w:tc>
          <w:tcPr>
            <w:tcW w:w="1348" w:type="dxa"/>
            <w:tcBorders>
              <w:top w:val="nil"/>
              <w:left w:val="single" w:sz="8" w:space="0" w:color="auto"/>
              <w:bottom w:val="single" w:sz="8" w:space="0" w:color="auto"/>
              <w:right w:val="single" w:sz="8" w:space="0" w:color="auto"/>
            </w:tcBorders>
            <w:shd w:val="clear" w:color="auto" w:fill="DBDBDB"/>
            <w:noWrap/>
            <w:vAlign w:val="center"/>
            <w:hideMark/>
          </w:tcPr>
          <w:p w14:paraId="5BF54F3A" w14:textId="66EA1240" w:rsidR="00F53E54" w:rsidRPr="0095112F" w:rsidRDefault="3B758D0B"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EUR</w:t>
            </w:r>
            <w:r w:rsidR="2646CCD5" w:rsidRPr="6F00936E">
              <w:rPr>
                <w:rFonts w:ascii="Arial" w:eastAsia="Times New Roman" w:hAnsi="Arial" w:cs="Arial"/>
                <w:b/>
                <w:bCs/>
                <w:noProof/>
                <w:lang w:val="en-IE" w:eastAsia="en-IE"/>
              </w:rPr>
              <w:t xml:space="preserve"> 26,316,508</w:t>
            </w:r>
          </w:p>
        </w:tc>
      </w:tr>
      <w:tr w:rsidR="00401FEA" w:rsidRPr="0095112F" w14:paraId="787B3FAD" w14:textId="77777777">
        <w:trPr>
          <w:trHeight w:val="300"/>
        </w:trPr>
        <w:tc>
          <w:tcPr>
            <w:tcW w:w="1882" w:type="dxa"/>
            <w:gridSpan w:val="3"/>
            <w:tcBorders>
              <w:top w:val="single" w:sz="8" w:space="0" w:color="auto"/>
              <w:left w:val="single" w:sz="8" w:space="0" w:color="auto"/>
              <w:bottom w:val="single" w:sz="8" w:space="0" w:color="auto"/>
              <w:right w:val="nil"/>
            </w:tcBorders>
            <w:shd w:val="clear" w:color="auto" w:fill="FFFF00"/>
            <w:noWrap/>
            <w:vAlign w:val="center"/>
            <w:hideMark/>
          </w:tcPr>
          <w:p w14:paraId="637DC893" w14:textId="337E5B0E" w:rsidR="005F51F7" w:rsidRPr="0095112F" w:rsidRDefault="005F51F7" w:rsidP="0070773D">
            <w:pPr>
              <w:spacing w:after="0"/>
              <w:rPr>
                <w:rFonts w:ascii="Arial" w:eastAsia="Times New Roman" w:hAnsi="Arial" w:cs="Arial"/>
                <w:noProof/>
                <w:szCs w:val="20"/>
                <w:lang w:val="en-IE" w:eastAsia="en-IE"/>
              </w:rPr>
            </w:pPr>
            <w:r w:rsidRPr="0095112F">
              <w:rPr>
                <w:rFonts w:ascii="Arial" w:eastAsia="Times New Roman" w:hAnsi="Arial" w:cs="Arial"/>
                <w:b/>
                <w:bCs/>
                <w:noProof/>
                <w:szCs w:val="20"/>
                <w:lang w:val="en-IE" w:eastAsia="en-IE"/>
              </w:rPr>
              <w:t>PO 3b</w:t>
            </w: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6B848A83" w14:textId="77777777" w:rsidR="005F51F7" w:rsidRPr="0095112F" w:rsidRDefault="005F51F7">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nil"/>
              <w:right w:val="nil"/>
            </w:tcBorders>
            <w:noWrap/>
            <w:vAlign w:val="center"/>
            <w:hideMark/>
          </w:tcPr>
          <w:p w14:paraId="56C2BEFF" w14:textId="77777777" w:rsidR="005F51F7" w:rsidRPr="0095112F" w:rsidRDefault="005F51F7">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61" w:type="dxa"/>
            <w:tcBorders>
              <w:top w:val="nil"/>
              <w:left w:val="single" w:sz="4" w:space="0" w:color="auto"/>
              <w:bottom w:val="nil"/>
              <w:right w:val="nil"/>
            </w:tcBorders>
            <w:noWrap/>
            <w:vAlign w:val="center"/>
            <w:hideMark/>
          </w:tcPr>
          <w:p w14:paraId="08261CC6" w14:textId="77777777" w:rsidR="005F51F7" w:rsidRPr="0095112F" w:rsidRDefault="005F51F7">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43" w:type="dxa"/>
            <w:gridSpan w:val="2"/>
            <w:tcBorders>
              <w:top w:val="nil"/>
              <w:left w:val="single" w:sz="4" w:space="0" w:color="auto"/>
              <w:bottom w:val="nil"/>
              <w:right w:val="nil"/>
            </w:tcBorders>
            <w:noWrap/>
            <w:vAlign w:val="center"/>
            <w:hideMark/>
          </w:tcPr>
          <w:p w14:paraId="392A8D21" w14:textId="77777777" w:rsidR="005F51F7" w:rsidRPr="0095112F" w:rsidRDefault="005F51F7">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6" w:type="dxa"/>
            <w:tcBorders>
              <w:top w:val="nil"/>
              <w:left w:val="single" w:sz="4" w:space="0" w:color="auto"/>
              <w:bottom w:val="nil"/>
              <w:right w:val="nil"/>
            </w:tcBorders>
            <w:noWrap/>
            <w:vAlign w:val="center"/>
            <w:hideMark/>
          </w:tcPr>
          <w:p w14:paraId="3075037B" w14:textId="77777777" w:rsidR="005F51F7" w:rsidRPr="0095112F" w:rsidRDefault="005F51F7">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405" w:type="dxa"/>
            <w:tcBorders>
              <w:top w:val="nil"/>
              <w:left w:val="nil"/>
              <w:bottom w:val="nil"/>
              <w:right w:val="nil"/>
            </w:tcBorders>
            <w:shd w:val="clear" w:color="auto" w:fill="969696"/>
            <w:noWrap/>
            <w:vAlign w:val="center"/>
            <w:hideMark/>
          </w:tcPr>
          <w:p w14:paraId="14134D05" w14:textId="77777777" w:rsidR="005F51F7" w:rsidRPr="0095112F" w:rsidRDefault="005F51F7">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nil"/>
              <w:right w:val="nil"/>
            </w:tcBorders>
            <w:noWrap/>
            <w:vAlign w:val="center"/>
            <w:hideMark/>
          </w:tcPr>
          <w:p w14:paraId="437E694C" w14:textId="77777777" w:rsidR="005F51F7" w:rsidRPr="0095112F" w:rsidRDefault="005F51F7">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639A5017" w14:textId="77777777" w:rsidR="005F51F7" w:rsidRPr="0095112F" w:rsidRDefault="005F51F7">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31FF6723" w14:textId="77777777" w:rsidR="005F51F7" w:rsidRPr="0095112F" w:rsidRDefault="005F51F7">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6" w:type="dxa"/>
            <w:tcBorders>
              <w:top w:val="nil"/>
              <w:left w:val="single" w:sz="4" w:space="0" w:color="auto"/>
              <w:bottom w:val="nil"/>
              <w:right w:val="nil"/>
            </w:tcBorders>
            <w:noWrap/>
            <w:vAlign w:val="center"/>
            <w:hideMark/>
          </w:tcPr>
          <w:p w14:paraId="2E2468F5" w14:textId="77777777" w:rsidR="005F51F7" w:rsidRPr="0095112F" w:rsidRDefault="005F51F7">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405" w:type="dxa"/>
            <w:tcBorders>
              <w:top w:val="nil"/>
              <w:left w:val="nil"/>
              <w:bottom w:val="nil"/>
              <w:right w:val="single" w:sz="8" w:space="0" w:color="auto"/>
            </w:tcBorders>
            <w:shd w:val="clear" w:color="auto" w:fill="969696"/>
            <w:noWrap/>
            <w:vAlign w:val="center"/>
            <w:hideMark/>
          </w:tcPr>
          <w:p w14:paraId="45DB3E2B" w14:textId="77777777" w:rsidR="005F51F7" w:rsidRPr="0095112F" w:rsidRDefault="005F51F7">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028" w:type="dxa"/>
            <w:tcBorders>
              <w:top w:val="nil"/>
              <w:left w:val="nil"/>
              <w:bottom w:val="nil"/>
              <w:right w:val="nil"/>
            </w:tcBorders>
            <w:noWrap/>
            <w:vAlign w:val="center"/>
            <w:hideMark/>
          </w:tcPr>
          <w:p w14:paraId="06ECD62F" w14:textId="77777777" w:rsidR="005F51F7" w:rsidRPr="0095112F" w:rsidRDefault="005F51F7">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46E18564" w14:textId="77777777" w:rsidR="005F51F7" w:rsidRPr="0095112F" w:rsidRDefault="005F51F7">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48" w:type="dxa"/>
            <w:tcBorders>
              <w:top w:val="nil"/>
              <w:left w:val="nil"/>
              <w:bottom w:val="nil"/>
              <w:right w:val="single" w:sz="8" w:space="0" w:color="auto"/>
            </w:tcBorders>
            <w:noWrap/>
            <w:vAlign w:val="center"/>
            <w:hideMark/>
          </w:tcPr>
          <w:p w14:paraId="54C72FA2" w14:textId="77777777" w:rsidR="005F51F7" w:rsidRPr="0095112F" w:rsidRDefault="005F51F7">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783610" w:rsidRPr="0095112F" w14:paraId="55926E97" w14:textId="77777777" w:rsidTr="00453B89">
        <w:trPr>
          <w:trHeight w:val="1620"/>
        </w:trPr>
        <w:tc>
          <w:tcPr>
            <w:tcW w:w="1882" w:type="dxa"/>
            <w:gridSpan w:val="3"/>
            <w:tcBorders>
              <w:top w:val="single" w:sz="8" w:space="0" w:color="auto"/>
              <w:left w:val="single" w:sz="8" w:space="0" w:color="auto"/>
              <w:bottom w:val="single" w:sz="8" w:space="0" w:color="auto"/>
              <w:right w:val="nil"/>
            </w:tcBorders>
            <w:vAlign w:val="center"/>
            <w:hideMark/>
          </w:tcPr>
          <w:p w14:paraId="2B46CA48" w14:textId="3D838AD7" w:rsidR="00F53E54" w:rsidRPr="0095112F" w:rsidRDefault="00125217">
            <w:pPr>
              <w:spacing w:after="0"/>
              <w:rPr>
                <w:rFonts w:ascii="Calibri" w:eastAsia="Times New Roman" w:hAnsi="Calibri" w:cs="Calibri"/>
                <w:noProof/>
                <w:color w:val="000000"/>
                <w:szCs w:val="20"/>
                <w:lang w:val="en-IE" w:eastAsia="en-IE"/>
              </w:rPr>
            </w:pPr>
            <w:r w:rsidRPr="00125217">
              <w:rPr>
                <w:rFonts w:ascii="Calibri" w:eastAsia="Times New Roman" w:hAnsi="Calibri" w:cs="Calibri"/>
                <w:noProof/>
                <w:color w:val="000000"/>
                <w:szCs w:val="20"/>
                <w:lang w:val="en-IE" w:eastAsia="en-IE"/>
              </w:rPr>
              <w:t>Option 3a + the 28th regime company would obtain the TIN from the relevant authority  as part of the registration process, with any additional information needed to obtain TIN as part of the template.</w:t>
            </w:r>
          </w:p>
        </w:tc>
        <w:tc>
          <w:tcPr>
            <w:tcW w:w="272" w:type="dxa"/>
            <w:tcBorders>
              <w:top w:val="nil"/>
              <w:left w:val="nil"/>
              <w:bottom w:val="nil"/>
              <w:right w:val="single" w:sz="4" w:space="0" w:color="auto"/>
            </w:tcBorders>
            <w:shd w:val="clear" w:color="auto" w:fill="969696"/>
            <w:vAlign w:val="center"/>
            <w:hideMark/>
          </w:tcPr>
          <w:p w14:paraId="55CAFE80"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single" w:sz="4" w:space="0" w:color="auto"/>
              <w:left w:val="single" w:sz="4" w:space="0" w:color="auto"/>
              <w:bottom w:val="single" w:sz="4" w:space="0" w:color="auto"/>
              <w:right w:val="single" w:sz="4" w:space="0" w:color="auto"/>
            </w:tcBorders>
            <w:vAlign w:val="center"/>
            <w:hideMark/>
          </w:tcPr>
          <w:p w14:paraId="6792663D"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161" w:type="dxa"/>
            <w:tcBorders>
              <w:top w:val="single" w:sz="4" w:space="0" w:color="auto"/>
              <w:left w:val="nil"/>
              <w:bottom w:val="single" w:sz="4" w:space="0" w:color="auto"/>
              <w:right w:val="single" w:sz="4" w:space="0" w:color="auto"/>
            </w:tcBorders>
            <w:vAlign w:val="center"/>
            <w:hideMark/>
          </w:tcPr>
          <w:p w14:paraId="76692805"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843" w:type="dxa"/>
            <w:gridSpan w:val="2"/>
            <w:tcBorders>
              <w:top w:val="single" w:sz="4" w:space="0" w:color="auto"/>
              <w:left w:val="nil"/>
              <w:bottom w:val="single" w:sz="4" w:space="0" w:color="auto"/>
              <w:right w:val="single" w:sz="4" w:space="0" w:color="auto"/>
            </w:tcBorders>
            <w:vAlign w:val="center"/>
            <w:hideMark/>
          </w:tcPr>
          <w:p w14:paraId="3B313D4E"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single" w:sz="4" w:space="0" w:color="auto"/>
              <w:left w:val="nil"/>
              <w:bottom w:val="single" w:sz="4" w:space="0" w:color="auto"/>
              <w:right w:val="single" w:sz="4" w:space="0" w:color="auto"/>
            </w:tcBorders>
            <w:shd w:val="clear" w:color="auto" w:fill="FFFFFF" w:themeFill="background1"/>
            <w:vAlign w:val="center"/>
            <w:hideMark/>
          </w:tcPr>
          <w:p w14:paraId="6B09ABFB"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405" w:type="dxa"/>
            <w:tcBorders>
              <w:top w:val="nil"/>
              <w:left w:val="nil"/>
              <w:bottom w:val="nil"/>
              <w:right w:val="nil"/>
            </w:tcBorders>
            <w:shd w:val="clear" w:color="auto" w:fill="969696"/>
            <w:noWrap/>
            <w:vAlign w:val="center"/>
            <w:hideMark/>
          </w:tcPr>
          <w:p w14:paraId="6D17A36F"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E5BEDA"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hideMark/>
          </w:tcPr>
          <w:p w14:paraId="0ED78FD5"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5" w:type="dxa"/>
            <w:tcBorders>
              <w:top w:val="single" w:sz="4" w:space="0" w:color="auto"/>
              <w:left w:val="nil"/>
              <w:bottom w:val="single" w:sz="4" w:space="0" w:color="auto"/>
              <w:right w:val="single" w:sz="4" w:space="0" w:color="auto"/>
            </w:tcBorders>
            <w:shd w:val="clear" w:color="auto" w:fill="FFFFFF" w:themeFill="background1"/>
            <w:vAlign w:val="center"/>
            <w:hideMark/>
          </w:tcPr>
          <w:p w14:paraId="7EB5A1A9"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single" w:sz="4" w:space="0" w:color="auto"/>
              <w:left w:val="nil"/>
              <w:bottom w:val="single" w:sz="4" w:space="0" w:color="auto"/>
              <w:right w:val="single" w:sz="4" w:space="0" w:color="auto"/>
            </w:tcBorders>
            <w:vAlign w:val="center"/>
            <w:hideMark/>
          </w:tcPr>
          <w:p w14:paraId="1907D4F2"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same as 3a in terms of cost and time spent reduction</w:t>
            </w:r>
          </w:p>
        </w:tc>
        <w:tc>
          <w:tcPr>
            <w:tcW w:w="405" w:type="dxa"/>
            <w:tcBorders>
              <w:top w:val="nil"/>
              <w:left w:val="nil"/>
              <w:bottom w:val="nil"/>
              <w:right w:val="nil"/>
            </w:tcBorders>
            <w:shd w:val="clear" w:color="auto" w:fill="969696"/>
            <w:noWrap/>
            <w:vAlign w:val="center"/>
            <w:hideMark/>
          </w:tcPr>
          <w:p w14:paraId="5C8107D4"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single" w:sz="4" w:space="0" w:color="auto"/>
              <w:left w:val="single" w:sz="4" w:space="0" w:color="auto"/>
              <w:bottom w:val="single" w:sz="4" w:space="0" w:color="auto"/>
              <w:right w:val="single" w:sz="4" w:space="0" w:color="auto"/>
            </w:tcBorders>
            <w:vAlign w:val="center"/>
            <w:hideMark/>
          </w:tcPr>
          <w:p w14:paraId="5D162788"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184" w:type="dxa"/>
            <w:tcBorders>
              <w:top w:val="single" w:sz="4" w:space="0" w:color="auto"/>
              <w:left w:val="nil"/>
              <w:bottom w:val="single" w:sz="4" w:space="0" w:color="auto"/>
              <w:right w:val="single" w:sz="4" w:space="0" w:color="auto"/>
            </w:tcBorders>
            <w:vAlign w:val="center"/>
            <w:hideMark/>
          </w:tcPr>
          <w:p w14:paraId="35F76C3E"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48" w:type="dxa"/>
            <w:tcBorders>
              <w:top w:val="single" w:sz="4" w:space="0" w:color="auto"/>
              <w:left w:val="nil"/>
              <w:bottom w:val="single" w:sz="4" w:space="0" w:color="auto"/>
              <w:right w:val="single" w:sz="4" w:space="0" w:color="auto"/>
            </w:tcBorders>
            <w:vAlign w:val="center"/>
            <w:hideMark/>
          </w:tcPr>
          <w:p w14:paraId="70004636" w14:textId="301C90ED" w:rsidR="00F53E54" w:rsidRPr="0095112F" w:rsidRDefault="290BCB4C"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EUR</w:t>
            </w:r>
            <w:r w:rsidR="2646CCD5" w:rsidRPr="6F00936E">
              <w:rPr>
                <w:rFonts w:ascii="Calibri" w:eastAsia="Times New Roman" w:hAnsi="Calibri" w:cs="Calibri"/>
                <w:noProof/>
                <w:lang w:val="en-IE" w:eastAsia="en-IE"/>
              </w:rPr>
              <w:t xml:space="preserve"> 26,316,508</w:t>
            </w:r>
          </w:p>
        </w:tc>
      </w:tr>
      <w:tr w:rsidR="00783610" w:rsidRPr="0095112F" w14:paraId="01404E9C" w14:textId="77777777" w:rsidTr="00453B89">
        <w:trPr>
          <w:trHeight w:val="300"/>
        </w:trPr>
        <w:tc>
          <w:tcPr>
            <w:tcW w:w="382" w:type="dxa"/>
            <w:tcBorders>
              <w:top w:val="nil"/>
              <w:left w:val="single" w:sz="8" w:space="0" w:color="auto"/>
              <w:bottom w:val="single" w:sz="8" w:space="0" w:color="auto"/>
              <w:right w:val="nil"/>
            </w:tcBorders>
            <w:shd w:val="clear" w:color="auto" w:fill="305496"/>
            <w:noWrap/>
            <w:vAlign w:val="center"/>
            <w:hideMark/>
          </w:tcPr>
          <w:p w14:paraId="6DA98320"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83" w:type="dxa"/>
            <w:tcBorders>
              <w:top w:val="nil"/>
              <w:left w:val="nil"/>
              <w:bottom w:val="single" w:sz="8" w:space="0" w:color="auto"/>
              <w:right w:val="nil"/>
            </w:tcBorders>
            <w:shd w:val="clear" w:color="auto" w:fill="305496"/>
            <w:noWrap/>
            <w:vAlign w:val="center"/>
            <w:hideMark/>
          </w:tcPr>
          <w:p w14:paraId="1B184E86"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17" w:type="dxa"/>
            <w:tcBorders>
              <w:top w:val="nil"/>
              <w:left w:val="nil"/>
              <w:bottom w:val="single" w:sz="8" w:space="0" w:color="auto"/>
              <w:right w:val="nil"/>
            </w:tcBorders>
            <w:shd w:val="clear" w:color="auto" w:fill="305496"/>
            <w:noWrap/>
            <w:vAlign w:val="center"/>
            <w:hideMark/>
          </w:tcPr>
          <w:p w14:paraId="0E8933BD"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409290F5"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auto"/>
              <w:right w:val="nil"/>
            </w:tcBorders>
            <w:shd w:val="clear" w:color="auto" w:fill="8EA9DB"/>
            <w:noWrap/>
            <w:vAlign w:val="center"/>
            <w:hideMark/>
          </w:tcPr>
          <w:p w14:paraId="51CFE2CA"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2F3C4CC8"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43" w:type="dxa"/>
            <w:gridSpan w:val="2"/>
            <w:tcBorders>
              <w:top w:val="nil"/>
              <w:left w:val="single" w:sz="4" w:space="0" w:color="auto"/>
              <w:bottom w:val="single" w:sz="8" w:space="0" w:color="auto"/>
              <w:right w:val="nil"/>
            </w:tcBorders>
            <w:shd w:val="clear" w:color="auto" w:fill="8EA9DB"/>
            <w:noWrap/>
            <w:vAlign w:val="center"/>
            <w:hideMark/>
          </w:tcPr>
          <w:p w14:paraId="375A4FA0"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6" w:type="dxa"/>
            <w:tcBorders>
              <w:top w:val="nil"/>
              <w:left w:val="single" w:sz="4" w:space="0" w:color="auto"/>
              <w:bottom w:val="single" w:sz="8" w:space="0" w:color="auto"/>
              <w:right w:val="nil"/>
            </w:tcBorders>
            <w:shd w:val="clear" w:color="auto" w:fill="8EA9DB"/>
            <w:noWrap/>
            <w:vAlign w:val="center"/>
            <w:hideMark/>
          </w:tcPr>
          <w:p w14:paraId="1EAD8518"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405" w:type="dxa"/>
            <w:tcBorders>
              <w:top w:val="nil"/>
              <w:left w:val="nil"/>
              <w:bottom w:val="nil"/>
              <w:right w:val="nil"/>
            </w:tcBorders>
            <w:shd w:val="clear" w:color="auto" w:fill="969696"/>
            <w:noWrap/>
            <w:vAlign w:val="center"/>
            <w:hideMark/>
          </w:tcPr>
          <w:p w14:paraId="01D7A6A4"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auto"/>
              <w:right w:val="nil"/>
            </w:tcBorders>
            <w:shd w:val="clear" w:color="auto" w:fill="C6E0B4"/>
            <w:noWrap/>
            <w:vAlign w:val="center"/>
            <w:hideMark/>
          </w:tcPr>
          <w:p w14:paraId="4920888A"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0023015D"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59F7EE21"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nil"/>
              <w:left w:val="single" w:sz="4" w:space="0" w:color="auto"/>
              <w:bottom w:val="single" w:sz="8" w:space="0" w:color="auto"/>
              <w:right w:val="nil"/>
            </w:tcBorders>
            <w:shd w:val="clear" w:color="auto" w:fill="C6E0B4"/>
            <w:vAlign w:val="center"/>
            <w:hideMark/>
          </w:tcPr>
          <w:p w14:paraId="17773B50"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405" w:type="dxa"/>
            <w:tcBorders>
              <w:top w:val="nil"/>
              <w:left w:val="nil"/>
              <w:bottom w:val="nil"/>
              <w:right w:val="nil"/>
            </w:tcBorders>
            <w:shd w:val="clear" w:color="auto" w:fill="969696"/>
            <w:noWrap/>
            <w:vAlign w:val="center"/>
            <w:hideMark/>
          </w:tcPr>
          <w:p w14:paraId="542B2D53"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1776AB03" w14:textId="77777777" w:rsidR="00F53E54" w:rsidRPr="0095112F" w:rsidRDefault="00F53E54">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PO3b</w:t>
            </w:r>
          </w:p>
        </w:tc>
        <w:tc>
          <w:tcPr>
            <w:tcW w:w="1348" w:type="dxa"/>
            <w:tcBorders>
              <w:top w:val="nil"/>
              <w:left w:val="single" w:sz="8" w:space="0" w:color="auto"/>
              <w:bottom w:val="single" w:sz="8" w:space="0" w:color="auto"/>
              <w:right w:val="single" w:sz="8" w:space="0" w:color="auto"/>
            </w:tcBorders>
            <w:shd w:val="clear" w:color="auto" w:fill="DBDBDB"/>
            <w:noWrap/>
            <w:vAlign w:val="center"/>
            <w:hideMark/>
          </w:tcPr>
          <w:p w14:paraId="3E8B4E1C" w14:textId="5841A3EF" w:rsidR="00F53E54" w:rsidRPr="0095112F" w:rsidRDefault="49E1F6E2"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EUR</w:t>
            </w:r>
            <w:r w:rsidR="2646CCD5" w:rsidRPr="6F00936E">
              <w:rPr>
                <w:rFonts w:ascii="Arial" w:eastAsia="Times New Roman" w:hAnsi="Arial" w:cs="Arial"/>
                <w:b/>
                <w:bCs/>
                <w:noProof/>
                <w:lang w:val="en-IE" w:eastAsia="en-IE"/>
              </w:rPr>
              <w:t xml:space="preserve"> 26,316,508</w:t>
            </w:r>
          </w:p>
        </w:tc>
      </w:tr>
      <w:tr w:rsidR="00401FEA" w:rsidRPr="0095112F" w14:paraId="1A4FDA64" w14:textId="77777777">
        <w:trPr>
          <w:trHeight w:val="300"/>
        </w:trPr>
        <w:tc>
          <w:tcPr>
            <w:tcW w:w="1882" w:type="dxa"/>
            <w:gridSpan w:val="3"/>
            <w:tcBorders>
              <w:top w:val="single" w:sz="8" w:space="0" w:color="auto"/>
              <w:left w:val="single" w:sz="8" w:space="0" w:color="auto"/>
              <w:bottom w:val="single" w:sz="8" w:space="0" w:color="auto"/>
              <w:right w:val="nil"/>
            </w:tcBorders>
            <w:shd w:val="clear" w:color="auto" w:fill="FFFF00"/>
            <w:noWrap/>
            <w:vAlign w:val="center"/>
            <w:hideMark/>
          </w:tcPr>
          <w:p w14:paraId="77BD968C" w14:textId="603BA60E" w:rsidR="00B04E6C" w:rsidRPr="0095112F" w:rsidRDefault="00B04E6C" w:rsidP="0070773D">
            <w:pPr>
              <w:spacing w:after="0"/>
              <w:rPr>
                <w:rFonts w:ascii="Arial" w:eastAsia="Times New Roman" w:hAnsi="Arial" w:cs="Arial"/>
                <w:noProof/>
                <w:szCs w:val="20"/>
                <w:lang w:val="en-IE" w:eastAsia="en-IE"/>
              </w:rPr>
            </w:pPr>
            <w:r w:rsidRPr="0095112F">
              <w:rPr>
                <w:rFonts w:ascii="Arial" w:eastAsia="Times New Roman" w:hAnsi="Arial" w:cs="Arial"/>
                <w:b/>
                <w:bCs/>
                <w:noProof/>
                <w:szCs w:val="20"/>
                <w:lang w:val="en-IE" w:eastAsia="en-IE"/>
              </w:rPr>
              <w:t>PO 3c</w:t>
            </w: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3F4564A5" w14:textId="77777777" w:rsidR="00B04E6C" w:rsidRPr="0095112F" w:rsidRDefault="00B04E6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nil"/>
              <w:right w:val="nil"/>
            </w:tcBorders>
            <w:vAlign w:val="center"/>
            <w:hideMark/>
          </w:tcPr>
          <w:p w14:paraId="6432DFD6" w14:textId="77777777" w:rsidR="00B04E6C" w:rsidRPr="0095112F" w:rsidRDefault="00B04E6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161" w:type="dxa"/>
            <w:tcBorders>
              <w:top w:val="nil"/>
              <w:left w:val="single" w:sz="4" w:space="0" w:color="auto"/>
              <w:bottom w:val="nil"/>
              <w:right w:val="nil"/>
            </w:tcBorders>
            <w:noWrap/>
            <w:vAlign w:val="center"/>
            <w:hideMark/>
          </w:tcPr>
          <w:p w14:paraId="0EC2030A" w14:textId="77777777" w:rsidR="00B04E6C" w:rsidRPr="0095112F" w:rsidRDefault="00B04E6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43" w:type="dxa"/>
            <w:gridSpan w:val="2"/>
            <w:tcBorders>
              <w:top w:val="nil"/>
              <w:left w:val="single" w:sz="4" w:space="0" w:color="auto"/>
              <w:bottom w:val="nil"/>
              <w:right w:val="nil"/>
            </w:tcBorders>
            <w:noWrap/>
            <w:vAlign w:val="center"/>
            <w:hideMark/>
          </w:tcPr>
          <w:p w14:paraId="43FB587F" w14:textId="77777777" w:rsidR="00B04E6C" w:rsidRPr="0095112F" w:rsidRDefault="00B04E6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6" w:type="dxa"/>
            <w:tcBorders>
              <w:top w:val="nil"/>
              <w:left w:val="single" w:sz="4" w:space="0" w:color="auto"/>
              <w:bottom w:val="nil"/>
              <w:right w:val="nil"/>
            </w:tcBorders>
            <w:noWrap/>
            <w:vAlign w:val="center"/>
            <w:hideMark/>
          </w:tcPr>
          <w:p w14:paraId="1C7ECD04" w14:textId="77777777" w:rsidR="00B04E6C" w:rsidRPr="0095112F" w:rsidRDefault="00B04E6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405" w:type="dxa"/>
            <w:tcBorders>
              <w:top w:val="nil"/>
              <w:left w:val="nil"/>
              <w:bottom w:val="nil"/>
              <w:right w:val="nil"/>
            </w:tcBorders>
            <w:shd w:val="clear" w:color="auto" w:fill="969696"/>
            <w:noWrap/>
            <w:vAlign w:val="center"/>
            <w:hideMark/>
          </w:tcPr>
          <w:p w14:paraId="478BD3DE" w14:textId="77777777" w:rsidR="00B04E6C" w:rsidRPr="0095112F" w:rsidRDefault="00B04E6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nil"/>
              <w:right w:val="nil"/>
            </w:tcBorders>
            <w:noWrap/>
            <w:vAlign w:val="center"/>
            <w:hideMark/>
          </w:tcPr>
          <w:p w14:paraId="5A4BB514" w14:textId="77777777" w:rsidR="00B04E6C" w:rsidRPr="0095112F" w:rsidRDefault="00B04E6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256E9A68" w14:textId="77777777" w:rsidR="00B04E6C" w:rsidRPr="0095112F" w:rsidRDefault="00B04E6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1F264EF7" w14:textId="77777777" w:rsidR="00B04E6C" w:rsidRPr="0095112F" w:rsidRDefault="00B04E6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6" w:type="dxa"/>
            <w:tcBorders>
              <w:top w:val="nil"/>
              <w:left w:val="single" w:sz="4" w:space="0" w:color="auto"/>
              <w:bottom w:val="nil"/>
              <w:right w:val="nil"/>
            </w:tcBorders>
            <w:noWrap/>
            <w:vAlign w:val="center"/>
            <w:hideMark/>
          </w:tcPr>
          <w:p w14:paraId="1BB022A3" w14:textId="77777777" w:rsidR="00B04E6C" w:rsidRPr="0095112F" w:rsidRDefault="00B04E6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405" w:type="dxa"/>
            <w:tcBorders>
              <w:top w:val="nil"/>
              <w:left w:val="nil"/>
              <w:bottom w:val="nil"/>
              <w:right w:val="single" w:sz="8" w:space="0" w:color="auto"/>
            </w:tcBorders>
            <w:shd w:val="clear" w:color="auto" w:fill="969696"/>
            <w:noWrap/>
            <w:vAlign w:val="center"/>
            <w:hideMark/>
          </w:tcPr>
          <w:p w14:paraId="4F2D96F0" w14:textId="77777777" w:rsidR="00B04E6C" w:rsidRPr="0095112F" w:rsidRDefault="00B04E6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028" w:type="dxa"/>
            <w:tcBorders>
              <w:top w:val="nil"/>
              <w:left w:val="nil"/>
              <w:bottom w:val="nil"/>
              <w:right w:val="nil"/>
            </w:tcBorders>
            <w:noWrap/>
            <w:vAlign w:val="center"/>
            <w:hideMark/>
          </w:tcPr>
          <w:p w14:paraId="23045938" w14:textId="77777777" w:rsidR="00B04E6C" w:rsidRPr="0095112F" w:rsidRDefault="00B04E6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78DF7FA0" w14:textId="77777777" w:rsidR="00B04E6C" w:rsidRPr="0095112F" w:rsidRDefault="00B04E6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48" w:type="dxa"/>
            <w:tcBorders>
              <w:top w:val="nil"/>
              <w:left w:val="nil"/>
              <w:bottom w:val="nil"/>
              <w:right w:val="single" w:sz="8" w:space="0" w:color="auto"/>
            </w:tcBorders>
            <w:noWrap/>
            <w:vAlign w:val="center"/>
            <w:hideMark/>
          </w:tcPr>
          <w:p w14:paraId="31300580" w14:textId="77777777" w:rsidR="00B04E6C" w:rsidRPr="0095112F" w:rsidRDefault="00B04E6C">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783610" w:rsidRPr="0095112F" w14:paraId="570F476C" w14:textId="77777777" w:rsidTr="00453B89">
        <w:trPr>
          <w:trHeight w:val="1223"/>
        </w:trPr>
        <w:tc>
          <w:tcPr>
            <w:tcW w:w="1882" w:type="dxa"/>
            <w:gridSpan w:val="3"/>
            <w:vMerge w:val="restart"/>
            <w:tcBorders>
              <w:top w:val="single" w:sz="8" w:space="0" w:color="auto"/>
              <w:left w:val="single" w:sz="8" w:space="0" w:color="auto"/>
              <w:bottom w:val="single" w:sz="8" w:space="0" w:color="000000" w:themeColor="text1"/>
              <w:right w:val="nil"/>
            </w:tcBorders>
            <w:vAlign w:val="center"/>
            <w:hideMark/>
          </w:tcPr>
          <w:p w14:paraId="0479EE79" w14:textId="62BDCFB1" w:rsidR="00F53E54" w:rsidRPr="0095112F" w:rsidRDefault="00F67221">
            <w:pPr>
              <w:spacing w:after="0"/>
              <w:rPr>
                <w:rFonts w:ascii="Calibri" w:eastAsia="Times New Roman" w:hAnsi="Calibri" w:cs="Calibri"/>
                <w:noProof/>
                <w:color w:val="000000"/>
                <w:szCs w:val="20"/>
                <w:lang w:val="en-IE" w:eastAsia="en-IE"/>
              </w:rPr>
            </w:pPr>
            <w:r w:rsidRPr="00F67221">
              <w:rPr>
                <w:rFonts w:ascii="Calibri" w:eastAsia="Times New Roman" w:hAnsi="Calibri" w:cs="Calibri"/>
                <w:noProof/>
                <w:color w:val="000000"/>
                <w:szCs w:val="20"/>
                <w:lang w:val="en-IE" w:eastAsia="en-IE"/>
              </w:rPr>
              <w:t>Option 3b + the 28th regime company would obtain the VAT identification number from the relevant authority as part of the registration process (unless more information is needed).</w:t>
            </w:r>
          </w:p>
        </w:tc>
        <w:tc>
          <w:tcPr>
            <w:tcW w:w="272" w:type="dxa"/>
            <w:tcBorders>
              <w:top w:val="nil"/>
              <w:left w:val="nil"/>
              <w:bottom w:val="nil"/>
              <w:right w:val="single" w:sz="4" w:space="0" w:color="auto"/>
            </w:tcBorders>
            <w:shd w:val="clear" w:color="auto" w:fill="969696"/>
            <w:vAlign w:val="center"/>
            <w:hideMark/>
          </w:tcPr>
          <w:p w14:paraId="54BE37A7"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single" w:sz="4" w:space="0" w:color="auto"/>
              <w:left w:val="single" w:sz="4" w:space="0" w:color="auto"/>
              <w:bottom w:val="single" w:sz="4" w:space="0" w:color="auto"/>
              <w:right w:val="single" w:sz="4" w:space="0" w:color="auto"/>
            </w:tcBorders>
            <w:vAlign w:val="center"/>
            <w:hideMark/>
          </w:tcPr>
          <w:p w14:paraId="2069D524"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161" w:type="dxa"/>
            <w:tcBorders>
              <w:top w:val="single" w:sz="4" w:space="0" w:color="auto"/>
              <w:left w:val="nil"/>
              <w:bottom w:val="single" w:sz="4" w:space="0" w:color="auto"/>
              <w:right w:val="single" w:sz="4" w:space="0" w:color="auto"/>
            </w:tcBorders>
            <w:vAlign w:val="center"/>
            <w:hideMark/>
          </w:tcPr>
          <w:p w14:paraId="172286E5"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843" w:type="dxa"/>
            <w:gridSpan w:val="2"/>
            <w:tcBorders>
              <w:top w:val="single" w:sz="4" w:space="0" w:color="auto"/>
              <w:left w:val="nil"/>
              <w:bottom w:val="single" w:sz="4" w:space="0" w:color="auto"/>
              <w:right w:val="single" w:sz="4" w:space="0" w:color="auto"/>
            </w:tcBorders>
            <w:vAlign w:val="center"/>
            <w:hideMark/>
          </w:tcPr>
          <w:p w14:paraId="229DB73D"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single" w:sz="4" w:space="0" w:color="auto"/>
              <w:left w:val="nil"/>
              <w:bottom w:val="single" w:sz="4" w:space="0" w:color="auto"/>
              <w:right w:val="single" w:sz="4" w:space="0" w:color="auto"/>
            </w:tcBorders>
            <w:shd w:val="clear" w:color="auto" w:fill="FFFFFF" w:themeFill="background1"/>
            <w:vAlign w:val="center"/>
            <w:hideMark/>
          </w:tcPr>
          <w:p w14:paraId="178B73E8"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405" w:type="dxa"/>
            <w:tcBorders>
              <w:top w:val="nil"/>
              <w:left w:val="nil"/>
              <w:bottom w:val="nil"/>
              <w:right w:val="nil"/>
            </w:tcBorders>
            <w:shd w:val="clear" w:color="auto" w:fill="969696"/>
            <w:noWrap/>
            <w:vAlign w:val="center"/>
            <w:hideMark/>
          </w:tcPr>
          <w:p w14:paraId="5BEA4F77"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F76D4F"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D294AD1"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5" w:type="dxa"/>
            <w:tcBorders>
              <w:top w:val="single" w:sz="4" w:space="0" w:color="auto"/>
              <w:left w:val="nil"/>
              <w:bottom w:val="single" w:sz="4" w:space="0" w:color="auto"/>
              <w:right w:val="single" w:sz="4" w:space="0" w:color="auto"/>
            </w:tcBorders>
            <w:shd w:val="clear" w:color="auto" w:fill="FFFFFF" w:themeFill="background1"/>
            <w:vAlign w:val="center"/>
            <w:hideMark/>
          </w:tcPr>
          <w:p w14:paraId="5427E29B"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single" w:sz="4" w:space="0" w:color="auto"/>
              <w:left w:val="nil"/>
              <w:bottom w:val="single" w:sz="4" w:space="0" w:color="auto"/>
              <w:right w:val="single" w:sz="4" w:space="0" w:color="auto"/>
            </w:tcBorders>
            <w:vAlign w:val="center"/>
            <w:hideMark/>
          </w:tcPr>
          <w:p w14:paraId="192D345F"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same as 3b in terms of cost and time spent reduction</w:t>
            </w:r>
          </w:p>
        </w:tc>
        <w:tc>
          <w:tcPr>
            <w:tcW w:w="405" w:type="dxa"/>
            <w:tcBorders>
              <w:top w:val="nil"/>
              <w:left w:val="nil"/>
              <w:bottom w:val="nil"/>
              <w:right w:val="nil"/>
            </w:tcBorders>
            <w:shd w:val="clear" w:color="auto" w:fill="969696"/>
            <w:noWrap/>
            <w:vAlign w:val="center"/>
            <w:hideMark/>
          </w:tcPr>
          <w:p w14:paraId="763ECEBD"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single" w:sz="4" w:space="0" w:color="auto"/>
              <w:left w:val="single" w:sz="4" w:space="0" w:color="auto"/>
              <w:bottom w:val="single" w:sz="4" w:space="0" w:color="auto"/>
              <w:right w:val="single" w:sz="4" w:space="0" w:color="auto"/>
            </w:tcBorders>
            <w:vAlign w:val="center"/>
            <w:hideMark/>
          </w:tcPr>
          <w:p w14:paraId="628E2BA2"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184" w:type="dxa"/>
            <w:tcBorders>
              <w:top w:val="single" w:sz="4" w:space="0" w:color="auto"/>
              <w:left w:val="nil"/>
              <w:bottom w:val="single" w:sz="4" w:space="0" w:color="auto"/>
              <w:right w:val="single" w:sz="4" w:space="0" w:color="auto"/>
            </w:tcBorders>
            <w:vAlign w:val="center"/>
            <w:hideMark/>
          </w:tcPr>
          <w:p w14:paraId="032CD32D"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48" w:type="dxa"/>
            <w:tcBorders>
              <w:top w:val="single" w:sz="4" w:space="0" w:color="auto"/>
              <w:left w:val="nil"/>
              <w:bottom w:val="single" w:sz="4" w:space="0" w:color="auto"/>
              <w:right w:val="single" w:sz="4" w:space="0" w:color="auto"/>
            </w:tcBorders>
            <w:vAlign w:val="center"/>
            <w:hideMark/>
          </w:tcPr>
          <w:p w14:paraId="69AE1958" w14:textId="6B51D9E6" w:rsidR="00F53E54" w:rsidRPr="0095112F" w:rsidRDefault="49E1F6E2"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EUR</w:t>
            </w:r>
            <w:r w:rsidR="4F438BA4" w:rsidRPr="6F00936E">
              <w:rPr>
                <w:rFonts w:ascii="Calibri" w:eastAsia="Times New Roman" w:hAnsi="Calibri" w:cs="Calibri"/>
                <w:noProof/>
                <w:lang w:val="en-IE" w:eastAsia="en-IE"/>
              </w:rPr>
              <w:t xml:space="preserve"> 26,316,508</w:t>
            </w:r>
          </w:p>
        </w:tc>
      </w:tr>
      <w:tr w:rsidR="00783610" w:rsidRPr="0095112F" w14:paraId="1A62909B" w14:textId="77777777" w:rsidTr="00453B89">
        <w:trPr>
          <w:trHeight w:val="1223"/>
        </w:trPr>
        <w:tc>
          <w:tcPr>
            <w:tcW w:w="1882" w:type="dxa"/>
            <w:gridSpan w:val="3"/>
            <w:vMerge/>
            <w:vAlign w:val="center"/>
            <w:hideMark/>
          </w:tcPr>
          <w:p w14:paraId="0033CDC9" w14:textId="77777777" w:rsidR="00F53E54" w:rsidRPr="0095112F" w:rsidRDefault="00F53E54">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vAlign w:val="center"/>
            <w:hideMark/>
          </w:tcPr>
          <w:p w14:paraId="5E6A3970"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4" w:space="0" w:color="auto"/>
              <w:right w:val="single" w:sz="4" w:space="0" w:color="auto"/>
            </w:tcBorders>
            <w:vAlign w:val="center"/>
            <w:hideMark/>
          </w:tcPr>
          <w:p w14:paraId="2C2A57FB" w14:textId="586D1B69" w:rsidR="00F53E54" w:rsidRPr="0095112F" w:rsidRDefault="003B0902">
            <w:pPr>
              <w:spacing w:after="0"/>
              <w:jc w:val="center"/>
              <w:rPr>
                <w:rFonts w:ascii="Calibri" w:eastAsia="Times New Roman" w:hAnsi="Calibri" w:cs="Calibri"/>
                <w:noProof/>
                <w:color w:val="000000"/>
                <w:szCs w:val="20"/>
                <w:lang w:val="en-IE" w:eastAsia="en-IE"/>
              </w:rPr>
            </w:pPr>
            <w:r w:rsidRPr="003B0902">
              <w:rPr>
                <w:rFonts w:ascii="Calibri" w:eastAsia="Times New Roman" w:hAnsi="Calibri" w:cs="Calibri"/>
                <w:noProof/>
                <w:color w:val="000000"/>
                <w:szCs w:val="20"/>
                <w:lang w:val="en-IE" w:eastAsia="en-IE"/>
              </w:rPr>
              <w:t>277</w:t>
            </w:r>
            <w:r>
              <w:rPr>
                <w:rFonts w:ascii="Calibri" w:eastAsia="Times New Roman" w:hAnsi="Calibri" w:cs="Calibri"/>
                <w:noProof/>
                <w:color w:val="000000"/>
                <w:szCs w:val="20"/>
                <w:lang w:val="en-IE" w:eastAsia="en-IE"/>
              </w:rPr>
              <w:t>,</w:t>
            </w:r>
            <w:r w:rsidRPr="003B0902">
              <w:rPr>
                <w:rFonts w:ascii="Calibri" w:eastAsia="Times New Roman" w:hAnsi="Calibri" w:cs="Calibri"/>
                <w:noProof/>
                <w:color w:val="000000"/>
                <w:szCs w:val="20"/>
                <w:lang w:val="en-IE" w:eastAsia="en-IE"/>
              </w:rPr>
              <w:t>958</w:t>
            </w:r>
          </w:p>
        </w:tc>
        <w:tc>
          <w:tcPr>
            <w:tcW w:w="1161" w:type="dxa"/>
            <w:tcBorders>
              <w:top w:val="nil"/>
              <w:left w:val="nil"/>
              <w:bottom w:val="single" w:sz="4" w:space="0" w:color="auto"/>
              <w:right w:val="single" w:sz="4" w:space="0" w:color="auto"/>
            </w:tcBorders>
            <w:vAlign w:val="center"/>
            <w:hideMark/>
          </w:tcPr>
          <w:p w14:paraId="6F7DF553"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843" w:type="dxa"/>
            <w:gridSpan w:val="2"/>
            <w:tcBorders>
              <w:top w:val="nil"/>
              <w:left w:val="nil"/>
              <w:bottom w:val="single" w:sz="4" w:space="0" w:color="auto"/>
              <w:right w:val="single" w:sz="4" w:space="0" w:color="auto"/>
            </w:tcBorders>
            <w:vAlign w:val="center"/>
            <w:hideMark/>
          </w:tcPr>
          <w:p w14:paraId="4E395362" w14:textId="77777777" w:rsidR="00F53E54" w:rsidRPr="0095112F" w:rsidRDefault="00F53E54">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10.8%</w:t>
            </w:r>
          </w:p>
        </w:tc>
        <w:tc>
          <w:tcPr>
            <w:tcW w:w="1296" w:type="dxa"/>
            <w:tcBorders>
              <w:top w:val="nil"/>
              <w:left w:val="nil"/>
              <w:bottom w:val="single" w:sz="4" w:space="0" w:color="auto"/>
              <w:right w:val="single" w:sz="4" w:space="0" w:color="auto"/>
            </w:tcBorders>
            <w:shd w:val="clear" w:color="auto" w:fill="FFFFFF" w:themeFill="background1"/>
            <w:vAlign w:val="center"/>
            <w:hideMark/>
          </w:tcPr>
          <w:p w14:paraId="0840B58A" w14:textId="34535A3E"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xml:space="preserve">In 4 MS (AT, DE, LU and MT) the VAT </w:t>
            </w:r>
            <w:r w:rsidR="00DF42BF">
              <w:rPr>
                <w:rFonts w:ascii="Calibri" w:eastAsia="Times New Roman" w:hAnsi="Calibri" w:cs="Calibri"/>
                <w:noProof/>
                <w:color w:val="000000"/>
                <w:szCs w:val="20"/>
                <w:lang w:val="en-IE" w:eastAsia="en-IE"/>
              </w:rPr>
              <w:t>identification</w:t>
            </w:r>
            <w:r w:rsidRPr="0095112F">
              <w:rPr>
                <w:rFonts w:ascii="Calibri" w:eastAsia="Times New Roman" w:hAnsi="Calibri" w:cs="Calibri"/>
                <w:noProof/>
                <w:color w:val="000000"/>
                <w:szCs w:val="20"/>
                <w:lang w:val="en-IE" w:eastAsia="en-IE"/>
              </w:rPr>
              <w:t xml:space="preserve"> number is different than TIN and company registration number</w:t>
            </w:r>
          </w:p>
        </w:tc>
        <w:tc>
          <w:tcPr>
            <w:tcW w:w="405" w:type="dxa"/>
            <w:tcBorders>
              <w:top w:val="nil"/>
              <w:left w:val="nil"/>
              <w:bottom w:val="nil"/>
              <w:right w:val="nil"/>
            </w:tcBorders>
            <w:shd w:val="clear" w:color="auto" w:fill="969696"/>
            <w:noWrap/>
            <w:vAlign w:val="center"/>
            <w:hideMark/>
          </w:tcPr>
          <w:p w14:paraId="358127EE"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6E5A32A"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40.00</w:t>
            </w:r>
          </w:p>
        </w:tc>
        <w:tc>
          <w:tcPr>
            <w:tcW w:w="850" w:type="dxa"/>
            <w:tcBorders>
              <w:top w:val="nil"/>
              <w:left w:val="nil"/>
              <w:bottom w:val="single" w:sz="4" w:space="0" w:color="auto"/>
              <w:right w:val="single" w:sz="4" w:space="0" w:color="auto"/>
            </w:tcBorders>
            <w:shd w:val="clear" w:color="auto" w:fill="FFFFFF" w:themeFill="background1"/>
            <w:vAlign w:val="center"/>
            <w:hideMark/>
          </w:tcPr>
          <w:p w14:paraId="22B14399"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2.00</w:t>
            </w:r>
          </w:p>
        </w:tc>
        <w:tc>
          <w:tcPr>
            <w:tcW w:w="1295" w:type="dxa"/>
            <w:tcBorders>
              <w:top w:val="nil"/>
              <w:left w:val="nil"/>
              <w:bottom w:val="single" w:sz="4" w:space="0" w:color="auto"/>
              <w:right w:val="single" w:sz="4" w:space="0" w:color="auto"/>
            </w:tcBorders>
            <w:shd w:val="clear" w:color="auto" w:fill="FFFFFF" w:themeFill="background1"/>
            <w:vAlign w:val="center"/>
            <w:hideMark/>
          </w:tcPr>
          <w:p w14:paraId="057B070C"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nil"/>
              <w:left w:val="nil"/>
              <w:bottom w:val="single" w:sz="4" w:space="0" w:color="auto"/>
              <w:right w:val="single" w:sz="4" w:space="0" w:color="auto"/>
            </w:tcBorders>
            <w:shd w:val="clear" w:color="auto" w:fill="FFFFFF" w:themeFill="background1"/>
            <w:vAlign w:val="center"/>
            <w:hideMark/>
          </w:tcPr>
          <w:p w14:paraId="5BCA0F41" w14:textId="7BEBE1A1"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xml:space="preserve">Plus 2 hours of time spent reduction in relation to requesting the VAT </w:t>
            </w:r>
            <w:r w:rsidR="00DF42BF">
              <w:rPr>
                <w:rFonts w:ascii="Calibri" w:eastAsia="Times New Roman" w:hAnsi="Calibri" w:cs="Calibri"/>
                <w:noProof/>
                <w:color w:val="000000"/>
                <w:szCs w:val="20"/>
                <w:lang w:val="en-IE" w:eastAsia="en-IE"/>
              </w:rPr>
              <w:t xml:space="preserve">identification </w:t>
            </w:r>
            <w:r w:rsidRPr="0095112F">
              <w:rPr>
                <w:rFonts w:ascii="Calibri" w:eastAsia="Times New Roman" w:hAnsi="Calibri" w:cs="Calibri"/>
                <w:noProof/>
                <w:color w:val="000000"/>
                <w:szCs w:val="20"/>
                <w:lang w:val="en-IE" w:eastAsia="en-IE"/>
              </w:rPr>
              <w:t>number</w:t>
            </w:r>
          </w:p>
        </w:tc>
        <w:tc>
          <w:tcPr>
            <w:tcW w:w="405" w:type="dxa"/>
            <w:tcBorders>
              <w:top w:val="nil"/>
              <w:left w:val="nil"/>
              <w:bottom w:val="nil"/>
              <w:right w:val="nil"/>
            </w:tcBorders>
            <w:shd w:val="clear" w:color="auto" w:fill="969696"/>
            <w:noWrap/>
            <w:vAlign w:val="center"/>
            <w:hideMark/>
          </w:tcPr>
          <w:p w14:paraId="71B81DC8"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nil"/>
              <w:left w:val="single" w:sz="4" w:space="0" w:color="auto"/>
              <w:bottom w:val="single" w:sz="4" w:space="0" w:color="auto"/>
              <w:right w:val="single" w:sz="4" w:space="0" w:color="auto"/>
            </w:tcBorders>
            <w:vAlign w:val="center"/>
            <w:hideMark/>
          </w:tcPr>
          <w:p w14:paraId="3F5B7472" w14:textId="77777777" w:rsidR="00F53E54" w:rsidRPr="0095112F" w:rsidRDefault="00F53E54">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80.00</w:t>
            </w:r>
          </w:p>
        </w:tc>
        <w:tc>
          <w:tcPr>
            <w:tcW w:w="1184" w:type="dxa"/>
            <w:tcBorders>
              <w:top w:val="nil"/>
              <w:left w:val="nil"/>
              <w:bottom w:val="single" w:sz="4" w:space="0" w:color="auto"/>
              <w:right w:val="single" w:sz="4" w:space="0" w:color="auto"/>
            </w:tcBorders>
            <w:vAlign w:val="center"/>
            <w:hideMark/>
          </w:tcPr>
          <w:p w14:paraId="328F1DBF" w14:textId="74D951CB" w:rsidR="00F53E54" w:rsidRPr="0095112F" w:rsidRDefault="006A2334">
            <w:pPr>
              <w:spacing w:after="0"/>
              <w:jc w:val="center"/>
              <w:rPr>
                <w:rFonts w:ascii="Calibri" w:eastAsia="Times New Roman" w:hAnsi="Calibri" w:cs="Calibri"/>
                <w:noProof/>
                <w:color w:val="000000"/>
                <w:szCs w:val="20"/>
                <w:lang w:val="en-IE" w:eastAsia="en-IE"/>
              </w:rPr>
            </w:pPr>
            <w:r w:rsidRPr="006A2334">
              <w:rPr>
                <w:rFonts w:ascii="Calibri" w:eastAsia="Times New Roman" w:hAnsi="Calibri" w:cs="Calibri"/>
                <w:noProof/>
                <w:color w:val="000000"/>
                <w:szCs w:val="20"/>
                <w:lang w:val="en-IE" w:eastAsia="en-IE"/>
              </w:rPr>
              <w:t>30,019</w:t>
            </w:r>
          </w:p>
        </w:tc>
        <w:tc>
          <w:tcPr>
            <w:tcW w:w="1348" w:type="dxa"/>
            <w:tcBorders>
              <w:top w:val="nil"/>
              <w:left w:val="nil"/>
              <w:bottom w:val="single" w:sz="4" w:space="0" w:color="auto"/>
              <w:right w:val="single" w:sz="4" w:space="0" w:color="auto"/>
            </w:tcBorders>
            <w:vAlign w:val="center"/>
            <w:hideMark/>
          </w:tcPr>
          <w:p w14:paraId="3774E42E" w14:textId="13709725" w:rsidR="00F53E54" w:rsidRPr="0095112F" w:rsidRDefault="73187BDD"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EUR</w:t>
            </w:r>
            <w:r w:rsidR="55A239AC" w:rsidRPr="6F00936E">
              <w:rPr>
                <w:rFonts w:ascii="Calibri" w:eastAsia="Times New Roman" w:hAnsi="Calibri" w:cs="Calibri"/>
                <w:noProof/>
                <w:lang w:val="en-IE" w:eastAsia="en-IE"/>
              </w:rPr>
              <w:t xml:space="preserve"> 2,401,557</w:t>
            </w:r>
          </w:p>
        </w:tc>
      </w:tr>
      <w:tr w:rsidR="00783610" w:rsidRPr="0095112F" w14:paraId="05271597" w14:textId="77777777" w:rsidTr="00453B89">
        <w:trPr>
          <w:trHeight w:val="300"/>
        </w:trPr>
        <w:tc>
          <w:tcPr>
            <w:tcW w:w="382" w:type="dxa"/>
            <w:tcBorders>
              <w:top w:val="nil"/>
              <w:left w:val="single" w:sz="8" w:space="0" w:color="auto"/>
              <w:bottom w:val="single" w:sz="8" w:space="0" w:color="auto"/>
              <w:right w:val="nil"/>
            </w:tcBorders>
            <w:shd w:val="clear" w:color="auto" w:fill="305496"/>
            <w:noWrap/>
            <w:vAlign w:val="center"/>
            <w:hideMark/>
          </w:tcPr>
          <w:p w14:paraId="52524042"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83" w:type="dxa"/>
            <w:tcBorders>
              <w:top w:val="nil"/>
              <w:left w:val="nil"/>
              <w:bottom w:val="single" w:sz="8" w:space="0" w:color="auto"/>
              <w:right w:val="nil"/>
            </w:tcBorders>
            <w:shd w:val="clear" w:color="auto" w:fill="305496"/>
            <w:noWrap/>
            <w:vAlign w:val="center"/>
            <w:hideMark/>
          </w:tcPr>
          <w:p w14:paraId="3877F56D"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17" w:type="dxa"/>
            <w:tcBorders>
              <w:top w:val="nil"/>
              <w:left w:val="nil"/>
              <w:bottom w:val="single" w:sz="8" w:space="0" w:color="auto"/>
              <w:right w:val="nil"/>
            </w:tcBorders>
            <w:shd w:val="clear" w:color="auto" w:fill="305496"/>
            <w:noWrap/>
            <w:vAlign w:val="center"/>
            <w:hideMark/>
          </w:tcPr>
          <w:p w14:paraId="6D0F1B14"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778ECF37" w14:textId="77777777" w:rsidR="00F53E54" w:rsidRPr="0095112F" w:rsidRDefault="00F53E54">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auto"/>
              <w:right w:val="nil"/>
            </w:tcBorders>
            <w:shd w:val="clear" w:color="auto" w:fill="8EA9DB"/>
            <w:noWrap/>
            <w:vAlign w:val="center"/>
            <w:hideMark/>
          </w:tcPr>
          <w:p w14:paraId="3CB0620C"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55AE43F2"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43" w:type="dxa"/>
            <w:gridSpan w:val="2"/>
            <w:tcBorders>
              <w:top w:val="nil"/>
              <w:left w:val="single" w:sz="4" w:space="0" w:color="auto"/>
              <w:bottom w:val="single" w:sz="8" w:space="0" w:color="auto"/>
              <w:right w:val="nil"/>
            </w:tcBorders>
            <w:shd w:val="clear" w:color="auto" w:fill="8EA9DB"/>
            <w:noWrap/>
            <w:vAlign w:val="center"/>
            <w:hideMark/>
          </w:tcPr>
          <w:p w14:paraId="19716FBC"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6" w:type="dxa"/>
            <w:tcBorders>
              <w:top w:val="nil"/>
              <w:left w:val="single" w:sz="4" w:space="0" w:color="auto"/>
              <w:bottom w:val="single" w:sz="8" w:space="0" w:color="auto"/>
              <w:right w:val="nil"/>
            </w:tcBorders>
            <w:shd w:val="clear" w:color="auto" w:fill="8EA9DB"/>
            <w:noWrap/>
            <w:vAlign w:val="center"/>
            <w:hideMark/>
          </w:tcPr>
          <w:p w14:paraId="2FD84A74" w14:textId="77777777" w:rsidR="00F53E54" w:rsidRPr="0095112F" w:rsidRDefault="00F53E54">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405" w:type="dxa"/>
            <w:tcBorders>
              <w:top w:val="nil"/>
              <w:left w:val="nil"/>
              <w:bottom w:val="nil"/>
              <w:right w:val="nil"/>
            </w:tcBorders>
            <w:shd w:val="clear" w:color="auto" w:fill="969696"/>
            <w:noWrap/>
            <w:vAlign w:val="center"/>
            <w:hideMark/>
          </w:tcPr>
          <w:p w14:paraId="17ACFEBD"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auto"/>
              <w:right w:val="nil"/>
            </w:tcBorders>
            <w:shd w:val="clear" w:color="auto" w:fill="C6E0B4"/>
            <w:noWrap/>
            <w:vAlign w:val="center"/>
            <w:hideMark/>
          </w:tcPr>
          <w:p w14:paraId="62B54DC8"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6075E98A" w14:textId="77777777" w:rsidR="00F53E54" w:rsidRPr="0095112F" w:rsidRDefault="00F53E54">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268D44F3"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6" w:type="dxa"/>
            <w:tcBorders>
              <w:top w:val="nil"/>
              <w:left w:val="single" w:sz="4" w:space="0" w:color="auto"/>
              <w:bottom w:val="single" w:sz="8" w:space="0" w:color="auto"/>
              <w:right w:val="nil"/>
            </w:tcBorders>
            <w:shd w:val="clear" w:color="auto" w:fill="C6E0B4"/>
            <w:vAlign w:val="center"/>
            <w:hideMark/>
          </w:tcPr>
          <w:p w14:paraId="149AF4BF" w14:textId="77777777" w:rsidR="00F53E54" w:rsidRPr="0095112F" w:rsidRDefault="00F53E54">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405" w:type="dxa"/>
            <w:tcBorders>
              <w:top w:val="nil"/>
              <w:left w:val="nil"/>
              <w:bottom w:val="nil"/>
              <w:right w:val="nil"/>
            </w:tcBorders>
            <w:shd w:val="clear" w:color="auto" w:fill="969696"/>
            <w:noWrap/>
            <w:vAlign w:val="center"/>
            <w:hideMark/>
          </w:tcPr>
          <w:p w14:paraId="17AC0E65" w14:textId="77777777" w:rsidR="00F53E54" w:rsidRPr="0095112F" w:rsidRDefault="00F53E54">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3EB0E559" w14:textId="77777777" w:rsidR="00F53E54" w:rsidRPr="0095112F" w:rsidRDefault="00F53E54">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PO3c</w:t>
            </w:r>
          </w:p>
        </w:tc>
        <w:tc>
          <w:tcPr>
            <w:tcW w:w="1348" w:type="dxa"/>
            <w:tcBorders>
              <w:top w:val="nil"/>
              <w:left w:val="single" w:sz="8" w:space="0" w:color="auto"/>
              <w:bottom w:val="single" w:sz="8" w:space="0" w:color="auto"/>
              <w:right w:val="single" w:sz="8" w:space="0" w:color="auto"/>
            </w:tcBorders>
            <w:shd w:val="clear" w:color="auto" w:fill="DBDBDB"/>
            <w:noWrap/>
            <w:vAlign w:val="center"/>
            <w:hideMark/>
          </w:tcPr>
          <w:p w14:paraId="235B6B10" w14:textId="094F689F" w:rsidR="00F53E54" w:rsidRPr="0095112F" w:rsidRDefault="5EC54503"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EUR</w:t>
            </w:r>
            <w:r w:rsidR="7740AEFF" w:rsidRPr="6F00936E">
              <w:rPr>
                <w:rFonts w:ascii="Arial" w:eastAsia="Times New Roman" w:hAnsi="Arial" w:cs="Arial"/>
                <w:b/>
                <w:bCs/>
                <w:noProof/>
                <w:lang w:val="en-IE" w:eastAsia="en-IE"/>
              </w:rPr>
              <w:t xml:space="preserve"> 28,718,065</w:t>
            </w:r>
          </w:p>
        </w:tc>
      </w:tr>
    </w:tbl>
    <w:p w14:paraId="5DEB3D10" w14:textId="5FE281F0" w:rsidR="00421830" w:rsidRDefault="00421830" w:rsidP="004F2887">
      <w:pPr>
        <w:jc w:val="both"/>
        <w:rPr>
          <w:rFonts w:eastAsia="Times New Roman" w:cs="Times New Roman"/>
          <w:noProof/>
          <w:color w:val="auto"/>
          <w:sz w:val="22"/>
          <w:lang w:eastAsia="en-IE"/>
        </w:rPr>
      </w:pPr>
    </w:p>
    <w:p w14:paraId="74FCB688" w14:textId="6344613D" w:rsidR="00421830" w:rsidRDefault="00421830" w:rsidP="004F2887">
      <w:pPr>
        <w:jc w:val="both"/>
        <w:rPr>
          <w:rFonts w:eastAsia="Times New Roman" w:cs="Times New Roman"/>
          <w:noProof/>
          <w:color w:val="auto"/>
          <w:sz w:val="22"/>
          <w:lang w:eastAsia="en-IE"/>
        </w:rPr>
      </w:pPr>
    </w:p>
    <w:p w14:paraId="31A77C78" w14:textId="77777777" w:rsidR="001905CB" w:rsidRDefault="001905CB" w:rsidP="004F2887">
      <w:pPr>
        <w:jc w:val="both"/>
        <w:rPr>
          <w:rFonts w:eastAsia="Times New Roman" w:cs="Times New Roman"/>
          <w:noProof/>
          <w:color w:val="auto"/>
          <w:sz w:val="22"/>
          <w:lang w:val="en-IE" w:eastAsia="en-IE"/>
        </w:rPr>
      </w:pPr>
    </w:p>
    <w:p w14:paraId="29E32F00" w14:textId="1550380E" w:rsidR="00D8494C" w:rsidRDefault="00D8494C" w:rsidP="004F2887">
      <w:pPr>
        <w:jc w:val="both"/>
        <w:rPr>
          <w:rFonts w:eastAsia="Times New Roman" w:cs="Times New Roman"/>
          <w:noProof/>
          <w:color w:val="auto"/>
          <w:sz w:val="22"/>
          <w:lang w:val="en-IE" w:eastAsia="en-IE"/>
        </w:rPr>
      </w:pPr>
      <w:r>
        <w:rPr>
          <w:rFonts w:eastAsia="Times New Roman" w:cs="Times New Roman"/>
          <w:noProof/>
          <w:color w:val="auto"/>
          <w:sz w:val="22"/>
          <w:lang w:val="en-IE" w:eastAsia="en-IE"/>
        </w:rPr>
        <w:t xml:space="preserve">Policy </w:t>
      </w:r>
      <w:r w:rsidR="00F67221">
        <w:rPr>
          <w:rFonts w:eastAsia="Times New Roman" w:cs="Times New Roman"/>
          <w:noProof/>
          <w:color w:val="auto"/>
          <w:sz w:val="22"/>
          <w:lang w:val="en-IE" w:eastAsia="en-IE"/>
        </w:rPr>
        <w:t>O</w:t>
      </w:r>
      <w:r>
        <w:rPr>
          <w:rFonts w:eastAsia="Times New Roman" w:cs="Times New Roman"/>
          <w:noProof/>
          <w:color w:val="auto"/>
          <w:sz w:val="22"/>
          <w:lang w:val="en-IE" w:eastAsia="en-IE"/>
        </w:rPr>
        <w:t>ptions 4</w:t>
      </w:r>
    </w:p>
    <w:p w14:paraId="6619FA96" w14:textId="4CEF3792" w:rsidR="00D57F8F" w:rsidRDefault="00D57F8F" w:rsidP="004F2887">
      <w:pPr>
        <w:jc w:val="both"/>
        <w:rPr>
          <w:rFonts w:eastAsia="Times New Roman" w:cs="Times New Roman"/>
          <w:noProof/>
          <w:color w:val="auto"/>
          <w:sz w:val="22"/>
          <w:lang w:val="en-IE" w:eastAsia="en-IE"/>
        </w:rPr>
      </w:pPr>
    </w:p>
    <w:tbl>
      <w:tblPr>
        <w:tblW w:w="15026" w:type="dxa"/>
        <w:tblInd w:w="-577" w:type="dxa"/>
        <w:tblLook w:val="04A0" w:firstRow="1" w:lastRow="0" w:firstColumn="1" w:lastColumn="0" w:noHBand="0" w:noVBand="1"/>
      </w:tblPr>
      <w:tblGrid>
        <w:gridCol w:w="428"/>
        <w:gridCol w:w="149"/>
        <w:gridCol w:w="123"/>
        <w:gridCol w:w="1417"/>
        <w:gridCol w:w="272"/>
        <w:gridCol w:w="940"/>
        <w:gridCol w:w="1161"/>
        <w:gridCol w:w="652"/>
        <w:gridCol w:w="1511"/>
        <w:gridCol w:w="272"/>
        <w:gridCol w:w="794"/>
        <w:gridCol w:w="850"/>
        <w:gridCol w:w="1295"/>
        <w:gridCol w:w="1325"/>
        <w:gridCol w:w="272"/>
        <w:gridCol w:w="1028"/>
        <w:gridCol w:w="1184"/>
        <w:gridCol w:w="1353"/>
      </w:tblGrid>
      <w:tr w:rsidR="00783610" w:rsidRPr="0095112F" w14:paraId="3CB88425" w14:textId="77777777" w:rsidTr="6F00936E">
        <w:trPr>
          <w:trHeight w:val="300"/>
        </w:trPr>
        <w:tc>
          <w:tcPr>
            <w:tcW w:w="2117" w:type="dxa"/>
            <w:gridSpan w:val="4"/>
            <w:tcBorders>
              <w:top w:val="single" w:sz="8" w:space="0" w:color="auto"/>
              <w:left w:val="single" w:sz="8" w:space="0" w:color="auto"/>
              <w:bottom w:val="single" w:sz="8" w:space="0" w:color="auto"/>
              <w:right w:val="nil"/>
            </w:tcBorders>
            <w:shd w:val="clear" w:color="auto" w:fill="305496"/>
            <w:noWrap/>
            <w:vAlign w:val="center"/>
            <w:hideMark/>
          </w:tcPr>
          <w:p w14:paraId="25590270"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single" w:sz="8" w:space="0" w:color="auto"/>
              <w:left w:val="nil"/>
              <w:bottom w:val="nil"/>
              <w:right w:val="nil"/>
            </w:tcBorders>
            <w:shd w:val="clear" w:color="auto" w:fill="969696"/>
            <w:vAlign w:val="center"/>
            <w:hideMark/>
          </w:tcPr>
          <w:p w14:paraId="62BF4E23" w14:textId="77777777" w:rsidR="008D77CC" w:rsidRPr="0095112F" w:rsidRDefault="008D77CC">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2753" w:type="dxa"/>
            <w:gridSpan w:val="3"/>
            <w:tcBorders>
              <w:top w:val="single" w:sz="8" w:space="0" w:color="auto"/>
              <w:left w:val="nil"/>
              <w:bottom w:val="single" w:sz="8" w:space="0" w:color="auto"/>
              <w:right w:val="nil"/>
            </w:tcBorders>
            <w:shd w:val="clear" w:color="auto" w:fill="8EA9DB"/>
            <w:noWrap/>
            <w:vAlign w:val="center"/>
            <w:hideMark/>
          </w:tcPr>
          <w:p w14:paraId="6025918B"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511" w:type="dxa"/>
            <w:tcBorders>
              <w:top w:val="single" w:sz="8" w:space="0" w:color="auto"/>
              <w:left w:val="nil"/>
              <w:bottom w:val="nil"/>
              <w:right w:val="nil"/>
            </w:tcBorders>
            <w:shd w:val="clear" w:color="auto" w:fill="8EA9DB"/>
            <w:noWrap/>
            <w:vAlign w:val="center"/>
            <w:hideMark/>
          </w:tcPr>
          <w:p w14:paraId="1C4D72DD"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single" w:sz="8" w:space="0" w:color="auto"/>
              <w:left w:val="nil"/>
              <w:bottom w:val="nil"/>
              <w:right w:val="nil"/>
            </w:tcBorders>
            <w:shd w:val="clear" w:color="auto" w:fill="969696"/>
            <w:vAlign w:val="center"/>
            <w:hideMark/>
          </w:tcPr>
          <w:p w14:paraId="623C5B4E" w14:textId="77777777" w:rsidR="008D77CC" w:rsidRPr="0095112F" w:rsidRDefault="008D77CC">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2939" w:type="dxa"/>
            <w:gridSpan w:val="3"/>
            <w:tcBorders>
              <w:top w:val="single" w:sz="8" w:space="0" w:color="auto"/>
              <w:left w:val="nil"/>
              <w:bottom w:val="single" w:sz="8" w:space="0" w:color="auto"/>
              <w:right w:val="nil"/>
            </w:tcBorders>
            <w:shd w:val="clear" w:color="auto" w:fill="C6E0B4"/>
            <w:noWrap/>
            <w:vAlign w:val="center"/>
            <w:hideMark/>
          </w:tcPr>
          <w:p w14:paraId="4087A311"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25" w:type="dxa"/>
            <w:tcBorders>
              <w:top w:val="single" w:sz="8" w:space="0" w:color="auto"/>
              <w:left w:val="nil"/>
              <w:bottom w:val="nil"/>
              <w:right w:val="nil"/>
            </w:tcBorders>
            <w:shd w:val="clear" w:color="auto" w:fill="C6E0B4"/>
            <w:noWrap/>
            <w:vAlign w:val="center"/>
            <w:hideMark/>
          </w:tcPr>
          <w:p w14:paraId="2E8793F3"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single" w:sz="8" w:space="0" w:color="auto"/>
              <w:left w:val="nil"/>
              <w:bottom w:val="nil"/>
              <w:right w:val="single" w:sz="8" w:space="0" w:color="auto"/>
            </w:tcBorders>
            <w:shd w:val="clear" w:color="auto" w:fill="969696"/>
            <w:vAlign w:val="center"/>
            <w:hideMark/>
          </w:tcPr>
          <w:p w14:paraId="2243A3C7" w14:textId="77777777" w:rsidR="008D77CC" w:rsidRPr="0095112F" w:rsidRDefault="008D77CC">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3565" w:type="dxa"/>
            <w:gridSpan w:val="3"/>
            <w:tcBorders>
              <w:top w:val="single" w:sz="8" w:space="0" w:color="auto"/>
              <w:left w:val="nil"/>
              <w:bottom w:val="nil"/>
              <w:right w:val="single" w:sz="8" w:space="0" w:color="000000" w:themeColor="text1"/>
            </w:tcBorders>
            <w:shd w:val="clear" w:color="auto" w:fill="DBDBDB"/>
            <w:noWrap/>
            <w:vAlign w:val="center"/>
            <w:hideMark/>
          </w:tcPr>
          <w:p w14:paraId="17EEBC3F"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r>
      <w:tr w:rsidR="00783610" w:rsidRPr="0095112F" w14:paraId="27E8B320" w14:textId="77777777" w:rsidTr="6F00936E">
        <w:trPr>
          <w:trHeight w:val="289"/>
        </w:trPr>
        <w:tc>
          <w:tcPr>
            <w:tcW w:w="577" w:type="dxa"/>
            <w:gridSpan w:val="2"/>
            <w:tcBorders>
              <w:top w:val="nil"/>
              <w:left w:val="single" w:sz="8" w:space="0" w:color="auto"/>
              <w:right w:val="nil"/>
            </w:tcBorders>
            <w:noWrap/>
            <w:vAlign w:val="center"/>
            <w:hideMark/>
          </w:tcPr>
          <w:p w14:paraId="0DB24F52"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No.</w:t>
            </w:r>
          </w:p>
        </w:tc>
        <w:tc>
          <w:tcPr>
            <w:tcW w:w="1540" w:type="dxa"/>
            <w:gridSpan w:val="2"/>
            <w:tcBorders>
              <w:top w:val="nil"/>
              <w:left w:val="nil"/>
              <w:bottom w:val="single" w:sz="8" w:space="0" w:color="000000" w:themeColor="text1"/>
              <w:right w:val="nil"/>
            </w:tcBorders>
            <w:noWrap/>
            <w:vAlign w:val="center"/>
            <w:hideMark/>
          </w:tcPr>
          <w:p w14:paraId="0C99A208"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Description</w:t>
            </w:r>
          </w:p>
        </w:tc>
        <w:tc>
          <w:tcPr>
            <w:tcW w:w="272" w:type="dxa"/>
            <w:tcBorders>
              <w:top w:val="nil"/>
              <w:left w:val="nil"/>
              <w:bottom w:val="nil"/>
              <w:right w:val="nil"/>
            </w:tcBorders>
            <w:shd w:val="clear" w:color="auto" w:fill="969696"/>
            <w:vAlign w:val="center"/>
            <w:hideMark/>
          </w:tcPr>
          <w:p w14:paraId="7CE9CAF2" w14:textId="77777777" w:rsidR="008D77CC" w:rsidRPr="0095112F" w:rsidRDefault="008D77CC">
            <w:pPr>
              <w:spacing w:after="0"/>
              <w:jc w:val="center"/>
              <w:rPr>
                <w:rFonts w:ascii="Arial" w:eastAsia="Times New Roman" w:hAnsi="Arial" w:cs="Arial"/>
                <w:noProof/>
                <w:color w:val="808080"/>
                <w:szCs w:val="20"/>
                <w:lang w:val="en-IE" w:eastAsia="en-IE"/>
              </w:rPr>
            </w:pPr>
          </w:p>
        </w:tc>
        <w:tc>
          <w:tcPr>
            <w:tcW w:w="940" w:type="dxa"/>
            <w:tcBorders>
              <w:top w:val="nil"/>
              <w:left w:val="single" w:sz="4" w:space="0" w:color="auto"/>
              <w:bottom w:val="single" w:sz="8" w:space="0" w:color="000000" w:themeColor="text1"/>
              <w:right w:val="single" w:sz="4" w:space="0" w:color="auto"/>
            </w:tcBorders>
            <w:noWrap/>
            <w:vAlign w:val="center"/>
            <w:hideMark/>
          </w:tcPr>
          <w:p w14:paraId="301B8F0A"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Number (Q)</w:t>
            </w:r>
          </w:p>
        </w:tc>
        <w:tc>
          <w:tcPr>
            <w:tcW w:w="1161" w:type="dxa"/>
            <w:tcBorders>
              <w:top w:val="nil"/>
              <w:left w:val="single" w:sz="4" w:space="0" w:color="auto"/>
              <w:bottom w:val="single" w:sz="8" w:space="0" w:color="000000" w:themeColor="text1"/>
              <w:right w:val="single" w:sz="4" w:space="0" w:color="auto"/>
            </w:tcBorders>
            <w:noWrap/>
            <w:vAlign w:val="center"/>
            <w:hideMark/>
          </w:tcPr>
          <w:p w14:paraId="2C4B467B"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Frequency</w:t>
            </w:r>
          </w:p>
        </w:tc>
        <w:tc>
          <w:tcPr>
            <w:tcW w:w="652" w:type="dxa"/>
            <w:tcBorders>
              <w:top w:val="nil"/>
              <w:left w:val="single" w:sz="4" w:space="0" w:color="auto"/>
              <w:bottom w:val="single" w:sz="8" w:space="0" w:color="000000" w:themeColor="text1"/>
              <w:right w:val="nil"/>
            </w:tcBorders>
            <w:noWrap/>
            <w:vAlign w:val="center"/>
            <w:hideMark/>
          </w:tcPr>
          <w:p w14:paraId="5EDB99F9"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w:t>
            </w:r>
          </w:p>
        </w:tc>
        <w:tc>
          <w:tcPr>
            <w:tcW w:w="1511" w:type="dxa"/>
            <w:tcBorders>
              <w:top w:val="single" w:sz="8" w:space="0" w:color="auto"/>
              <w:left w:val="single" w:sz="4" w:space="0" w:color="auto"/>
              <w:bottom w:val="single" w:sz="8" w:space="0" w:color="000000" w:themeColor="text1"/>
              <w:right w:val="nil"/>
            </w:tcBorders>
            <w:noWrap/>
            <w:vAlign w:val="center"/>
            <w:hideMark/>
          </w:tcPr>
          <w:p w14:paraId="29AED5A0"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Explanation</w:t>
            </w:r>
          </w:p>
        </w:tc>
        <w:tc>
          <w:tcPr>
            <w:tcW w:w="272" w:type="dxa"/>
            <w:tcBorders>
              <w:top w:val="nil"/>
              <w:left w:val="nil"/>
              <w:bottom w:val="nil"/>
              <w:right w:val="nil"/>
            </w:tcBorders>
            <w:shd w:val="clear" w:color="auto" w:fill="969696"/>
            <w:noWrap/>
            <w:vAlign w:val="center"/>
            <w:hideMark/>
          </w:tcPr>
          <w:p w14:paraId="334631BE" w14:textId="77777777" w:rsidR="008D77CC" w:rsidRPr="0095112F" w:rsidRDefault="008D77CC">
            <w:pPr>
              <w:spacing w:after="0"/>
              <w:jc w:val="center"/>
              <w:rPr>
                <w:rFonts w:ascii="Calibri" w:eastAsia="Times New Roman" w:hAnsi="Calibri" w:cs="Calibri"/>
                <w:noProof/>
                <w:color w:val="000000"/>
                <w:szCs w:val="20"/>
                <w:lang w:val="en-IE" w:eastAsia="en-IE"/>
              </w:rPr>
            </w:pPr>
          </w:p>
        </w:tc>
        <w:tc>
          <w:tcPr>
            <w:tcW w:w="794" w:type="dxa"/>
            <w:tcBorders>
              <w:top w:val="nil"/>
              <w:left w:val="single" w:sz="4" w:space="0" w:color="auto"/>
              <w:bottom w:val="single" w:sz="8" w:space="0" w:color="000000" w:themeColor="text1"/>
              <w:right w:val="single" w:sz="4" w:space="0" w:color="auto"/>
            </w:tcBorders>
            <w:vAlign w:val="center"/>
            <w:hideMark/>
          </w:tcPr>
          <w:p w14:paraId="26EF1EF7"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Hourly rate</w:t>
            </w:r>
            <w:r w:rsidRPr="0095112F">
              <w:rPr>
                <w:rFonts w:ascii="Arial" w:eastAsia="Times New Roman" w:hAnsi="Arial" w:cs="Arial"/>
                <w:noProof/>
                <w:szCs w:val="20"/>
                <w:lang w:val="en-IE" w:eastAsia="en-IE"/>
              </w:rPr>
              <w:br/>
              <w:t>(euro)</w:t>
            </w:r>
          </w:p>
        </w:tc>
        <w:tc>
          <w:tcPr>
            <w:tcW w:w="850" w:type="dxa"/>
            <w:tcBorders>
              <w:top w:val="nil"/>
              <w:left w:val="single" w:sz="4" w:space="0" w:color="auto"/>
              <w:bottom w:val="single" w:sz="8" w:space="0" w:color="000000" w:themeColor="text1"/>
              <w:right w:val="single" w:sz="4" w:space="0" w:color="auto"/>
            </w:tcBorders>
            <w:vAlign w:val="center"/>
            <w:hideMark/>
          </w:tcPr>
          <w:p w14:paraId="3E83B482"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xml:space="preserve">Time spent </w:t>
            </w:r>
            <w:r w:rsidRPr="0095112F">
              <w:rPr>
                <w:rFonts w:ascii="Arial" w:eastAsia="Times New Roman" w:hAnsi="Arial" w:cs="Arial"/>
                <w:noProof/>
                <w:szCs w:val="20"/>
                <w:lang w:val="en-IE" w:eastAsia="en-IE"/>
              </w:rPr>
              <w:br/>
              <w:t>(hours)</w:t>
            </w:r>
          </w:p>
        </w:tc>
        <w:tc>
          <w:tcPr>
            <w:tcW w:w="1295" w:type="dxa"/>
            <w:tcBorders>
              <w:top w:val="nil"/>
              <w:left w:val="single" w:sz="4" w:space="0" w:color="auto"/>
              <w:bottom w:val="single" w:sz="8" w:space="0" w:color="000000" w:themeColor="text1"/>
              <w:right w:val="nil"/>
            </w:tcBorders>
            <w:vAlign w:val="center"/>
            <w:hideMark/>
          </w:tcPr>
          <w:p w14:paraId="5DB0C3B4"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Notary and professional adviser costs (euro)</w:t>
            </w:r>
          </w:p>
        </w:tc>
        <w:tc>
          <w:tcPr>
            <w:tcW w:w="1325" w:type="dxa"/>
            <w:vMerge w:val="restart"/>
            <w:tcBorders>
              <w:top w:val="single" w:sz="8" w:space="0" w:color="auto"/>
              <w:left w:val="single" w:sz="4" w:space="0" w:color="auto"/>
              <w:bottom w:val="single" w:sz="8" w:space="0" w:color="000000" w:themeColor="text1"/>
              <w:right w:val="nil"/>
            </w:tcBorders>
            <w:vAlign w:val="center"/>
            <w:hideMark/>
          </w:tcPr>
          <w:p w14:paraId="6150C07B"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Explanation</w:t>
            </w:r>
          </w:p>
        </w:tc>
        <w:tc>
          <w:tcPr>
            <w:tcW w:w="272" w:type="dxa"/>
            <w:tcBorders>
              <w:top w:val="nil"/>
              <w:left w:val="nil"/>
              <w:bottom w:val="nil"/>
              <w:right w:val="nil"/>
            </w:tcBorders>
            <w:shd w:val="clear" w:color="auto" w:fill="969696"/>
            <w:noWrap/>
            <w:vAlign w:val="center"/>
            <w:hideMark/>
          </w:tcPr>
          <w:p w14:paraId="71F524B1" w14:textId="77777777" w:rsidR="008D77CC" w:rsidRPr="0095112F" w:rsidRDefault="008D77CC">
            <w:pPr>
              <w:spacing w:after="0"/>
              <w:jc w:val="center"/>
              <w:rPr>
                <w:rFonts w:ascii="Arial" w:eastAsia="Times New Roman" w:hAnsi="Arial" w:cs="Arial"/>
                <w:noProof/>
                <w:szCs w:val="20"/>
                <w:lang w:val="en-IE" w:eastAsia="en-IE"/>
              </w:rPr>
            </w:pPr>
          </w:p>
        </w:tc>
        <w:tc>
          <w:tcPr>
            <w:tcW w:w="3565" w:type="dxa"/>
            <w:gridSpan w:val="3"/>
            <w:tcBorders>
              <w:top w:val="single" w:sz="4" w:space="0" w:color="auto"/>
              <w:left w:val="single" w:sz="4" w:space="0" w:color="auto"/>
              <w:bottom w:val="nil"/>
              <w:right w:val="single" w:sz="4" w:space="0" w:color="auto"/>
            </w:tcBorders>
            <w:noWrap/>
            <w:vAlign w:val="center"/>
            <w:hideMark/>
          </w:tcPr>
          <w:p w14:paraId="648D9DB9"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Administrative burden reduction</w:t>
            </w:r>
          </w:p>
        </w:tc>
      </w:tr>
      <w:tr w:rsidR="00783610" w:rsidRPr="0095112F" w14:paraId="7D1D792A" w14:textId="77777777" w:rsidTr="6F00936E">
        <w:trPr>
          <w:trHeight w:val="529"/>
        </w:trPr>
        <w:tc>
          <w:tcPr>
            <w:tcW w:w="577" w:type="dxa"/>
            <w:gridSpan w:val="2"/>
            <w:tcBorders>
              <w:left w:val="single" w:sz="8" w:space="0" w:color="auto"/>
              <w:bottom w:val="single" w:sz="8" w:space="0" w:color="auto"/>
              <w:right w:val="nil"/>
            </w:tcBorders>
            <w:noWrap/>
            <w:vAlign w:val="center"/>
            <w:hideMark/>
          </w:tcPr>
          <w:p w14:paraId="252CA233" w14:textId="77777777" w:rsidR="008D77CC" w:rsidRPr="0095112F" w:rsidRDefault="008D77CC">
            <w:pPr>
              <w:spacing w:after="0"/>
              <w:jc w:val="center"/>
              <w:rPr>
                <w:rFonts w:ascii="Arial" w:eastAsia="Times New Roman" w:hAnsi="Arial" w:cs="Arial"/>
                <w:noProof/>
                <w:szCs w:val="20"/>
                <w:lang w:val="en-IE" w:eastAsia="en-IE"/>
              </w:rPr>
            </w:pPr>
          </w:p>
        </w:tc>
        <w:tc>
          <w:tcPr>
            <w:tcW w:w="1540" w:type="dxa"/>
            <w:gridSpan w:val="2"/>
            <w:tcBorders>
              <w:top w:val="nil"/>
              <w:left w:val="nil"/>
              <w:bottom w:val="single" w:sz="8" w:space="0" w:color="000000" w:themeColor="text1"/>
              <w:right w:val="nil"/>
            </w:tcBorders>
            <w:vAlign w:val="center"/>
            <w:hideMark/>
          </w:tcPr>
          <w:p w14:paraId="3C57549F" w14:textId="77777777" w:rsidR="008D77CC" w:rsidRPr="0095112F" w:rsidRDefault="008D77CC">
            <w:pPr>
              <w:spacing w:after="0"/>
              <w:rPr>
                <w:rFonts w:ascii="Arial" w:eastAsia="Times New Roman" w:hAnsi="Arial" w:cs="Arial"/>
                <w:noProof/>
                <w:szCs w:val="20"/>
                <w:lang w:val="en-IE" w:eastAsia="en-IE"/>
              </w:rPr>
            </w:pPr>
          </w:p>
        </w:tc>
        <w:tc>
          <w:tcPr>
            <w:tcW w:w="272" w:type="dxa"/>
            <w:tcBorders>
              <w:top w:val="nil"/>
              <w:left w:val="nil"/>
              <w:bottom w:val="nil"/>
              <w:right w:val="nil"/>
            </w:tcBorders>
            <w:shd w:val="clear" w:color="auto" w:fill="969696"/>
            <w:vAlign w:val="center"/>
            <w:hideMark/>
          </w:tcPr>
          <w:p w14:paraId="7D562648" w14:textId="77777777" w:rsidR="008D77CC" w:rsidRPr="0095112F" w:rsidRDefault="008D77CC">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nil"/>
              <w:left w:val="single" w:sz="4" w:space="0" w:color="auto"/>
              <w:bottom w:val="single" w:sz="8" w:space="0" w:color="000000" w:themeColor="text1"/>
              <w:right w:val="single" w:sz="4" w:space="0" w:color="auto"/>
            </w:tcBorders>
            <w:vAlign w:val="center"/>
            <w:hideMark/>
          </w:tcPr>
          <w:p w14:paraId="6D07A625" w14:textId="77777777" w:rsidR="008D77CC" w:rsidRPr="0095112F" w:rsidRDefault="008D77CC">
            <w:pPr>
              <w:spacing w:after="0"/>
              <w:rPr>
                <w:rFonts w:ascii="Arial" w:eastAsia="Times New Roman" w:hAnsi="Arial" w:cs="Arial"/>
                <w:noProof/>
                <w:szCs w:val="20"/>
                <w:lang w:val="en-IE" w:eastAsia="en-IE"/>
              </w:rPr>
            </w:pPr>
          </w:p>
        </w:tc>
        <w:tc>
          <w:tcPr>
            <w:tcW w:w="1161" w:type="dxa"/>
            <w:tcBorders>
              <w:top w:val="nil"/>
              <w:left w:val="single" w:sz="4" w:space="0" w:color="auto"/>
              <w:bottom w:val="single" w:sz="8" w:space="0" w:color="000000" w:themeColor="text1"/>
              <w:right w:val="single" w:sz="4" w:space="0" w:color="auto"/>
            </w:tcBorders>
            <w:vAlign w:val="center"/>
            <w:hideMark/>
          </w:tcPr>
          <w:p w14:paraId="597DBB5F" w14:textId="77777777" w:rsidR="008D77CC" w:rsidRPr="0095112F" w:rsidRDefault="008D77CC">
            <w:pPr>
              <w:spacing w:after="0"/>
              <w:rPr>
                <w:rFonts w:ascii="Arial" w:eastAsia="Times New Roman" w:hAnsi="Arial" w:cs="Arial"/>
                <w:noProof/>
                <w:szCs w:val="20"/>
                <w:lang w:val="en-IE" w:eastAsia="en-IE"/>
              </w:rPr>
            </w:pPr>
          </w:p>
        </w:tc>
        <w:tc>
          <w:tcPr>
            <w:tcW w:w="652" w:type="dxa"/>
            <w:tcBorders>
              <w:top w:val="nil"/>
              <w:left w:val="single" w:sz="4" w:space="0" w:color="auto"/>
              <w:bottom w:val="single" w:sz="8" w:space="0" w:color="000000" w:themeColor="text1"/>
              <w:right w:val="nil"/>
            </w:tcBorders>
            <w:vAlign w:val="center"/>
            <w:hideMark/>
          </w:tcPr>
          <w:p w14:paraId="478A14F0" w14:textId="77777777" w:rsidR="008D77CC" w:rsidRPr="0095112F" w:rsidRDefault="008D77CC">
            <w:pPr>
              <w:spacing w:after="0"/>
              <w:rPr>
                <w:rFonts w:ascii="Arial" w:eastAsia="Times New Roman" w:hAnsi="Arial" w:cs="Arial"/>
                <w:noProof/>
                <w:szCs w:val="20"/>
                <w:lang w:val="en-IE" w:eastAsia="en-IE"/>
              </w:rPr>
            </w:pPr>
          </w:p>
        </w:tc>
        <w:tc>
          <w:tcPr>
            <w:tcW w:w="1511" w:type="dxa"/>
            <w:tcBorders>
              <w:top w:val="single" w:sz="8" w:space="0" w:color="auto"/>
              <w:left w:val="single" w:sz="4" w:space="0" w:color="auto"/>
              <w:bottom w:val="single" w:sz="8" w:space="0" w:color="000000" w:themeColor="text1"/>
              <w:right w:val="nil"/>
            </w:tcBorders>
            <w:vAlign w:val="center"/>
            <w:hideMark/>
          </w:tcPr>
          <w:p w14:paraId="17520478" w14:textId="77777777" w:rsidR="008D77CC" w:rsidRPr="0095112F" w:rsidRDefault="008D77CC">
            <w:pPr>
              <w:spacing w:after="0"/>
              <w:rPr>
                <w:rFonts w:ascii="Arial" w:eastAsia="Times New Roman" w:hAnsi="Arial" w:cs="Arial"/>
                <w:noProof/>
                <w:szCs w:val="20"/>
                <w:lang w:val="en-IE" w:eastAsia="en-IE"/>
              </w:rPr>
            </w:pPr>
          </w:p>
        </w:tc>
        <w:tc>
          <w:tcPr>
            <w:tcW w:w="272" w:type="dxa"/>
            <w:tcBorders>
              <w:top w:val="nil"/>
              <w:left w:val="nil"/>
              <w:bottom w:val="nil"/>
              <w:right w:val="nil"/>
            </w:tcBorders>
            <w:shd w:val="clear" w:color="auto" w:fill="969696"/>
            <w:vAlign w:val="center"/>
            <w:hideMark/>
          </w:tcPr>
          <w:p w14:paraId="40823BCC"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000000" w:themeColor="text1"/>
              <w:right w:val="single" w:sz="4" w:space="0" w:color="auto"/>
            </w:tcBorders>
            <w:vAlign w:val="center"/>
            <w:hideMark/>
          </w:tcPr>
          <w:p w14:paraId="5F3CD088" w14:textId="77777777" w:rsidR="008D77CC" w:rsidRPr="0095112F" w:rsidRDefault="008D77CC">
            <w:pPr>
              <w:spacing w:after="0"/>
              <w:rPr>
                <w:rFonts w:ascii="Arial" w:eastAsia="Times New Roman" w:hAnsi="Arial" w:cs="Arial"/>
                <w:noProof/>
                <w:szCs w:val="20"/>
                <w:lang w:val="en-IE" w:eastAsia="en-IE"/>
              </w:rPr>
            </w:pPr>
          </w:p>
        </w:tc>
        <w:tc>
          <w:tcPr>
            <w:tcW w:w="850" w:type="dxa"/>
            <w:tcBorders>
              <w:top w:val="nil"/>
              <w:left w:val="single" w:sz="4" w:space="0" w:color="auto"/>
              <w:bottom w:val="single" w:sz="8" w:space="0" w:color="000000" w:themeColor="text1"/>
              <w:right w:val="single" w:sz="4" w:space="0" w:color="auto"/>
            </w:tcBorders>
            <w:vAlign w:val="center"/>
            <w:hideMark/>
          </w:tcPr>
          <w:p w14:paraId="3B18DFED" w14:textId="77777777" w:rsidR="008D77CC" w:rsidRPr="0095112F" w:rsidRDefault="008D77CC">
            <w:pPr>
              <w:spacing w:after="0"/>
              <w:rPr>
                <w:rFonts w:ascii="Arial" w:eastAsia="Times New Roman" w:hAnsi="Arial" w:cs="Arial"/>
                <w:noProof/>
                <w:szCs w:val="20"/>
                <w:lang w:val="en-IE" w:eastAsia="en-IE"/>
              </w:rPr>
            </w:pPr>
          </w:p>
        </w:tc>
        <w:tc>
          <w:tcPr>
            <w:tcW w:w="1295" w:type="dxa"/>
            <w:tcBorders>
              <w:top w:val="nil"/>
              <w:left w:val="single" w:sz="4" w:space="0" w:color="auto"/>
              <w:bottom w:val="single" w:sz="8" w:space="0" w:color="000000" w:themeColor="text1"/>
              <w:right w:val="nil"/>
            </w:tcBorders>
            <w:vAlign w:val="center"/>
            <w:hideMark/>
          </w:tcPr>
          <w:p w14:paraId="44535DDD" w14:textId="77777777" w:rsidR="008D77CC" w:rsidRPr="0095112F" w:rsidRDefault="008D77CC">
            <w:pPr>
              <w:spacing w:after="0"/>
              <w:rPr>
                <w:rFonts w:ascii="Arial" w:eastAsia="Times New Roman" w:hAnsi="Arial" w:cs="Arial"/>
                <w:noProof/>
                <w:szCs w:val="20"/>
                <w:lang w:val="en-IE" w:eastAsia="en-IE"/>
              </w:rPr>
            </w:pPr>
          </w:p>
        </w:tc>
        <w:tc>
          <w:tcPr>
            <w:tcW w:w="1325" w:type="dxa"/>
            <w:vMerge/>
            <w:vAlign w:val="center"/>
            <w:hideMark/>
          </w:tcPr>
          <w:p w14:paraId="4D44CE29" w14:textId="77777777" w:rsidR="008D77CC" w:rsidRPr="0095112F" w:rsidRDefault="008D77CC">
            <w:pPr>
              <w:spacing w:after="0"/>
              <w:rPr>
                <w:rFonts w:ascii="Arial" w:eastAsia="Times New Roman" w:hAnsi="Arial" w:cs="Arial"/>
                <w:noProof/>
                <w:szCs w:val="20"/>
                <w:lang w:val="en-IE" w:eastAsia="en-IE"/>
              </w:rPr>
            </w:pPr>
          </w:p>
        </w:tc>
        <w:tc>
          <w:tcPr>
            <w:tcW w:w="272" w:type="dxa"/>
            <w:tcBorders>
              <w:top w:val="nil"/>
              <w:left w:val="nil"/>
              <w:bottom w:val="nil"/>
              <w:right w:val="nil"/>
            </w:tcBorders>
            <w:shd w:val="clear" w:color="auto" w:fill="969696"/>
            <w:noWrap/>
            <w:vAlign w:val="center"/>
            <w:hideMark/>
          </w:tcPr>
          <w:p w14:paraId="63A5E3CB"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single" w:sz="4" w:space="0" w:color="auto"/>
              <w:left w:val="single" w:sz="4" w:space="0" w:color="auto"/>
              <w:bottom w:val="single" w:sz="4" w:space="0" w:color="auto"/>
              <w:right w:val="single" w:sz="4" w:space="0" w:color="auto"/>
            </w:tcBorders>
            <w:noWrap/>
            <w:vAlign w:val="center"/>
            <w:hideMark/>
          </w:tcPr>
          <w:p w14:paraId="6E20C7F9" w14:textId="610C9833"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xml:space="preserve">Cost </w:t>
            </w:r>
            <w:r w:rsidR="00BA26E7">
              <w:rPr>
                <w:rFonts w:ascii="Arial" w:eastAsia="Times New Roman" w:hAnsi="Arial" w:cs="Arial"/>
                <w:noProof/>
                <w:szCs w:val="20"/>
                <w:lang w:val="en-IE" w:eastAsia="en-IE"/>
              </w:rPr>
              <w:t xml:space="preserve">savings </w:t>
            </w:r>
            <w:r w:rsidRPr="0095112F">
              <w:rPr>
                <w:rFonts w:ascii="Arial" w:eastAsia="Times New Roman" w:hAnsi="Arial" w:cs="Arial"/>
                <w:noProof/>
                <w:szCs w:val="20"/>
                <w:lang w:val="en-IE" w:eastAsia="en-IE"/>
              </w:rPr>
              <w:t>per company</w:t>
            </w:r>
          </w:p>
        </w:tc>
        <w:tc>
          <w:tcPr>
            <w:tcW w:w="1184" w:type="dxa"/>
            <w:tcBorders>
              <w:top w:val="single" w:sz="4" w:space="0" w:color="auto"/>
              <w:left w:val="nil"/>
              <w:bottom w:val="single" w:sz="4" w:space="0" w:color="auto"/>
              <w:right w:val="single" w:sz="4" w:space="0" w:color="auto"/>
            </w:tcBorders>
            <w:noWrap/>
            <w:vAlign w:val="center"/>
            <w:hideMark/>
          </w:tcPr>
          <w:p w14:paraId="7AA48481"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Number of companies</w:t>
            </w:r>
          </w:p>
        </w:tc>
        <w:tc>
          <w:tcPr>
            <w:tcW w:w="1353" w:type="dxa"/>
            <w:tcBorders>
              <w:top w:val="single" w:sz="4" w:space="0" w:color="auto"/>
              <w:left w:val="nil"/>
              <w:bottom w:val="single" w:sz="4" w:space="0" w:color="auto"/>
              <w:right w:val="single" w:sz="4" w:space="0" w:color="auto"/>
            </w:tcBorders>
            <w:noWrap/>
            <w:vAlign w:val="center"/>
            <w:hideMark/>
          </w:tcPr>
          <w:p w14:paraId="147C3C2E" w14:textId="77777777" w:rsidR="008D77CC" w:rsidRPr="0095112F" w:rsidRDefault="008D77CC">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Total benefit</w:t>
            </w:r>
          </w:p>
        </w:tc>
      </w:tr>
      <w:tr w:rsidR="00783610" w:rsidRPr="0095112F" w14:paraId="7523E1B5" w14:textId="77777777" w:rsidTr="6F00936E">
        <w:trPr>
          <w:trHeight w:val="300"/>
        </w:trPr>
        <w:tc>
          <w:tcPr>
            <w:tcW w:w="428" w:type="dxa"/>
            <w:tcBorders>
              <w:top w:val="nil"/>
              <w:left w:val="single" w:sz="8" w:space="0" w:color="auto"/>
              <w:bottom w:val="single" w:sz="8" w:space="0" w:color="auto"/>
              <w:right w:val="nil"/>
            </w:tcBorders>
            <w:shd w:val="clear" w:color="auto" w:fill="305496"/>
            <w:noWrap/>
            <w:vAlign w:val="center"/>
            <w:hideMark/>
          </w:tcPr>
          <w:p w14:paraId="6EBE32E5"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gridSpan w:val="2"/>
            <w:tcBorders>
              <w:top w:val="nil"/>
              <w:left w:val="nil"/>
              <w:bottom w:val="single" w:sz="8" w:space="0" w:color="auto"/>
              <w:right w:val="nil"/>
            </w:tcBorders>
            <w:shd w:val="clear" w:color="auto" w:fill="305496"/>
            <w:noWrap/>
            <w:vAlign w:val="center"/>
            <w:hideMark/>
          </w:tcPr>
          <w:p w14:paraId="11B3781A"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417" w:type="dxa"/>
            <w:tcBorders>
              <w:top w:val="nil"/>
              <w:left w:val="nil"/>
              <w:bottom w:val="single" w:sz="8" w:space="0" w:color="auto"/>
              <w:right w:val="nil"/>
            </w:tcBorders>
            <w:shd w:val="clear" w:color="auto" w:fill="305496"/>
            <w:noWrap/>
            <w:vAlign w:val="center"/>
            <w:hideMark/>
          </w:tcPr>
          <w:p w14:paraId="2D132921"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531DACDB"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nil"/>
              <w:left w:val="single" w:sz="4" w:space="0" w:color="auto"/>
              <w:bottom w:val="single" w:sz="8" w:space="0" w:color="auto"/>
              <w:right w:val="nil"/>
            </w:tcBorders>
            <w:shd w:val="clear" w:color="auto" w:fill="8EA9DB"/>
            <w:noWrap/>
            <w:vAlign w:val="center"/>
            <w:hideMark/>
          </w:tcPr>
          <w:p w14:paraId="347D2D8B"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4148FB1F"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652" w:type="dxa"/>
            <w:tcBorders>
              <w:top w:val="nil"/>
              <w:left w:val="single" w:sz="4" w:space="0" w:color="auto"/>
              <w:bottom w:val="single" w:sz="8" w:space="0" w:color="auto"/>
              <w:right w:val="nil"/>
            </w:tcBorders>
            <w:shd w:val="clear" w:color="auto" w:fill="8EA9DB"/>
            <w:noWrap/>
            <w:vAlign w:val="center"/>
            <w:hideMark/>
          </w:tcPr>
          <w:p w14:paraId="27D6B4FF"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511" w:type="dxa"/>
            <w:tcBorders>
              <w:top w:val="nil"/>
              <w:left w:val="single" w:sz="4" w:space="0" w:color="auto"/>
              <w:bottom w:val="single" w:sz="8" w:space="0" w:color="auto"/>
              <w:right w:val="nil"/>
            </w:tcBorders>
            <w:shd w:val="clear" w:color="auto" w:fill="8EA9DB"/>
            <w:noWrap/>
            <w:vAlign w:val="center"/>
            <w:hideMark/>
          </w:tcPr>
          <w:p w14:paraId="72EA6137"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noWrap/>
            <w:vAlign w:val="center"/>
            <w:hideMark/>
          </w:tcPr>
          <w:p w14:paraId="24A07F3B"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auto"/>
              <w:right w:val="nil"/>
            </w:tcBorders>
            <w:shd w:val="clear" w:color="auto" w:fill="C6E0B4"/>
            <w:noWrap/>
            <w:vAlign w:val="center"/>
            <w:hideMark/>
          </w:tcPr>
          <w:p w14:paraId="3C3DC4D7"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28B52DBF"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49A8B05C"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25" w:type="dxa"/>
            <w:tcBorders>
              <w:top w:val="nil"/>
              <w:left w:val="single" w:sz="4" w:space="0" w:color="auto"/>
              <w:bottom w:val="single" w:sz="8" w:space="0" w:color="auto"/>
              <w:right w:val="nil"/>
            </w:tcBorders>
            <w:shd w:val="clear" w:color="auto" w:fill="C6E0B4"/>
            <w:vAlign w:val="center"/>
            <w:hideMark/>
          </w:tcPr>
          <w:p w14:paraId="67828732"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nil"/>
              <w:left w:val="nil"/>
              <w:bottom w:val="nil"/>
              <w:right w:val="nil"/>
            </w:tcBorders>
            <w:shd w:val="clear" w:color="auto" w:fill="969696"/>
            <w:noWrap/>
            <w:vAlign w:val="center"/>
            <w:hideMark/>
          </w:tcPr>
          <w:p w14:paraId="158977D6"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55C70B15" w14:textId="77777777" w:rsidR="008D77CC" w:rsidRPr="0095112F" w:rsidRDefault="008D77CC">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c>
          <w:tcPr>
            <w:tcW w:w="1353" w:type="dxa"/>
            <w:tcBorders>
              <w:top w:val="nil"/>
              <w:left w:val="single" w:sz="8" w:space="0" w:color="auto"/>
              <w:bottom w:val="single" w:sz="8" w:space="0" w:color="auto"/>
              <w:right w:val="single" w:sz="8" w:space="0" w:color="auto"/>
            </w:tcBorders>
            <w:shd w:val="clear" w:color="auto" w:fill="DBDBDB"/>
            <w:noWrap/>
            <w:vAlign w:val="center"/>
            <w:hideMark/>
          </w:tcPr>
          <w:p w14:paraId="50010343" w14:textId="77777777" w:rsidR="008D77CC" w:rsidRPr="0095112F" w:rsidRDefault="008D77CC">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401FEA" w:rsidRPr="0095112F" w14:paraId="0765E5B0" w14:textId="77777777">
        <w:trPr>
          <w:trHeight w:val="300"/>
        </w:trPr>
        <w:tc>
          <w:tcPr>
            <w:tcW w:w="2117" w:type="dxa"/>
            <w:gridSpan w:val="4"/>
            <w:tcBorders>
              <w:top w:val="single" w:sz="8" w:space="0" w:color="auto"/>
              <w:left w:val="single" w:sz="8" w:space="0" w:color="auto"/>
              <w:bottom w:val="single" w:sz="8" w:space="0" w:color="auto"/>
              <w:right w:val="nil"/>
            </w:tcBorders>
            <w:shd w:val="clear" w:color="auto" w:fill="FFFF00"/>
            <w:noWrap/>
            <w:vAlign w:val="center"/>
            <w:hideMark/>
          </w:tcPr>
          <w:p w14:paraId="5CFC00EB" w14:textId="46C26320" w:rsidR="0070773D" w:rsidRPr="0095112F" w:rsidRDefault="0070773D" w:rsidP="0070773D">
            <w:pPr>
              <w:spacing w:after="0"/>
              <w:rPr>
                <w:rFonts w:ascii="Arial" w:eastAsia="Times New Roman" w:hAnsi="Arial" w:cs="Arial"/>
                <w:noProof/>
                <w:szCs w:val="20"/>
                <w:lang w:val="en-IE" w:eastAsia="en-IE"/>
              </w:rPr>
            </w:pPr>
            <w:r w:rsidRPr="0095112F">
              <w:rPr>
                <w:rFonts w:ascii="Arial" w:eastAsia="Times New Roman" w:hAnsi="Arial" w:cs="Arial"/>
                <w:b/>
                <w:bCs/>
                <w:noProof/>
                <w:szCs w:val="20"/>
                <w:lang w:val="en-IE" w:eastAsia="en-IE"/>
              </w:rPr>
              <w:t>PO 4a</w:t>
            </w: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4ABC2E48" w14:textId="77777777" w:rsidR="0070773D" w:rsidRPr="0095112F" w:rsidRDefault="0070773D">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nil"/>
              <w:left w:val="single" w:sz="4" w:space="0" w:color="auto"/>
              <w:bottom w:val="single" w:sz="8" w:space="0" w:color="auto"/>
              <w:right w:val="nil"/>
            </w:tcBorders>
            <w:noWrap/>
            <w:vAlign w:val="center"/>
            <w:hideMark/>
          </w:tcPr>
          <w:p w14:paraId="3048641D" w14:textId="77777777" w:rsidR="0070773D" w:rsidRPr="0095112F" w:rsidRDefault="0070773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61" w:type="dxa"/>
            <w:tcBorders>
              <w:top w:val="nil"/>
              <w:left w:val="single" w:sz="4" w:space="0" w:color="auto"/>
              <w:bottom w:val="single" w:sz="8" w:space="0" w:color="auto"/>
              <w:right w:val="nil"/>
            </w:tcBorders>
            <w:noWrap/>
            <w:vAlign w:val="center"/>
            <w:hideMark/>
          </w:tcPr>
          <w:p w14:paraId="64356BD9" w14:textId="77777777" w:rsidR="0070773D" w:rsidRPr="0095112F" w:rsidRDefault="0070773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652" w:type="dxa"/>
            <w:tcBorders>
              <w:top w:val="nil"/>
              <w:left w:val="single" w:sz="4" w:space="0" w:color="auto"/>
              <w:bottom w:val="single" w:sz="8" w:space="0" w:color="auto"/>
              <w:right w:val="nil"/>
            </w:tcBorders>
            <w:noWrap/>
            <w:vAlign w:val="center"/>
            <w:hideMark/>
          </w:tcPr>
          <w:p w14:paraId="70775053" w14:textId="77777777" w:rsidR="0070773D" w:rsidRPr="0095112F" w:rsidRDefault="0070773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511" w:type="dxa"/>
            <w:tcBorders>
              <w:top w:val="nil"/>
              <w:left w:val="single" w:sz="4" w:space="0" w:color="auto"/>
              <w:bottom w:val="single" w:sz="8" w:space="0" w:color="auto"/>
              <w:right w:val="nil"/>
            </w:tcBorders>
            <w:noWrap/>
            <w:vAlign w:val="center"/>
            <w:hideMark/>
          </w:tcPr>
          <w:p w14:paraId="2C5180F5" w14:textId="77777777" w:rsidR="0070773D" w:rsidRPr="0095112F" w:rsidRDefault="0070773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noWrap/>
            <w:vAlign w:val="center"/>
            <w:hideMark/>
          </w:tcPr>
          <w:p w14:paraId="4DCCF3C5" w14:textId="77777777" w:rsidR="0070773D" w:rsidRPr="0095112F" w:rsidRDefault="0070773D">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nil"/>
              <w:right w:val="nil"/>
            </w:tcBorders>
            <w:noWrap/>
            <w:vAlign w:val="center"/>
            <w:hideMark/>
          </w:tcPr>
          <w:p w14:paraId="4AB0B252" w14:textId="77777777" w:rsidR="0070773D" w:rsidRPr="0095112F" w:rsidRDefault="0070773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77B5C0E3" w14:textId="77777777" w:rsidR="0070773D" w:rsidRPr="0095112F" w:rsidRDefault="0070773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12B5C126" w14:textId="77777777" w:rsidR="0070773D" w:rsidRPr="0095112F" w:rsidRDefault="0070773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25" w:type="dxa"/>
            <w:tcBorders>
              <w:top w:val="nil"/>
              <w:left w:val="single" w:sz="4" w:space="0" w:color="auto"/>
              <w:bottom w:val="nil"/>
              <w:right w:val="nil"/>
            </w:tcBorders>
            <w:noWrap/>
            <w:vAlign w:val="center"/>
            <w:hideMark/>
          </w:tcPr>
          <w:p w14:paraId="61BF8BDF" w14:textId="77777777" w:rsidR="0070773D" w:rsidRPr="0095112F" w:rsidRDefault="0070773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72" w:type="dxa"/>
            <w:tcBorders>
              <w:top w:val="nil"/>
              <w:left w:val="nil"/>
              <w:bottom w:val="nil"/>
              <w:right w:val="single" w:sz="8" w:space="0" w:color="auto"/>
            </w:tcBorders>
            <w:shd w:val="clear" w:color="auto" w:fill="969696"/>
            <w:noWrap/>
            <w:vAlign w:val="center"/>
            <w:hideMark/>
          </w:tcPr>
          <w:p w14:paraId="0C65C547" w14:textId="77777777" w:rsidR="0070773D" w:rsidRPr="0095112F" w:rsidRDefault="0070773D">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028" w:type="dxa"/>
            <w:tcBorders>
              <w:top w:val="nil"/>
              <w:left w:val="nil"/>
              <w:bottom w:val="nil"/>
              <w:right w:val="nil"/>
            </w:tcBorders>
            <w:noWrap/>
            <w:vAlign w:val="center"/>
            <w:hideMark/>
          </w:tcPr>
          <w:p w14:paraId="374DF169" w14:textId="77777777" w:rsidR="0070773D" w:rsidRPr="0095112F" w:rsidRDefault="0070773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443320F6" w14:textId="77777777" w:rsidR="0070773D" w:rsidRPr="0095112F" w:rsidRDefault="0070773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53" w:type="dxa"/>
            <w:tcBorders>
              <w:top w:val="nil"/>
              <w:left w:val="nil"/>
              <w:bottom w:val="nil"/>
              <w:right w:val="single" w:sz="8" w:space="0" w:color="auto"/>
            </w:tcBorders>
            <w:noWrap/>
            <w:vAlign w:val="center"/>
            <w:hideMark/>
          </w:tcPr>
          <w:p w14:paraId="788452B5" w14:textId="77777777" w:rsidR="0070773D" w:rsidRPr="0095112F" w:rsidRDefault="0070773D">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783610" w:rsidRPr="0095112F" w14:paraId="7BE2828D" w14:textId="77777777" w:rsidTr="6F00936E">
        <w:trPr>
          <w:trHeight w:val="1020"/>
        </w:trPr>
        <w:tc>
          <w:tcPr>
            <w:tcW w:w="2117" w:type="dxa"/>
            <w:gridSpan w:val="4"/>
            <w:vMerge w:val="restart"/>
            <w:tcBorders>
              <w:top w:val="single" w:sz="8" w:space="0" w:color="auto"/>
              <w:left w:val="single" w:sz="8" w:space="0" w:color="auto"/>
              <w:right w:val="nil"/>
            </w:tcBorders>
            <w:vAlign w:val="center"/>
            <w:hideMark/>
          </w:tcPr>
          <w:p w14:paraId="6B295532" w14:textId="13D46258" w:rsidR="008D77CC" w:rsidRPr="0095112F" w:rsidRDefault="0035424F">
            <w:pPr>
              <w:spacing w:after="0"/>
              <w:rPr>
                <w:rFonts w:ascii="Calibri" w:eastAsia="Times New Roman" w:hAnsi="Calibri" w:cs="Calibri"/>
                <w:noProof/>
                <w:color w:val="000000"/>
                <w:szCs w:val="20"/>
                <w:lang w:val="en-IE" w:eastAsia="en-IE"/>
              </w:rPr>
            </w:pPr>
            <w:r w:rsidRPr="0035424F">
              <w:rPr>
                <w:rFonts w:ascii="Calibri" w:eastAsia="Times New Roman" w:hAnsi="Calibri" w:cs="Calibri"/>
                <w:noProof/>
                <w:color w:val="000000"/>
                <w:szCs w:val="20"/>
                <w:lang w:val="en-IE" w:eastAsia="en-IE"/>
              </w:rPr>
              <w:t>Ensure that all relevant filings by the liquidator for closure outside of insolvency are transferred from business register to other authorities (“once-only principle”) and online filing of claims from creditors.</w:t>
            </w:r>
          </w:p>
        </w:tc>
        <w:tc>
          <w:tcPr>
            <w:tcW w:w="272" w:type="dxa"/>
            <w:tcBorders>
              <w:top w:val="nil"/>
              <w:left w:val="nil"/>
              <w:bottom w:val="nil"/>
              <w:right w:val="single" w:sz="4" w:space="0" w:color="auto"/>
            </w:tcBorders>
            <w:shd w:val="clear" w:color="auto" w:fill="969696"/>
            <w:vAlign w:val="center"/>
            <w:hideMark/>
          </w:tcPr>
          <w:p w14:paraId="2BB64B36"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vMerge w:val="restart"/>
            <w:tcBorders>
              <w:top w:val="nil"/>
              <w:left w:val="single" w:sz="4" w:space="0" w:color="auto"/>
              <w:right w:val="single" w:sz="4" w:space="0" w:color="auto"/>
            </w:tcBorders>
            <w:vAlign w:val="center"/>
            <w:hideMark/>
          </w:tcPr>
          <w:p w14:paraId="0B702DC3"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308,843</w:t>
            </w:r>
          </w:p>
        </w:tc>
        <w:tc>
          <w:tcPr>
            <w:tcW w:w="1161" w:type="dxa"/>
            <w:vMerge w:val="restart"/>
            <w:tcBorders>
              <w:top w:val="nil"/>
              <w:left w:val="single" w:sz="4" w:space="0" w:color="auto"/>
              <w:right w:val="single" w:sz="4" w:space="0" w:color="auto"/>
            </w:tcBorders>
            <w:vAlign w:val="center"/>
            <w:hideMark/>
          </w:tcPr>
          <w:p w14:paraId="69984ED4"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652" w:type="dxa"/>
            <w:vMerge w:val="restart"/>
            <w:tcBorders>
              <w:top w:val="nil"/>
              <w:left w:val="single" w:sz="4" w:space="0" w:color="auto"/>
              <w:right w:val="single" w:sz="4" w:space="0" w:color="auto"/>
            </w:tcBorders>
            <w:vAlign w:val="center"/>
            <w:hideMark/>
          </w:tcPr>
          <w:p w14:paraId="131515AD" w14:textId="77777777" w:rsidR="008D77CC" w:rsidRPr="0095112F" w:rsidRDefault="008D77CC">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8.5%</w:t>
            </w:r>
          </w:p>
        </w:tc>
        <w:tc>
          <w:tcPr>
            <w:tcW w:w="1511" w:type="dxa"/>
            <w:vMerge w:val="restart"/>
            <w:tcBorders>
              <w:top w:val="nil"/>
              <w:left w:val="single" w:sz="4" w:space="0" w:color="auto"/>
              <w:right w:val="nil"/>
            </w:tcBorders>
            <w:shd w:val="clear" w:color="auto" w:fill="FFFFFF" w:themeFill="background1"/>
            <w:vAlign w:val="center"/>
            <w:hideMark/>
          </w:tcPr>
          <w:p w14:paraId="2AED4E96"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According to Eurostat, there was an 8.5% rate of enterprise deaths in 2025 (exempting insolvency).</w:t>
            </w:r>
          </w:p>
        </w:tc>
        <w:tc>
          <w:tcPr>
            <w:tcW w:w="272" w:type="dxa"/>
            <w:tcBorders>
              <w:top w:val="nil"/>
              <w:left w:val="nil"/>
              <w:bottom w:val="nil"/>
              <w:right w:val="nil"/>
            </w:tcBorders>
            <w:shd w:val="clear" w:color="auto" w:fill="969696"/>
            <w:noWrap/>
            <w:vAlign w:val="center"/>
            <w:hideMark/>
          </w:tcPr>
          <w:p w14:paraId="6CECA7EE"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4DF354B0"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60.00</w:t>
            </w:r>
          </w:p>
        </w:tc>
        <w:tc>
          <w:tcPr>
            <w:tcW w:w="850"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0B04CE44"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2.00</w:t>
            </w:r>
          </w:p>
        </w:tc>
        <w:tc>
          <w:tcPr>
            <w:tcW w:w="1295"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5269B083"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w:t>
            </w:r>
          </w:p>
        </w:tc>
        <w:tc>
          <w:tcPr>
            <w:tcW w:w="1325" w:type="dxa"/>
            <w:vMerge w:val="restart"/>
            <w:tcBorders>
              <w:top w:val="single" w:sz="4" w:space="0" w:color="auto"/>
              <w:left w:val="single" w:sz="4" w:space="0" w:color="auto"/>
              <w:right w:val="single" w:sz="4" w:space="0" w:color="auto"/>
            </w:tcBorders>
            <w:vAlign w:val="center"/>
            <w:hideMark/>
          </w:tcPr>
          <w:p w14:paraId="3BA57911"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Time spent reduction: 2 hours.</w:t>
            </w:r>
          </w:p>
        </w:tc>
        <w:tc>
          <w:tcPr>
            <w:tcW w:w="272" w:type="dxa"/>
            <w:tcBorders>
              <w:top w:val="nil"/>
              <w:left w:val="nil"/>
              <w:bottom w:val="nil"/>
              <w:right w:val="nil"/>
            </w:tcBorders>
            <w:shd w:val="clear" w:color="auto" w:fill="969696"/>
            <w:noWrap/>
            <w:vAlign w:val="center"/>
            <w:hideMark/>
          </w:tcPr>
          <w:p w14:paraId="56225518"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vMerge w:val="restart"/>
            <w:tcBorders>
              <w:top w:val="single" w:sz="4" w:space="0" w:color="auto"/>
              <w:left w:val="single" w:sz="4" w:space="0" w:color="auto"/>
              <w:right w:val="single" w:sz="4" w:space="0" w:color="auto"/>
            </w:tcBorders>
            <w:vAlign w:val="center"/>
            <w:hideMark/>
          </w:tcPr>
          <w:p w14:paraId="7E276457"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120.00</w:t>
            </w:r>
          </w:p>
        </w:tc>
        <w:tc>
          <w:tcPr>
            <w:tcW w:w="1184" w:type="dxa"/>
            <w:vMerge w:val="restart"/>
            <w:tcBorders>
              <w:top w:val="single" w:sz="4" w:space="0" w:color="auto"/>
              <w:left w:val="single" w:sz="4" w:space="0" w:color="auto"/>
              <w:right w:val="single" w:sz="4" w:space="0" w:color="auto"/>
            </w:tcBorders>
            <w:vAlign w:val="center"/>
            <w:hideMark/>
          </w:tcPr>
          <w:p w14:paraId="484149A7"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26,252</w:t>
            </w:r>
          </w:p>
        </w:tc>
        <w:tc>
          <w:tcPr>
            <w:tcW w:w="1353" w:type="dxa"/>
            <w:vMerge w:val="restart"/>
            <w:tcBorders>
              <w:top w:val="single" w:sz="4" w:space="0" w:color="auto"/>
              <w:left w:val="single" w:sz="4" w:space="0" w:color="auto"/>
              <w:bottom w:val="single" w:sz="4" w:space="0" w:color="auto"/>
              <w:right w:val="single" w:sz="4" w:space="0" w:color="auto"/>
            </w:tcBorders>
            <w:vAlign w:val="center"/>
            <w:hideMark/>
          </w:tcPr>
          <w:p w14:paraId="0BB362D0" w14:textId="758CF878" w:rsidR="008D77CC" w:rsidRPr="0095112F" w:rsidRDefault="18945DAC"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 xml:space="preserve"> </w:t>
            </w:r>
            <w:r w:rsidR="697410E9" w:rsidRPr="6F00936E">
              <w:rPr>
                <w:rFonts w:ascii="Calibri" w:eastAsia="Times New Roman" w:hAnsi="Calibri" w:cs="Calibri"/>
                <w:noProof/>
                <w:lang w:val="en-IE" w:eastAsia="en-IE"/>
              </w:rPr>
              <w:t>EUR</w:t>
            </w:r>
            <w:r w:rsidRPr="6F00936E">
              <w:rPr>
                <w:rFonts w:ascii="Calibri" w:eastAsia="Times New Roman" w:hAnsi="Calibri" w:cs="Calibri"/>
                <w:noProof/>
                <w:lang w:val="en-IE" w:eastAsia="en-IE"/>
              </w:rPr>
              <w:t xml:space="preserve">           3,150,199 </w:t>
            </w:r>
          </w:p>
        </w:tc>
      </w:tr>
      <w:tr w:rsidR="00637669" w:rsidRPr="0095112F" w14:paraId="674FC362" w14:textId="77777777" w:rsidTr="6F00936E">
        <w:trPr>
          <w:trHeight w:val="300"/>
        </w:trPr>
        <w:tc>
          <w:tcPr>
            <w:tcW w:w="2117" w:type="dxa"/>
            <w:gridSpan w:val="4"/>
            <w:vMerge/>
            <w:vAlign w:val="center"/>
            <w:hideMark/>
          </w:tcPr>
          <w:p w14:paraId="3BB755E2" w14:textId="77777777" w:rsidR="008D77CC" w:rsidRPr="0095112F" w:rsidRDefault="008D77CC">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vAlign w:val="center"/>
            <w:hideMark/>
          </w:tcPr>
          <w:p w14:paraId="03667FEB"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vMerge/>
            <w:vAlign w:val="center"/>
            <w:hideMark/>
          </w:tcPr>
          <w:p w14:paraId="0E46126C" w14:textId="77777777" w:rsidR="008D77CC" w:rsidRPr="0095112F" w:rsidRDefault="008D77CC">
            <w:pPr>
              <w:spacing w:after="0"/>
              <w:rPr>
                <w:rFonts w:ascii="Calibri" w:eastAsia="Times New Roman" w:hAnsi="Calibri" w:cs="Calibri"/>
                <w:noProof/>
                <w:color w:val="000000"/>
                <w:szCs w:val="20"/>
                <w:lang w:val="en-IE" w:eastAsia="en-IE"/>
              </w:rPr>
            </w:pPr>
          </w:p>
        </w:tc>
        <w:tc>
          <w:tcPr>
            <w:tcW w:w="1161" w:type="dxa"/>
            <w:vMerge/>
            <w:vAlign w:val="center"/>
            <w:hideMark/>
          </w:tcPr>
          <w:p w14:paraId="313D679E" w14:textId="77777777" w:rsidR="008D77CC" w:rsidRPr="0095112F" w:rsidRDefault="008D77CC">
            <w:pPr>
              <w:spacing w:after="0"/>
              <w:rPr>
                <w:rFonts w:ascii="Calibri" w:eastAsia="Times New Roman" w:hAnsi="Calibri" w:cs="Calibri"/>
                <w:noProof/>
                <w:color w:val="000000"/>
                <w:szCs w:val="20"/>
                <w:lang w:val="en-IE" w:eastAsia="en-IE"/>
              </w:rPr>
            </w:pPr>
          </w:p>
        </w:tc>
        <w:tc>
          <w:tcPr>
            <w:tcW w:w="652" w:type="dxa"/>
            <w:vMerge/>
            <w:vAlign w:val="center"/>
            <w:hideMark/>
          </w:tcPr>
          <w:p w14:paraId="1BBCDC96" w14:textId="77777777" w:rsidR="008D77CC" w:rsidRPr="0095112F" w:rsidRDefault="008D77CC">
            <w:pPr>
              <w:spacing w:after="0"/>
              <w:rPr>
                <w:rFonts w:ascii="Calibri" w:eastAsia="Times New Roman" w:hAnsi="Calibri" w:cs="Calibri"/>
                <w:noProof/>
                <w:color w:val="000000"/>
                <w:szCs w:val="20"/>
                <w:lang w:val="en-IE" w:eastAsia="en-IE"/>
              </w:rPr>
            </w:pPr>
          </w:p>
        </w:tc>
        <w:tc>
          <w:tcPr>
            <w:tcW w:w="1511" w:type="dxa"/>
            <w:vMerge/>
            <w:vAlign w:val="center"/>
            <w:hideMark/>
          </w:tcPr>
          <w:p w14:paraId="37672535" w14:textId="77777777" w:rsidR="008D77CC" w:rsidRPr="0095112F" w:rsidRDefault="008D77CC">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noWrap/>
            <w:vAlign w:val="center"/>
            <w:hideMark/>
          </w:tcPr>
          <w:p w14:paraId="0B0B3D5F"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vMerge/>
            <w:vAlign w:val="center"/>
            <w:hideMark/>
          </w:tcPr>
          <w:p w14:paraId="493E1431" w14:textId="77777777" w:rsidR="008D77CC" w:rsidRPr="0095112F" w:rsidRDefault="008D77CC">
            <w:pPr>
              <w:spacing w:after="0"/>
              <w:rPr>
                <w:rFonts w:ascii="Calibri" w:eastAsia="Times New Roman" w:hAnsi="Calibri" w:cs="Calibri"/>
                <w:noProof/>
                <w:color w:val="000000"/>
                <w:szCs w:val="20"/>
                <w:lang w:val="en-IE" w:eastAsia="en-IE"/>
              </w:rPr>
            </w:pPr>
          </w:p>
        </w:tc>
        <w:tc>
          <w:tcPr>
            <w:tcW w:w="850" w:type="dxa"/>
            <w:vMerge/>
            <w:vAlign w:val="center"/>
            <w:hideMark/>
          </w:tcPr>
          <w:p w14:paraId="6D997BDB" w14:textId="77777777" w:rsidR="008D77CC" w:rsidRPr="0095112F" w:rsidRDefault="008D77CC">
            <w:pPr>
              <w:spacing w:after="0"/>
              <w:rPr>
                <w:rFonts w:ascii="Calibri" w:eastAsia="Times New Roman" w:hAnsi="Calibri" w:cs="Calibri"/>
                <w:noProof/>
                <w:color w:val="000000"/>
                <w:szCs w:val="20"/>
                <w:lang w:val="en-IE" w:eastAsia="en-IE"/>
              </w:rPr>
            </w:pPr>
          </w:p>
        </w:tc>
        <w:tc>
          <w:tcPr>
            <w:tcW w:w="1295" w:type="dxa"/>
            <w:vMerge/>
            <w:vAlign w:val="center"/>
            <w:hideMark/>
          </w:tcPr>
          <w:p w14:paraId="34317B84" w14:textId="77777777" w:rsidR="008D77CC" w:rsidRPr="0095112F" w:rsidRDefault="008D77CC">
            <w:pPr>
              <w:spacing w:after="0"/>
              <w:rPr>
                <w:rFonts w:ascii="Calibri" w:eastAsia="Times New Roman" w:hAnsi="Calibri" w:cs="Calibri"/>
                <w:noProof/>
                <w:color w:val="000000"/>
                <w:szCs w:val="20"/>
                <w:lang w:val="en-IE" w:eastAsia="en-IE"/>
              </w:rPr>
            </w:pPr>
          </w:p>
        </w:tc>
        <w:tc>
          <w:tcPr>
            <w:tcW w:w="1325" w:type="dxa"/>
            <w:vMerge/>
            <w:vAlign w:val="center"/>
            <w:hideMark/>
          </w:tcPr>
          <w:p w14:paraId="695C53A3" w14:textId="77777777" w:rsidR="008D77CC" w:rsidRPr="0095112F" w:rsidRDefault="008D77CC">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noWrap/>
            <w:vAlign w:val="center"/>
            <w:hideMark/>
          </w:tcPr>
          <w:p w14:paraId="16018882"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vMerge/>
            <w:vAlign w:val="center"/>
            <w:hideMark/>
          </w:tcPr>
          <w:p w14:paraId="53DE931B" w14:textId="77777777" w:rsidR="008D77CC" w:rsidRPr="0095112F" w:rsidRDefault="008D77CC">
            <w:pPr>
              <w:spacing w:after="0"/>
              <w:rPr>
                <w:rFonts w:ascii="Calibri" w:eastAsia="Times New Roman" w:hAnsi="Calibri" w:cs="Calibri"/>
                <w:noProof/>
                <w:color w:val="000000"/>
                <w:szCs w:val="20"/>
                <w:lang w:val="en-IE" w:eastAsia="en-IE"/>
              </w:rPr>
            </w:pPr>
          </w:p>
        </w:tc>
        <w:tc>
          <w:tcPr>
            <w:tcW w:w="1184" w:type="dxa"/>
            <w:vMerge/>
            <w:vAlign w:val="center"/>
            <w:hideMark/>
          </w:tcPr>
          <w:p w14:paraId="1CBE4F46" w14:textId="77777777" w:rsidR="008D77CC" w:rsidRPr="0095112F" w:rsidRDefault="008D77CC">
            <w:pPr>
              <w:spacing w:after="0"/>
              <w:rPr>
                <w:rFonts w:ascii="Calibri" w:eastAsia="Times New Roman" w:hAnsi="Calibri" w:cs="Calibri"/>
                <w:noProof/>
                <w:color w:val="000000"/>
                <w:szCs w:val="20"/>
                <w:lang w:val="en-IE" w:eastAsia="en-IE"/>
              </w:rPr>
            </w:pPr>
          </w:p>
        </w:tc>
        <w:tc>
          <w:tcPr>
            <w:tcW w:w="1353" w:type="dxa"/>
            <w:vMerge/>
            <w:vAlign w:val="center"/>
            <w:hideMark/>
          </w:tcPr>
          <w:p w14:paraId="4BF3E973" w14:textId="77777777" w:rsidR="008D77CC" w:rsidRPr="0095112F" w:rsidRDefault="008D77CC">
            <w:pPr>
              <w:spacing w:after="0"/>
              <w:rPr>
                <w:rFonts w:ascii="Calibri" w:eastAsia="Times New Roman" w:hAnsi="Calibri" w:cs="Calibri"/>
                <w:noProof/>
                <w:color w:val="000000"/>
                <w:szCs w:val="20"/>
                <w:lang w:val="en-IE" w:eastAsia="en-IE"/>
              </w:rPr>
            </w:pPr>
          </w:p>
        </w:tc>
      </w:tr>
      <w:tr w:rsidR="00783610" w:rsidRPr="0095112F" w14:paraId="0E5EF32D" w14:textId="77777777" w:rsidTr="6F00936E">
        <w:trPr>
          <w:trHeight w:val="300"/>
        </w:trPr>
        <w:tc>
          <w:tcPr>
            <w:tcW w:w="428" w:type="dxa"/>
            <w:tcBorders>
              <w:top w:val="nil"/>
              <w:left w:val="single" w:sz="8" w:space="0" w:color="auto"/>
              <w:bottom w:val="single" w:sz="8" w:space="0" w:color="auto"/>
              <w:right w:val="nil"/>
            </w:tcBorders>
            <w:shd w:val="clear" w:color="auto" w:fill="305496"/>
            <w:noWrap/>
            <w:vAlign w:val="center"/>
            <w:hideMark/>
          </w:tcPr>
          <w:p w14:paraId="7A0761F0"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gridSpan w:val="2"/>
            <w:tcBorders>
              <w:top w:val="nil"/>
              <w:left w:val="nil"/>
              <w:bottom w:val="single" w:sz="8" w:space="0" w:color="auto"/>
              <w:right w:val="nil"/>
            </w:tcBorders>
            <w:shd w:val="clear" w:color="auto" w:fill="305496"/>
            <w:noWrap/>
            <w:vAlign w:val="center"/>
            <w:hideMark/>
          </w:tcPr>
          <w:p w14:paraId="08451E24"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417" w:type="dxa"/>
            <w:tcBorders>
              <w:top w:val="nil"/>
              <w:left w:val="nil"/>
              <w:bottom w:val="single" w:sz="8" w:space="0" w:color="auto"/>
              <w:right w:val="nil"/>
            </w:tcBorders>
            <w:shd w:val="clear" w:color="auto" w:fill="305496"/>
            <w:noWrap/>
            <w:vAlign w:val="center"/>
            <w:hideMark/>
          </w:tcPr>
          <w:p w14:paraId="5EA1F88F"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06C9699C"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nil"/>
              <w:left w:val="single" w:sz="4" w:space="0" w:color="auto"/>
              <w:bottom w:val="single" w:sz="8" w:space="0" w:color="auto"/>
              <w:right w:val="nil"/>
            </w:tcBorders>
            <w:shd w:val="clear" w:color="auto" w:fill="8EA9DB"/>
            <w:noWrap/>
            <w:vAlign w:val="center"/>
            <w:hideMark/>
          </w:tcPr>
          <w:p w14:paraId="77E5291C"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2D671427"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652" w:type="dxa"/>
            <w:tcBorders>
              <w:top w:val="nil"/>
              <w:left w:val="single" w:sz="4" w:space="0" w:color="auto"/>
              <w:bottom w:val="single" w:sz="8" w:space="0" w:color="auto"/>
              <w:right w:val="nil"/>
            </w:tcBorders>
            <w:shd w:val="clear" w:color="auto" w:fill="8EA9DB"/>
            <w:noWrap/>
            <w:vAlign w:val="center"/>
            <w:hideMark/>
          </w:tcPr>
          <w:p w14:paraId="667CF51B"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511" w:type="dxa"/>
            <w:tcBorders>
              <w:top w:val="nil"/>
              <w:left w:val="single" w:sz="4" w:space="0" w:color="auto"/>
              <w:bottom w:val="single" w:sz="8" w:space="0" w:color="auto"/>
              <w:right w:val="nil"/>
            </w:tcBorders>
            <w:shd w:val="clear" w:color="auto" w:fill="8EA9DB"/>
            <w:noWrap/>
            <w:vAlign w:val="center"/>
            <w:hideMark/>
          </w:tcPr>
          <w:p w14:paraId="62D3FDF3"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noWrap/>
            <w:vAlign w:val="center"/>
            <w:hideMark/>
          </w:tcPr>
          <w:p w14:paraId="79C237C1"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auto"/>
              <w:right w:val="nil"/>
            </w:tcBorders>
            <w:shd w:val="clear" w:color="auto" w:fill="C6E0B4"/>
            <w:noWrap/>
            <w:vAlign w:val="center"/>
            <w:hideMark/>
          </w:tcPr>
          <w:p w14:paraId="2AE1D735"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3509DBE7"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564609FA"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25" w:type="dxa"/>
            <w:tcBorders>
              <w:top w:val="nil"/>
              <w:left w:val="single" w:sz="4" w:space="0" w:color="auto"/>
              <w:bottom w:val="single" w:sz="8" w:space="0" w:color="auto"/>
              <w:right w:val="nil"/>
            </w:tcBorders>
            <w:shd w:val="clear" w:color="auto" w:fill="C6E0B4"/>
            <w:vAlign w:val="center"/>
            <w:hideMark/>
          </w:tcPr>
          <w:p w14:paraId="57F9AC96"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nil"/>
              <w:left w:val="nil"/>
              <w:bottom w:val="nil"/>
              <w:right w:val="nil"/>
            </w:tcBorders>
            <w:shd w:val="clear" w:color="auto" w:fill="969696"/>
            <w:noWrap/>
            <w:vAlign w:val="center"/>
            <w:hideMark/>
          </w:tcPr>
          <w:p w14:paraId="205EDE7F"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728A661B" w14:textId="77777777" w:rsidR="008D77CC" w:rsidRPr="0095112F" w:rsidRDefault="008D77CC">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PO4a</w:t>
            </w:r>
          </w:p>
        </w:tc>
        <w:tc>
          <w:tcPr>
            <w:tcW w:w="1353" w:type="dxa"/>
            <w:tcBorders>
              <w:top w:val="nil"/>
              <w:left w:val="single" w:sz="8" w:space="0" w:color="auto"/>
              <w:bottom w:val="single" w:sz="8" w:space="0" w:color="auto"/>
              <w:right w:val="single" w:sz="8" w:space="0" w:color="auto"/>
            </w:tcBorders>
            <w:shd w:val="clear" w:color="auto" w:fill="DBDBDB"/>
            <w:noWrap/>
            <w:vAlign w:val="center"/>
            <w:hideMark/>
          </w:tcPr>
          <w:p w14:paraId="427C0DF3" w14:textId="1A0DD6EC" w:rsidR="008D77CC" w:rsidRPr="0095112F" w:rsidRDefault="18945DAC"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697410E9"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3,150,199 </w:t>
            </w:r>
          </w:p>
        </w:tc>
      </w:tr>
      <w:tr w:rsidR="00401FEA" w:rsidRPr="0095112F" w14:paraId="7F026115" w14:textId="77777777">
        <w:trPr>
          <w:trHeight w:val="300"/>
        </w:trPr>
        <w:tc>
          <w:tcPr>
            <w:tcW w:w="2117" w:type="dxa"/>
            <w:gridSpan w:val="4"/>
            <w:tcBorders>
              <w:top w:val="single" w:sz="8" w:space="0" w:color="auto"/>
              <w:left w:val="single" w:sz="8" w:space="0" w:color="auto"/>
              <w:bottom w:val="single" w:sz="8" w:space="0" w:color="auto"/>
              <w:right w:val="nil"/>
            </w:tcBorders>
            <w:shd w:val="clear" w:color="auto" w:fill="FFFF00"/>
            <w:noWrap/>
            <w:vAlign w:val="center"/>
            <w:hideMark/>
          </w:tcPr>
          <w:p w14:paraId="74F378CB" w14:textId="6DD9B41F" w:rsidR="00A8165D" w:rsidRPr="0095112F" w:rsidRDefault="00A8165D" w:rsidP="00A8165D">
            <w:pPr>
              <w:spacing w:after="0"/>
              <w:rPr>
                <w:rFonts w:ascii="Arial" w:eastAsia="Times New Roman" w:hAnsi="Arial" w:cs="Arial"/>
                <w:noProof/>
                <w:szCs w:val="20"/>
                <w:lang w:val="en-IE" w:eastAsia="en-IE"/>
              </w:rPr>
            </w:pPr>
            <w:r w:rsidRPr="0095112F">
              <w:rPr>
                <w:rFonts w:ascii="Arial" w:eastAsia="Times New Roman" w:hAnsi="Arial" w:cs="Arial"/>
                <w:b/>
                <w:bCs/>
                <w:noProof/>
                <w:szCs w:val="20"/>
                <w:lang w:val="en-IE" w:eastAsia="en-IE"/>
              </w:rPr>
              <w:t>PO 4b</w:t>
            </w: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3B6DEE25" w14:textId="77777777" w:rsidR="00A8165D" w:rsidRPr="0095112F" w:rsidRDefault="00A8165D">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nil"/>
              <w:left w:val="single" w:sz="4" w:space="0" w:color="auto"/>
              <w:bottom w:val="single" w:sz="8" w:space="0" w:color="auto"/>
              <w:right w:val="nil"/>
            </w:tcBorders>
            <w:noWrap/>
            <w:vAlign w:val="center"/>
            <w:hideMark/>
          </w:tcPr>
          <w:p w14:paraId="0355D896" w14:textId="77777777" w:rsidR="00A8165D" w:rsidRPr="0095112F" w:rsidRDefault="00A8165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61" w:type="dxa"/>
            <w:tcBorders>
              <w:top w:val="nil"/>
              <w:left w:val="single" w:sz="4" w:space="0" w:color="auto"/>
              <w:bottom w:val="single" w:sz="8" w:space="0" w:color="auto"/>
              <w:right w:val="nil"/>
            </w:tcBorders>
            <w:noWrap/>
            <w:vAlign w:val="center"/>
            <w:hideMark/>
          </w:tcPr>
          <w:p w14:paraId="0F62AF7D" w14:textId="77777777" w:rsidR="00A8165D" w:rsidRPr="0095112F" w:rsidRDefault="00A8165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652" w:type="dxa"/>
            <w:tcBorders>
              <w:top w:val="nil"/>
              <w:left w:val="single" w:sz="4" w:space="0" w:color="auto"/>
              <w:bottom w:val="single" w:sz="8" w:space="0" w:color="auto"/>
              <w:right w:val="nil"/>
            </w:tcBorders>
            <w:noWrap/>
            <w:vAlign w:val="center"/>
            <w:hideMark/>
          </w:tcPr>
          <w:p w14:paraId="57F2FC57" w14:textId="77777777" w:rsidR="00A8165D" w:rsidRPr="0095112F" w:rsidRDefault="00A8165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511" w:type="dxa"/>
            <w:tcBorders>
              <w:top w:val="nil"/>
              <w:left w:val="single" w:sz="4" w:space="0" w:color="auto"/>
              <w:bottom w:val="single" w:sz="8" w:space="0" w:color="auto"/>
              <w:right w:val="nil"/>
            </w:tcBorders>
            <w:noWrap/>
            <w:vAlign w:val="center"/>
            <w:hideMark/>
          </w:tcPr>
          <w:p w14:paraId="1FC77CB6" w14:textId="77777777" w:rsidR="00A8165D" w:rsidRPr="0095112F" w:rsidRDefault="00A8165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noWrap/>
            <w:vAlign w:val="center"/>
            <w:hideMark/>
          </w:tcPr>
          <w:p w14:paraId="43080332" w14:textId="77777777" w:rsidR="00A8165D" w:rsidRPr="0095112F" w:rsidRDefault="00A8165D">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nil"/>
              <w:right w:val="nil"/>
            </w:tcBorders>
            <w:noWrap/>
            <w:vAlign w:val="center"/>
            <w:hideMark/>
          </w:tcPr>
          <w:p w14:paraId="256F6E08" w14:textId="77777777" w:rsidR="00A8165D" w:rsidRPr="0095112F" w:rsidRDefault="00A8165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3EDCECB7" w14:textId="77777777" w:rsidR="00A8165D" w:rsidRPr="0095112F" w:rsidRDefault="00A8165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3C721115" w14:textId="77777777" w:rsidR="00A8165D" w:rsidRPr="0095112F" w:rsidRDefault="00A8165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25" w:type="dxa"/>
            <w:tcBorders>
              <w:top w:val="nil"/>
              <w:left w:val="single" w:sz="4" w:space="0" w:color="auto"/>
              <w:bottom w:val="nil"/>
              <w:right w:val="nil"/>
            </w:tcBorders>
            <w:noWrap/>
            <w:vAlign w:val="center"/>
            <w:hideMark/>
          </w:tcPr>
          <w:p w14:paraId="7F061BFB" w14:textId="77777777" w:rsidR="00A8165D" w:rsidRPr="0095112F" w:rsidRDefault="00A8165D">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72" w:type="dxa"/>
            <w:tcBorders>
              <w:top w:val="nil"/>
              <w:left w:val="nil"/>
              <w:bottom w:val="nil"/>
              <w:right w:val="single" w:sz="8" w:space="0" w:color="auto"/>
            </w:tcBorders>
            <w:shd w:val="clear" w:color="auto" w:fill="969696"/>
            <w:noWrap/>
            <w:vAlign w:val="center"/>
            <w:hideMark/>
          </w:tcPr>
          <w:p w14:paraId="286C65B8" w14:textId="77777777" w:rsidR="00A8165D" w:rsidRPr="0095112F" w:rsidRDefault="00A8165D">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028" w:type="dxa"/>
            <w:tcBorders>
              <w:top w:val="nil"/>
              <w:left w:val="nil"/>
              <w:bottom w:val="nil"/>
              <w:right w:val="nil"/>
            </w:tcBorders>
            <w:noWrap/>
            <w:vAlign w:val="center"/>
            <w:hideMark/>
          </w:tcPr>
          <w:p w14:paraId="61870F4B" w14:textId="77777777" w:rsidR="00A8165D" w:rsidRPr="0095112F" w:rsidRDefault="00A8165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1562AD14" w14:textId="77777777" w:rsidR="00A8165D" w:rsidRPr="0095112F" w:rsidRDefault="00A8165D">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53" w:type="dxa"/>
            <w:tcBorders>
              <w:top w:val="nil"/>
              <w:left w:val="nil"/>
              <w:bottom w:val="nil"/>
              <w:right w:val="single" w:sz="8" w:space="0" w:color="auto"/>
            </w:tcBorders>
            <w:noWrap/>
            <w:vAlign w:val="center"/>
            <w:hideMark/>
          </w:tcPr>
          <w:p w14:paraId="0596A346" w14:textId="77777777" w:rsidR="00A8165D" w:rsidRPr="0095112F" w:rsidRDefault="00A8165D">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783610" w:rsidRPr="0095112F" w14:paraId="0AE16E4D" w14:textId="77777777" w:rsidTr="6F00936E">
        <w:trPr>
          <w:trHeight w:val="1620"/>
        </w:trPr>
        <w:tc>
          <w:tcPr>
            <w:tcW w:w="2117" w:type="dxa"/>
            <w:gridSpan w:val="4"/>
            <w:vMerge w:val="restart"/>
            <w:tcBorders>
              <w:top w:val="single" w:sz="8" w:space="0" w:color="auto"/>
              <w:left w:val="single" w:sz="8" w:space="0" w:color="auto"/>
              <w:bottom w:val="single" w:sz="8" w:space="0" w:color="000000" w:themeColor="text1"/>
              <w:right w:val="nil"/>
            </w:tcBorders>
            <w:vAlign w:val="center"/>
            <w:hideMark/>
          </w:tcPr>
          <w:p w14:paraId="19536CB9" w14:textId="295AE00A" w:rsidR="008D77CC" w:rsidRPr="0095112F" w:rsidRDefault="00BC6F78">
            <w:pPr>
              <w:spacing w:after="0"/>
              <w:rPr>
                <w:rFonts w:ascii="Calibri" w:eastAsia="Times New Roman" w:hAnsi="Calibri" w:cs="Calibri"/>
                <w:noProof/>
                <w:color w:val="000000"/>
                <w:szCs w:val="20"/>
                <w:lang w:val="en-IE" w:eastAsia="en-IE"/>
              </w:rPr>
            </w:pPr>
            <w:r w:rsidRPr="00BC6F78">
              <w:rPr>
                <w:rFonts w:ascii="Calibri" w:eastAsia="Times New Roman" w:hAnsi="Calibri" w:cs="Calibri"/>
                <w:noProof/>
                <w:color w:val="000000"/>
                <w:szCs w:val="20"/>
                <w:lang w:val="en-IE" w:eastAsia="en-IE"/>
              </w:rPr>
              <w:t>Option 4a + simplified liquidation procedure (outside of insolvency) for no assets/no debts to be concluded within a specific deadline.</w:t>
            </w:r>
          </w:p>
        </w:tc>
        <w:tc>
          <w:tcPr>
            <w:tcW w:w="272" w:type="dxa"/>
            <w:tcBorders>
              <w:top w:val="nil"/>
              <w:left w:val="nil"/>
              <w:bottom w:val="nil"/>
              <w:right w:val="single" w:sz="4" w:space="0" w:color="auto"/>
            </w:tcBorders>
            <w:shd w:val="clear" w:color="auto" w:fill="969696"/>
            <w:vAlign w:val="center"/>
            <w:hideMark/>
          </w:tcPr>
          <w:p w14:paraId="307EC60E"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nil"/>
              <w:left w:val="nil"/>
              <w:bottom w:val="single" w:sz="4" w:space="0" w:color="auto"/>
              <w:right w:val="nil"/>
            </w:tcBorders>
            <w:vAlign w:val="center"/>
            <w:hideMark/>
          </w:tcPr>
          <w:p w14:paraId="0A80E08E"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308,843</w:t>
            </w:r>
          </w:p>
        </w:tc>
        <w:tc>
          <w:tcPr>
            <w:tcW w:w="1161" w:type="dxa"/>
            <w:tcBorders>
              <w:top w:val="nil"/>
              <w:left w:val="single" w:sz="4" w:space="0" w:color="auto"/>
              <w:bottom w:val="single" w:sz="4" w:space="0" w:color="auto"/>
              <w:right w:val="nil"/>
            </w:tcBorders>
            <w:vAlign w:val="center"/>
            <w:hideMark/>
          </w:tcPr>
          <w:p w14:paraId="0D33566B"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652" w:type="dxa"/>
            <w:tcBorders>
              <w:top w:val="nil"/>
              <w:left w:val="single" w:sz="4" w:space="0" w:color="auto"/>
              <w:bottom w:val="single" w:sz="4" w:space="0" w:color="auto"/>
              <w:right w:val="nil"/>
            </w:tcBorders>
            <w:vAlign w:val="center"/>
            <w:hideMark/>
          </w:tcPr>
          <w:p w14:paraId="05870E82" w14:textId="77777777" w:rsidR="008D77CC" w:rsidRPr="0095112F" w:rsidRDefault="008D77CC">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8.5%</w:t>
            </w:r>
          </w:p>
        </w:tc>
        <w:tc>
          <w:tcPr>
            <w:tcW w:w="1511" w:type="dxa"/>
            <w:tcBorders>
              <w:top w:val="nil"/>
              <w:left w:val="single" w:sz="4" w:space="0" w:color="auto"/>
              <w:bottom w:val="single" w:sz="4" w:space="0" w:color="auto"/>
              <w:right w:val="nil"/>
            </w:tcBorders>
            <w:shd w:val="clear" w:color="auto" w:fill="FFFFFF" w:themeFill="background1"/>
            <w:vAlign w:val="center"/>
            <w:hideMark/>
          </w:tcPr>
          <w:p w14:paraId="29443738" w14:textId="389EF316" w:rsidR="008D77CC" w:rsidRPr="0095112F" w:rsidRDefault="008D77CC">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noWrap/>
            <w:vAlign w:val="center"/>
            <w:hideMark/>
          </w:tcPr>
          <w:p w14:paraId="39071658"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F0EDE2"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60.00</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hideMark/>
          </w:tcPr>
          <w:p w14:paraId="38E2CE9E"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2.00</w:t>
            </w:r>
          </w:p>
        </w:tc>
        <w:tc>
          <w:tcPr>
            <w:tcW w:w="1295" w:type="dxa"/>
            <w:tcBorders>
              <w:top w:val="single" w:sz="4" w:space="0" w:color="auto"/>
              <w:left w:val="nil"/>
              <w:bottom w:val="single" w:sz="4" w:space="0" w:color="auto"/>
              <w:right w:val="single" w:sz="4" w:space="0" w:color="auto"/>
            </w:tcBorders>
            <w:noWrap/>
            <w:vAlign w:val="bottom"/>
            <w:hideMark/>
          </w:tcPr>
          <w:p w14:paraId="701D633B"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25" w:type="dxa"/>
            <w:tcBorders>
              <w:top w:val="single" w:sz="4" w:space="0" w:color="auto"/>
              <w:left w:val="nil"/>
              <w:bottom w:val="single" w:sz="4" w:space="0" w:color="auto"/>
              <w:right w:val="single" w:sz="4" w:space="0" w:color="auto"/>
            </w:tcBorders>
            <w:vAlign w:val="center"/>
            <w:hideMark/>
          </w:tcPr>
          <w:p w14:paraId="3274B47D" w14:textId="50CD3A08" w:rsidR="008D77CC" w:rsidRPr="0095112F" w:rsidRDefault="004A7F7F">
            <w:pPr>
              <w:spacing w:after="0"/>
              <w:rPr>
                <w:rFonts w:ascii="Calibri" w:eastAsia="Times New Roman" w:hAnsi="Calibri" w:cs="Calibri"/>
                <w:noProof/>
                <w:color w:val="000000"/>
                <w:szCs w:val="20"/>
                <w:lang w:val="en-IE" w:eastAsia="en-IE"/>
              </w:rPr>
            </w:pPr>
            <w:r>
              <w:rPr>
                <w:rFonts w:ascii="Calibri" w:eastAsia="Times New Roman" w:hAnsi="Calibri" w:cs="Calibri"/>
                <w:noProof/>
                <w:color w:val="000000"/>
                <w:szCs w:val="20"/>
                <w:lang w:val="en-IE" w:eastAsia="en-IE"/>
              </w:rPr>
              <w:t>Same as 4a</w:t>
            </w:r>
          </w:p>
        </w:tc>
        <w:tc>
          <w:tcPr>
            <w:tcW w:w="272" w:type="dxa"/>
            <w:tcBorders>
              <w:top w:val="nil"/>
              <w:left w:val="nil"/>
              <w:bottom w:val="nil"/>
              <w:right w:val="nil"/>
            </w:tcBorders>
            <w:shd w:val="clear" w:color="auto" w:fill="969696"/>
            <w:noWrap/>
            <w:vAlign w:val="center"/>
            <w:hideMark/>
          </w:tcPr>
          <w:p w14:paraId="423CE22C"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single" w:sz="4" w:space="0" w:color="auto"/>
              <w:left w:val="single" w:sz="4" w:space="0" w:color="auto"/>
              <w:bottom w:val="single" w:sz="4" w:space="0" w:color="auto"/>
              <w:right w:val="single" w:sz="4" w:space="0" w:color="auto"/>
            </w:tcBorders>
            <w:vAlign w:val="center"/>
            <w:hideMark/>
          </w:tcPr>
          <w:p w14:paraId="34BD85C1"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120.00</w:t>
            </w:r>
          </w:p>
        </w:tc>
        <w:tc>
          <w:tcPr>
            <w:tcW w:w="1184" w:type="dxa"/>
            <w:tcBorders>
              <w:top w:val="single" w:sz="4" w:space="0" w:color="auto"/>
              <w:left w:val="nil"/>
              <w:bottom w:val="single" w:sz="4" w:space="0" w:color="auto"/>
              <w:right w:val="single" w:sz="4" w:space="0" w:color="auto"/>
            </w:tcBorders>
            <w:vAlign w:val="center"/>
            <w:hideMark/>
          </w:tcPr>
          <w:p w14:paraId="65C119CC"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26,252</w:t>
            </w:r>
          </w:p>
        </w:tc>
        <w:tc>
          <w:tcPr>
            <w:tcW w:w="1353" w:type="dxa"/>
            <w:tcBorders>
              <w:top w:val="single" w:sz="4" w:space="0" w:color="auto"/>
              <w:left w:val="nil"/>
              <w:bottom w:val="single" w:sz="4" w:space="0" w:color="auto"/>
              <w:right w:val="single" w:sz="4" w:space="0" w:color="auto"/>
            </w:tcBorders>
            <w:vAlign w:val="center"/>
            <w:hideMark/>
          </w:tcPr>
          <w:p w14:paraId="3C079B66" w14:textId="7EECE72D" w:rsidR="008D77CC" w:rsidRPr="0095112F" w:rsidRDefault="18945DAC"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 xml:space="preserve"> </w:t>
            </w:r>
            <w:r w:rsidR="0DC9E747" w:rsidRPr="6F00936E">
              <w:rPr>
                <w:rFonts w:ascii="Calibri" w:eastAsia="Times New Roman" w:hAnsi="Calibri" w:cs="Calibri"/>
                <w:noProof/>
                <w:lang w:val="en-IE" w:eastAsia="en-IE"/>
              </w:rPr>
              <w:t>EUR</w:t>
            </w:r>
            <w:r w:rsidRPr="6F00936E">
              <w:rPr>
                <w:rFonts w:ascii="Calibri" w:eastAsia="Times New Roman" w:hAnsi="Calibri" w:cs="Calibri"/>
                <w:noProof/>
                <w:lang w:val="en-IE" w:eastAsia="en-IE"/>
              </w:rPr>
              <w:t xml:space="preserve">           3,150,199 </w:t>
            </w:r>
          </w:p>
        </w:tc>
      </w:tr>
      <w:tr w:rsidR="00783610" w:rsidRPr="0095112F" w14:paraId="4122594A" w14:textId="77777777" w:rsidTr="6F00936E">
        <w:trPr>
          <w:trHeight w:val="1823"/>
        </w:trPr>
        <w:tc>
          <w:tcPr>
            <w:tcW w:w="2117" w:type="dxa"/>
            <w:gridSpan w:val="4"/>
            <w:vMerge/>
            <w:vAlign w:val="center"/>
            <w:hideMark/>
          </w:tcPr>
          <w:p w14:paraId="05513613" w14:textId="77777777" w:rsidR="008D77CC" w:rsidRPr="0095112F" w:rsidRDefault="008D77CC">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vAlign w:val="center"/>
            <w:hideMark/>
          </w:tcPr>
          <w:p w14:paraId="17942FED"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single" w:sz="8" w:space="0" w:color="auto"/>
              <w:left w:val="single" w:sz="4" w:space="0" w:color="auto"/>
              <w:bottom w:val="nil"/>
              <w:right w:val="nil"/>
            </w:tcBorders>
            <w:vAlign w:val="center"/>
            <w:hideMark/>
          </w:tcPr>
          <w:p w14:paraId="2AFF5357"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26,252</w:t>
            </w:r>
          </w:p>
        </w:tc>
        <w:tc>
          <w:tcPr>
            <w:tcW w:w="1161" w:type="dxa"/>
            <w:tcBorders>
              <w:top w:val="single" w:sz="8" w:space="0" w:color="auto"/>
              <w:left w:val="single" w:sz="4" w:space="0" w:color="auto"/>
              <w:bottom w:val="nil"/>
              <w:right w:val="nil"/>
            </w:tcBorders>
            <w:vAlign w:val="center"/>
            <w:hideMark/>
          </w:tcPr>
          <w:p w14:paraId="202D0BF2"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652" w:type="dxa"/>
            <w:tcBorders>
              <w:top w:val="single" w:sz="8" w:space="0" w:color="auto"/>
              <w:left w:val="single" w:sz="4" w:space="0" w:color="auto"/>
              <w:bottom w:val="nil"/>
              <w:right w:val="nil"/>
            </w:tcBorders>
            <w:vAlign w:val="center"/>
            <w:hideMark/>
          </w:tcPr>
          <w:p w14:paraId="7B30067F" w14:textId="77777777" w:rsidR="008D77CC" w:rsidRPr="0095112F" w:rsidRDefault="008D77CC">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1.0%</w:t>
            </w:r>
          </w:p>
        </w:tc>
        <w:tc>
          <w:tcPr>
            <w:tcW w:w="1511" w:type="dxa"/>
            <w:tcBorders>
              <w:top w:val="single" w:sz="8" w:space="0" w:color="auto"/>
              <w:left w:val="single" w:sz="4" w:space="0" w:color="auto"/>
              <w:bottom w:val="nil"/>
              <w:right w:val="nil"/>
            </w:tcBorders>
            <w:shd w:val="clear" w:color="auto" w:fill="FFFFFF" w:themeFill="background1"/>
            <w:vAlign w:val="center"/>
            <w:hideMark/>
          </w:tcPr>
          <w:p w14:paraId="7C763031"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nil"/>
              <w:left w:val="nil"/>
              <w:bottom w:val="nil"/>
              <w:right w:val="nil"/>
            </w:tcBorders>
            <w:shd w:val="clear" w:color="auto" w:fill="969696"/>
            <w:noWrap/>
            <w:vAlign w:val="center"/>
            <w:hideMark/>
          </w:tcPr>
          <w:p w14:paraId="5D23C3F5"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0216718"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60.00</w:t>
            </w:r>
          </w:p>
        </w:tc>
        <w:tc>
          <w:tcPr>
            <w:tcW w:w="850" w:type="dxa"/>
            <w:tcBorders>
              <w:top w:val="nil"/>
              <w:left w:val="nil"/>
              <w:bottom w:val="single" w:sz="4" w:space="0" w:color="auto"/>
              <w:right w:val="single" w:sz="4" w:space="0" w:color="auto"/>
            </w:tcBorders>
            <w:shd w:val="clear" w:color="auto" w:fill="FFFFFF" w:themeFill="background1"/>
            <w:vAlign w:val="center"/>
            <w:hideMark/>
          </w:tcPr>
          <w:p w14:paraId="5C7CDC6F"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0.00</w:t>
            </w:r>
          </w:p>
        </w:tc>
        <w:tc>
          <w:tcPr>
            <w:tcW w:w="1295" w:type="dxa"/>
            <w:tcBorders>
              <w:top w:val="nil"/>
              <w:left w:val="nil"/>
              <w:bottom w:val="single" w:sz="4" w:space="0" w:color="auto"/>
              <w:right w:val="single" w:sz="4" w:space="0" w:color="auto"/>
            </w:tcBorders>
            <w:shd w:val="clear" w:color="auto" w:fill="FFFFFF" w:themeFill="background1"/>
            <w:vAlign w:val="center"/>
            <w:hideMark/>
          </w:tcPr>
          <w:p w14:paraId="3D216A90"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500.00</w:t>
            </w:r>
          </w:p>
        </w:tc>
        <w:tc>
          <w:tcPr>
            <w:tcW w:w="1325" w:type="dxa"/>
            <w:tcBorders>
              <w:top w:val="nil"/>
              <w:left w:val="nil"/>
              <w:bottom w:val="single" w:sz="4" w:space="0" w:color="auto"/>
              <w:right w:val="single" w:sz="4" w:space="0" w:color="auto"/>
            </w:tcBorders>
            <w:vAlign w:val="center"/>
            <w:hideMark/>
          </w:tcPr>
          <w:p w14:paraId="4601E0CB"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Additional out-of-pocket cost reduction of 500 EUR (no professional fees)</w:t>
            </w:r>
          </w:p>
        </w:tc>
        <w:tc>
          <w:tcPr>
            <w:tcW w:w="272" w:type="dxa"/>
            <w:tcBorders>
              <w:top w:val="nil"/>
              <w:left w:val="nil"/>
              <w:bottom w:val="nil"/>
              <w:right w:val="nil"/>
            </w:tcBorders>
            <w:shd w:val="clear" w:color="auto" w:fill="969696"/>
            <w:noWrap/>
            <w:vAlign w:val="center"/>
            <w:hideMark/>
          </w:tcPr>
          <w:p w14:paraId="5119945A"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nil"/>
              <w:left w:val="single" w:sz="4" w:space="0" w:color="auto"/>
              <w:bottom w:val="single" w:sz="4" w:space="0" w:color="auto"/>
              <w:right w:val="single" w:sz="4" w:space="0" w:color="auto"/>
            </w:tcBorders>
            <w:vAlign w:val="center"/>
            <w:hideMark/>
          </w:tcPr>
          <w:p w14:paraId="5D5D1AE8"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500.00</w:t>
            </w:r>
          </w:p>
        </w:tc>
        <w:tc>
          <w:tcPr>
            <w:tcW w:w="1184" w:type="dxa"/>
            <w:tcBorders>
              <w:top w:val="nil"/>
              <w:left w:val="nil"/>
              <w:bottom w:val="single" w:sz="4" w:space="0" w:color="auto"/>
              <w:right w:val="single" w:sz="4" w:space="0" w:color="auto"/>
            </w:tcBorders>
            <w:vAlign w:val="center"/>
            <w:hideMark/>
          </w:tcPr>
          <w:p w14:paraId="57DE2ACB"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263</w:t>
            </w:r>
          </w:p>
        </w:tc>
        <w:tc>
          <w:tcPr>
            <w:tcW w:w="1353" w:type="dxa"/>
            <w:tcBorders>
              <w:top w:val="nil"/>
              <w:left w:val="nil"/>
              <w:bottom w:val="single" w:sz="4" w:space="0" w:color="auto"/>
              <w:right w:val="single" w:sz="4" w:space="0" w:color="auto"/>
            </w:tcBorders>
            <w:vAlign w:val="center"/>
            <w:hideMark/>
          </w:tcPr>
          <w:p w14:paraId="011C98E6" w14:textId="7908293E" w:rsidR="008D77CC" w:rsidRPr="0095112F" w:rsidRDefault="18945DAC"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 xml:space="preserve"> </w:t>
            </w:r>
            <w:r w:rsidR="0DC9E747" w:rsidRPr="6F00936E">
              <w:rPr>
                <w:rFonts w:ascii="Calibri" w:eastAsia="Times New Roman" w:hAnsi="Calibri" w:cs="Calibri"/>
                <w:noProof/>
                <w:lang w:val="en-IE" w:eastAsia="en-IE"/>
              </w:rPr>
              <w:t>EUR</w:t>
            </w:r>
            <w:r w:rsidRPr="6F00936E">
              <w:rPr>
                <w:rFonts w:ascii="Calibri" w:eastAsia="Times New Roman" w:hAnsi="Calibri" w:cs="Calibri"/>
                <w:noProof/>
                <w:lang w:val="en-IE" w:eastAsia="en-IE"/>
              </w:rPr>
              <w:t xml:space="preserve">              131,258 </w:t>
            </w:r>
          </w:p>
        </w:tc>
      </w:tr>
      <w:tr w:rsidR="00783610" w:rsidRPr="0095112F" w14:paraId="57AD7435" w14:textId="77777777" w:rsidTr="6F00936E">
        <w:trPr>
          <w:trHeight w:val="300"/>
        </w:trPr>
        <w:tc>
          <w:tcPr>
            <w:tcW w:w="428" w:type="dxa"/>
            <w:tcBorders>
              <w:top w:val="nil"/>
              <w:left w:val="single" w:sz="8" w:space="0" w:color="auto"/>
              <w:bottom w:val="single" w:sz="8" w:space="0" w:color="auto"/>
              <w:right w:val="nil"/>
            </w:tcBorders>
            <w:shd w:val="clear" w:color="auto" w:fill="305496"/>
            <w:noWrap/>
            <w:vAlign w:val="center"/>
            <w:hideMark/>
          </w:tcPr>
          <w:p w14:paraId="5DC84C64"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gridSpan w:val="2"/>
            <w:tcBorders>
              <w:top w:val="nil"/>
              <w:left w:val="nil"/>
              <w:bottom w:val="single" w:sz="8" w:space="0" w:color="auto"/>
              <w:right w:val="nil"/>
            </w:tcBorders>
            <w:shd w:val="clear" w:color="auto" w:fill="305496"/>
            <w:noWrap/>
            <w:vAlign w:val="center"/>
            <w:hideMark/>
          </w:tcPr>
          <w:p w14:paraId="68277BD5"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417" w:type="dxa"/>
            <w:tcBorders>
              <w:top w:val="nil"/>
              <w:left w:val="nil"/>
              <w:bottom w:val="single" w:sz="8" w:space="0" w:color="auto"/>
              <w:right w:val="nil"/>
            </w:tcBorders>
            <w:shd w:val="clear" w:color="auto" w:fill="305496"/>
            <w:noWrap/>
            <w:vAlign w:val="center"/>
            <w:hideMark/>
          </w:tcPr>
          <w:p w14:paraId="4DC67C9C"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52A74B88"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single" w:sz="8" w:space="0" w:color="auto"/>
              <w:left w:val="single" w:sz="4" w:space="0" w:color="auto"/>
              <w:bottom w:val="single" w:sz="8" w:space="0" w:color="auto"/>
              <w:right w:val="nil"/>
            </w:tcBorders>
            <w:shd w:val="clear" w:color="auto" w:fill="8EA9DB"/>
            <w:noWrap/>
            <w:vAlign w:val="center"/>
            <w:hideMark/>
          </w:tcPr>
          <w:p w14:paraId="77097898"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161" w:type="dxa"/>
            <w:tcBorders>
              <w:top w:val="single" w:sz="8" w:space="0" w:color="auto"/>
              <w:left w:val="single" w:sz="4" w:space="0" w:color="auto"/>
              <w:bottom w:val="single" w:sz="8" w:space="0" w:color="auto"/>
              <w:right w:val="nil"/>
            </w:tcBorders>
            <w:shd w:val="clear" w:color="auto" w:fill="8EA9DB"/>
            <w:noWrap/>
            <w:vAlign w:val="center"/>
            <w:hideMark/>
          </w:tcPr>
          <w:p w14:paraId="41645767"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652" w:type="dxa"/>
            <w:tcBorders>
              <w:top w:val="single" w:sz="8" w:space="0" w:color="auto"/>
              <w:left w:val="single" w:sz="4" w:space="0" w:color="auto"/>
              <w:bottom w:val="single" w:sz="8" w:space="0" w:color="auto"/>
              <w:right w:val="nil"/>
            </w:tcBorders>
            <w:shd w:val="clear" w:color="auto" w:fill="8EA9DB"/>
            <w:noWrap/>
            <w:vAlign w:val="center"/>
            <w:hideMark/>
          </w:tcPr>
          <w:p w14:paraId="4179F1BF"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511" w:type="dxa"/>
            <w:tcBorders>
              <w:top w:val="single" w:sz="8" w:space="0" w:color="auto"/>
              <w:left w:val="single" w:sz="4" w:space="0" w:color="auto"/>
              <w:bottom w:val="single" w:sz="8" w:space="0" w:color="auto"/>
              <w:right w:val="nil"/>
            </w:tcBorders>
            <w:shd w:val="clear" w:color="auto" w:fill="8EA9DB"/>
            <w:noWrap/>
            <w:vAlign w:val="center"/>
            <w:hideMark/>
          </w:tcPr>
          <w:p w14:paraId="7E3BF25E"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noWrap/>
            <w:vAlign w:val="center"/>
            <w:hideMark/>
          </w:tcPr>
          <w:p w14:paraId="5CCDF303"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auto"/>
              <w:right w:val="nil"/>
            </w:tcBorders>
            <w:shd w:val="clear" w:color="auto" w:fill="C6E0B4"/>
            <w:noWrap/>
            <w:vAlign w:val="center"/>
            <w:hideMark/>
          </w:tcPr>
          <w:p w14:paraId="63F0A576"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220884DF"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3BDE3328"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25" w:type="dxa"/>
            <w:tcBorders>
              <w:top w:val="nil"/>
              <w:left w:val="single" w:sz="4" w:space="0" w:color="auto"/>
              <w:bottom w:val="single" w:sz="8" w:space="0" w:color="auto"/>
              <w:right w:val="nil"/>
            </w:tcBorders>
            <w:shd w:val="clear" w:color="auto" w:fill="C6E0B4"/>
            <w:vAlign w:val="center"/>
            <w:hideMark/>
          </w:tcPr>
          <w:p w14:paraId="565D5EB2"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nil"/>
              <w:left w:val="nil"/>
              <w:bottom w:val="nil"/>
              <w:right w:val="nil"/>
            </w:tcBorders>
            <w:shd w:val="clear" w:color="auto" w:fill="969696"/>
            <w:noWrap/>
            <w:vAlign w:val="center"/>
            <w:hideMark/>
          </w:tcPr>
          <w:p w14:paraId="5706B259"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36F4D873" w14:textId="77777777" w:rsidR="008D77CC" w:rsidRPr="0095112F" w:rsidRDefault="008D77CC">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PO4b</w:t>
            </w:r>
          </w:p>
        </w:tc>
        <w:tc>
          <w:tcPr>
            <w:tcW w:w="1353" w:type="dxa"/>
            <w:tcBorders>
              <w:top w:val="nil"/>
              <w:left w:val="single" w:sz="8" w:space="0" w:color="auto"/>
              <w:bottom w:val="single" w:sz="8" w:space="0" w:color="auto"/>
              <w:right w:val="single" w:sz="8" w:space="0" w:color="auto"/>
            </w:tcBorders>
            <w:shd w:val="clear" w:color="auto" w:fill="DBDBDB"/>
            <w:noWrap/>
            <w:vAlign w:val="center"/>
            <w:hideMark/>
          </w:tcPr>
          <w:p w14:paraId="6A207EA1" w14:textId="712EAF77" w:rsidR="008D77CC" w:rsidRPr="0095112F" w:rsidRDefault="18945DAC"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31010B1F"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3,281,457 </w:t>
            </w:r>
          </w:p>
        </w:tc>
      </w:tr>
      <w:tr w:rsidR="00783610" w:rsidRPr="0095112F" w14:paraId="1D44BB12" w14:textId="77777777">
        <w:trPr>
          <w:trHeight w:val="300"/>
        </w:trPr>
        <w:tc>
          <w:tcPr>
            <w:tcW w:w="2117" w:type="dxa"/>
            <w:gridSpan w:val="4"/>
            <w:tcBorders>
              <w:top w:val="single" w:sz="8" w:space="0" w:color="auto"/>
              <w:left w:val="single" w:sz="8" w:space="0" w:color="auto"/>
              <w:bottom w:val="single" w:sz="8" w:space="0" w:color="auto"/>
              <w:right w:val="nil"/>
            </w:tcBorders>
            <w:shd w:val="clear" w:color="auto" w:fill="FFFF00"/>
            <w:noWrap/>
            <w:vAlign w:val="center"/>
            <w:hideMark/>
          </w:tcPr>
          <w:p w14:paraId="650EC735" w14:textId="69B2992F" w:rsidR="00BC6F78" w:rsidRPr="0095112F" w:rsidRDefault="00BC6F78" w:rsidP="003A51E5">
            <w:pPr>
              <w:spacing w:after="0"/>
              <w:rPr>
                <w:rFonts w:ascii="Arial" w:eastAsia="Times New Roman" w:hAnsi="Arial" w:cs="Arial"/>
                <w:noProof/>
                <w:szCs w:val="20"/>
                <w:lang w:val="en-IE" w:eastAsia="en-IE"/>
              </w:rPr>
            </w:pPr>
            <w:r w:rsidRPr="0095112F">
              <w:rPr>
                <w:rFonts w:ascii="Arial" w:eastAsia="Times New Roman" w:hAnsi="Arial" w:cs="Arial"/>
                <w:b/>
                <w:bCs/>
                <w:noProof/>
                <w:szCs w:val="20"/>
                <w:lang w:val="en-IE" w:eastAsia="en-IE"/>
              </w:rPr>
              <w:t>PO 4c</w:t>
            </w: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02FD1CC4" w14:textId="77777777" w:rsidR="00BC6F78" w:rsidRPr="0095112F" w:rsidRDefault="00BC6F78">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nil"/>
              <w:left w:val="single" w:sz="4" w:space="0" w:color="auto"/>
              <w:bottom w:val="single" w:sz="4" w:space="0" w:color="auto"/>
              <w:right w:val="nil"/>
            </w:tcBorders>
            <w:vAlign w:val="center"/>
            <w:hideMark/>
          </w:tcPr>
          <w:p w14:paraId="43453CE1" w14:textId="77777777" w:rsidR="00BC6F78" w:rsidRPr="0095112F" w:rsidRDefault="00BC6F78">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161" w:type="dxa"/>
            <w:tcBorders>
              <w:top w:val="nil"/>
              <w:left w:val="single" w:sz="4" w:space="0" w:color="auto"/>
              <w:bottom w:val="single" w:sz="8" w:space="0" w:color="auto"/>
              <w:right w:val="nil"/>
            </w:tcBorders>
            <w:noWrap/>
            <w:vAlign w:val="center"/>
            <w:hideMark/>
          </w:tcPr>
          <w:p w14:paraId="523D6DFD" w14:textId="77777777" w:rsidR="00BC6F78" w:rsidRPr="0095112F" w:rsidRDefault="00BC6F78">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652" w:type="dxa"/>
            <w:tcBorders>
              <w:top w:val="nil"/>
              <w:left w:val="single" w:sz="4" w:space="0" w:color="auto"/>
              <w:bottom w:val="single" w:sz="8" w:space="0" w:color="auto"/>
              <w:right w:val="nil"/>
            </w:tcBorders>
            <w:noWrap/>
            <w:vAlign w:val="center"/>
            <w:hideMark/>
          </w:tcPr>
          <w:p w14:paraId="19B1631F" w14:textId="77777777" w:rsidR="00BC6F78" w:rsidRPr="0095112F" w:rsidRDefault="00BC6F78">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511" w:type="dxa"/>
            <w:tcBorders>
              <w:top w:val="nil"/>
              <w:left w:val="single" w:sz="4" w:space="0" w:color="auto"/>
              <w:bottom w:val="single" w:sz="8" w:space="0" w:color="auto"/>
              <w:right w:val="nil"/>
            </w:tcBorders>
            <w:noWrap/>
            <w:vAlign w:val="center"/>
            <w:hideMark/>
          </w:tcPr>
          <w:p w14:paraId="4534586E" w14:textId="77777777" w:rsidR="00BC6F78" w:rsidRPr="0095112F" w:rsidRDefault="00BC6F78">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noWrap/>
            <w:vAlign w:val="center"/>
            <w:hideMark/>
          </w:tcPr>
          <w:p w14:paraId="04314856" w14:textId="77777777" w:rsidR="00BC6F78" w:rsidRPr="0095112F" w:rsidRDefault="00BC6F78">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nil"/>
              <w:right w:val="nil"/>
            </w:tcBorders>
            <w:noWrap/>
            <w:vAlign w:val="center"/>
            <w:hideMark/>
          </w:tcPr>
          <w:p w14:paraId="71B0AC95" w14:textId="77777777" w:rsidR="00BC6F78" w:rsidRPr="0095112F" w:rsidRDefault="00BC6F78">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21D9C9D1" w14:textId="77777777" w:rsidR="00BC6F78" w:rsidRPr="0095112F" w:rsidRDefault="00BC6F78">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3B2009CD" w14:textId="77777777" w:rsidR="00BC6F78" w:rsidRPr="0095112F" w:rsidRDefault="00BC6F78">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25" w:type="dxa"/>
            <w:tcBorders>
              <w:top w:val="nil"/>
              <w:left w:val="single" w:sz="4" w:space="0" w:color="auto"/>
              <w:bottom w:val="nil"/>
              <w:right w:val="nil"/>
            </w:tcBorders>
            <w:noWrap/>
            <w:vAlign w:val="center"/>
            <w:hideMark/>
          </w:tcPr>
          <w:p w14:paraId="5724E420" w14:textId="77777777" w:rsidR="00BC6F78" w:rsidRPr="0095112F" w:rsidRDefault="00BC6F78">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72" w:type="dxa"/>
            <w:tcBorders>
              <w:top w:val="nil"/>
              <w:left w:val="nil"/>
              <w:bottom w:val="nil"/>
              <w:right w:val="single" w:sz="8" w:space="0" w:color="auto"/>
            </w:tcBorders>
            <w:shd w:val="clear" w:color="auto" w:fill="969696"/>
            <w:noWrap/>
            <w:vAlign w:val="center"/>
            <w:hideMark/>
          </w:tcPr>
          <w:p w14:paraId="3D50739F" w14:textId="77777777" w:rsidR="00BC6F78" w:rsidRPr="0095112F" w:rsidRDefault="00BC6F78">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028" w:type="dxa"/>
            <w:tcBorders>
              <w:top w:val="nil"/>
              <w:left w:val="nil"/>
              <w:bottom w:val="nil"/>
              <w:right w:val="nil"/>
            </w:tcBorders>
            <w:noWrap/>
            <w:vAlign w:val="center"/>
            <w:hideMark/>
          </w:tcPr>
          <w:p w14:paraId="527065FD" w14:textId="77777777" w:rsidR="00BC6F78" w:rsidRPr="0095112F" w:rsidRDefault="00BC6F78">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3D0582D6" w14:textId="77777777" w:rsidR="00BC6F78" w:rsidRPr="0095112F" w:rsidRDefault="00BC6F78">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353" w:type="dxa"/>
            <w:tcBorders>
              <w:top w:val="nil"/>
              <w:left w:val="nil"/>
              <w:bottom w:val="nil"/>
              <w:right w:val="single" w:sz="8" w:space="0" w:color="auto"/>
            </w:tcBorders>
            <w:noWrap/>
            <w:vAlign w:val="center"/>
            <w:hideMark/>
          </w:tcPr>
          <w:p w14:paraId="1779231D" w14:textId="77777777" w:rsidR="00BC6F78" w:rsidRPr="0095112F" w:rsidRDefault="00BC6F78">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783610" w:rsidRPr="0095112F" w14:paraId="4DDB95CB" w14:textId="77777777" w:rsidTr="6F00936E">
        <w:trPr>
          <w:trHeight w:val="1223"/>
        </w:trPr>
        <w:tc>
          <w:tcPr>
            <w:tcW w:w="2117" w:type="dxa"/>
            <w:gridSpan w:val="4"/>
            <w:vMerge w:val="restart"/>
            <w:tcBorders>
              <w:top w:val="single" w:sz="8" w:space="0" w:color="auto"/>
              <w:left w:val="single" w:sz="8" w:space="0" w:color="auto"/>
              <w:bottom w:val="single" w:sz="8" w:space="0" w:color="000000" w:themeColor="text1"/>
              <w:right w:val="nil"/>
            </w:tcBorders>
            <w:vAlign w:val="center"/>
            <w:hideMark/>
          </w:tcPr>
          <w:p w14:paraId="70C96978" w14:textId="7C78DA96" w:rsidR="008D77CC" w:rsidRPr="0095112F" w:rsidRDefault="003A51E5">
            <w:pPr>
              <w:spacing w:after="0"/>
              <w:rPr>
                <w:rFonts w:ascii="Calibri" w:eastAsia="Times New Roman" w:hAnsi="Calibri" w:cs="Calibri"/>
                <w:noProof/>
                <w:color w:val="000000"/>
                <w:szCs w:val="20"/>
                <w:lang w:val="en-IE" w:eastAsia="en-IE"/>
              </w:rPr>
            </w:pPr>
            <w:r w:rsidRPr="003A51E5">
              <w:rPr>
                <w:rFonts w:ascii="Calibri" w:eastAsia="Times New Roman" w:hAnsi="Calibri" w:cs="Calibri"/>
                <w:noProof/>
                <w:color w:val="000000"/>
                <w:szCs w:val="20"/>
                <w:lang w:val="en-IE" w:eastAsia="en-IE"/>
              </w:rPr>
              <w:t>Option 4b + simplified insolvency procedure</w:t>
            </w:r>
            <w:r w:rsidR="00E71D7A">
              <w:rPr>
                <w:rFonts w:ascii="Calibri" w:eastAsia="Times New Roman" w:hAnsi="Calibri" w:cs="Calibri"/>
                <w:noProof/>
                <w:color w:val="000000"/>
                <w:szCs w:val="20"/>
                <w:lang w:val="en-IE" w:eastAsia="en-IE"/>
              </w:rPr>
              <w:t xml:space="preserve"> through digitalisation</w:t>
            </w:r>
            <w:r w:rsidRPr="003A51E5">
              <w:rPr>
                <w:rFonts w:ascii="Calibri" w:eastAsia="Times New Roman" w:hAnsi="Calibri" w:cs="Calibri"/>
                <w:noProof/>
                <w:color w:val="000000"/>
                <w:szCs w:val="20"/>
                <w:lang w:val="en-IE" w:eastAsia="en-IE"/>
              </w:rPr>
              <w:t>.</w:t>
            </w:r>
          </w:p>
        </w:tc>
        <w:tc>
          <w:tcPr>
            <w:tcW w:w="272" w:type="dxa"/>
            <w:tcBorders>
              <w:top w:val="nil"/>
              <w:left w:val="nil"/>
              <w:bottom w:val="nil"/>
              <w:right w:val="single" w:sz="4" w:space="0" w:color="auto"/>
            </w:tcBorders>
            <w:shd w:val="clear" w:color="auto" w:fill="969696"/>
            <w:vAlign w:val="center"/>
            <w:hideMark/>
          </w:tcPr>
          <w:p w14:paraId="79E008D1"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single" w:sz="8" w:space="0" w:color="auto"/>
              <w:left w:val="nil"/>
              <w:bottom w:val="single" w:sz="4" w:space="0" w:color="auto"/>
              <w:right w:val="nil"/>
            </w:tcBorders>
            <w:vAlign w:val="center"/>
            <w:hideMark/>
          </w:tcPr>
          <w:p w14:paraId="22BF2D3E"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308,843</w:t>
            </w:r>
          </w:p>
        </w:tc>
        <w:tc>
          <w:tcPr>
            <w:tcW w:w="1161" w:type="dxa"/>
            <w:tcBorders>
              <w:top w:val="nil"/>
              <w:left w:val="single" w:sz="4" w:space="0" w:color="auto"/>
              <w:bottom w:val="single" w:sz="4" w:space="0" w:color="auto"/>
              <w:right w:val="nil"/>
            </w:tcBorders>
            <w:vAlign w:val="center"/>
            <w:hideMark/>
          </w:tcPr>
          <w:p w14:paraId="1B376BFB"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652" w:type="dxa"/>
            <w:tcBorders>
              <w:top w:val="nil"/>
              <w:left w:val="single" w:sz="4" w:space="0" w:color="auto"/>
              <w:bottom w:val="single" w:sz="4" w:space="0" w:color="auto"/>
              <w:right w:val="nil"/>
            </w:tcBorders>
            <w:vAlign w:val="center"/>
            <w:hideMark/>
          </w:tcPr>
          <w:p w14:paraId="38364876" w14:textId="77777777" w:rsidR="008D77CC" w:rsidRPr="0095112F" w:rsidRDefault="008D77CC">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8.5%</w:t>
            </w:r>
          </w:p>
        </w:tc>
        <w:tc>
          <w:tcPr>
            <w:tcW w:w="1511" w:type="dxa"/>
            <w:tcBorders>
              <w:top w:val="nil"/>
              <w:left w:val="single" w:sz="4" w:space="0" w:color="auto"/>
              <w:bottom w:val="single" w:sz="4" w:space="0" w:color="auto"/>
              <w:right w:val="nil"/>
            </w:tcBorders>
            <w:shd w:val="clear" w:color="auto" w:fill="FFFFFF" w:themeFill="background1"/>
            <w:vAlign w:val="center"/>
            <w:hideMark/>
          </w:tcPr>
          <w:p w14:paraId="1586AD43" w14:textId="16878AAB" w:rsidR="008D77CC" w:rsidRPr="0095112F" w:rsidRDefault="008D77CC">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noWrap/>
            <w:vAlign w:val="center"/>
            <w:hideMark/>
          </w:tcPr>
          <w:p w14:paraId="6AB1A75F"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6EE504"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60.00</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hideMark/>
          </w:tcPr>
          <w:p w14:paraId="0554ADD0"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2.00</w:t>
            </w:r>
          </w:p>
        </w:tc>
        <w:tc>
          <w:tcPr>
            <w:tcW w:w="1295" w:type="dxa"/>
            <w:tcBorders>
              <w:top w:val="single" w:sz="4" w:space="0" w:color="auto"/>
              <w:left w:val="nil"/>
              <w:bottom w:val="single" w:sz="4" w:space="0" w:color="auto"/>
              <w:right w:val="single" w:sz="4" w:space="0" w:color="auto"/>
            </w:tcBorders>
            <w:shd w:val="clear" w:color="auto" w:fill="FFFFFF" w:themeFill="background1"/>
            <w:vAlign w:val="center"/>
            <w:hideMark/>
          </w:tcPr>
          <w:p w14:paraId="1C9CB27F"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25" w:type="dxa"/>
            <w:tcBorders>
              <w:top w:val="single" w:sz="4" w:space="0" w:color="auto"/>
              <w:left w:val="nil"/>
              <w:bottom w:val="single" w:sz="4" w:space="0" w:color="auto"/>
              <w:right w:val="single" w:sz="4" w:space="0" w:color="auto"/>
            </w:tcBorders>
            <w:vAlign w:val="center"/>
            <w:hideMark/>
          </w:tcPr>
          <w:p w14:paraId="427872E0" w14:textId="24EF703E" w:rsidR="008D77CC" w:rsidRPr="0095112F" w:rsidRDefault="00F00E73">
            <w:pPr>
              <w:spacing w:after="0"/>
              <w:rPr>
                <w:rFonts w:ascii="Calibri" w:eastAsia="Times New Roman" w:hAnsi="Calibri" w:cs="Calibri"/>
                <w:noProof/>
                <w:color w:val="000000"/>
                <w:szCs w:val="20"/>
                <w:lang w:val="en-IE" w:eastAsia="en-IE"/>
              </w:rPr>
            </w:pPr>
            <w:r>
              <w:rPr>
                <w:rFonts w:ascii="Calibri" w:eastAsia="Times New Roman" w:hAnsi="Calibri" w:cs="Calibri"/>
                <w:noProof/>
                <w:color w:val="000000"/>
                <w:szCs w:val="20"/>
                <w:lang w:val="en-IE" w:eastAsia="en-IE"/>
              </w:rPr>
              <w:t>Same as 4a</w:t>
            </w:r>
          </w:p>
        </w:tc>
        <w:tc>
          <w:tcPr>
            <w:tcW w:w="272" w:type="dxa"/>
            <w:tcBorders>
              <w:top w:val="nil"/>
              <w:left w:val="nil"/>
              <w:bottom w:val="nil"/>
              <w:right w:val="nil"/>
            </w:tcBorders>
            <w:shd w:val="clear" w:color="auto" w:fill="969696"/>
            <w:noWrap/>
            <w:vAlign w:val="center"/>
            <w:hideMark/>
          </w:tcPr>
          <w:p w14:paraId="21DBD2D2"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single" w:sz="4" w:space="0" w:color="auto"/>
              <w:left w:val="single" w:sz="4" w:space="0" w:color="auto"/>
              <w:bottom w:val="single" w:sz="4" w:space="0" w:color="auto"/>
              <w:right w:val="single" w:sz="4" w:space="0" w:color="auto"/>
            </w:tcBorders>
            <w:vAlign w:val="center"/>
            <w:hideMark/>
          </w:tcPr>
          <w:p w14:paraId="093374CB"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120.00</w:t>
            </w:r>
          </w:p>
        </w:tc>
        <w:tc>
          <w:tcPr>
            <w:tcW w:w="1184" w:type="dxa"/>
            <w:tcBorders>
              <w:top w:val="single" w:sz="4" w:space="0" w:color="auto"/>
              <w:left w:val="nil"/>
              <w:bottom w:val="single" w:sz="4" w:space="0" w:color="auto"/>
              <w:right w:val="single" w:sz="4" w:space="0" w:color="auto"/>
            </w:tcBorders>
            <w:vAlign w:val="center"/>
            <w:hideMark/>
          </w:tcPr>
          <w:p w14:paraId="1614538F"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26,252</w:t>
            </w:r>
          </w:p>
        </w:tc>
        <w:tc>
          <w:tcPr>
            <w:tcW w:w="1353" w:type="dxa"/>
            <w:tcBorders>
              <w:top w:val="single" w:sz="4" w:space="0" w:color="auto"/>
              <w:left w:val="nil"/>
              <w:bottom w:val="single" w:sz="4" w:space="0" w:color="auto"/>
              <w:right w:val="single" w:sz="4" w:space="0" w:color="auto"/>
            </w:tcBorders>
            <w:vAlign w:val="center"/>
            <w:hideMark/>
          </w:tcPr>
          <w:p w14:paraId="24D65730" w14:textId="48D98845" w:rsidR="008D77CC" w:rsidRPr="0095112F" w:rsidRDefault="18945DAC"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 xml:space="preserve"> </w:t>
            </w:r>
            <w:r w:rsidR="71ED5C2A" w:rsidRPr="6F00936E">
              <w:rPr>
                <w:rFonts w:ascii="Calibri" w:eastAsia="Times New Roman" w:hAnsi="Calibri" w:cs="Calibri"/>
                <w:noProof/>
                <w:lang w:val="en-IE" w:eastAsia="en-IE"/>
              </w:rPr>
              <w:t>EUR</w:t>
            </w:r>
            <w:r w:rsidRPr="6F00936E">
              <w:rPr>
                <w:rFonts w:ascii="Calibri" w:eastAsia="Times New Roman" w:hAnsi="Calibri" w:cs="Calibri"/>
                <w:noProof/>
                <w:lang w:val="en-IE" w:eastAsia="en-IE"/>
              </w:rPr>
              <w:t xml:space="preserve">           3,150,199 </w:t>
            </w:r>
          </w:p>
        </w:tc>
      </w:tr>
      <w:tr w:rsidR="00783610" w:rsidRPr="0095112F" w14:paraId="64B5690E" w14:textId="77777777" w:rsidTr="6F00936E">
        <w:trPr>
          <w:trHeight w:val="1223"/>
        </w:trPr>
        <w:tc>
          <w:tcPr>
            <w:tcW w:w="2117" w:type="dxa"/>
            <w:gridSpan w:val="4"/>
            <w:vMerge/>
            <w:vAlign w:val="center"/>
            <w:hideMark/>
          </w:tcPr>
          <w:p w14:paraId="7C0E5FEA" w14:textId="77777777" w:rsidR="008D77CC" w:rsidRPr="0095112F" w:rsidRDefault="008D77CC">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vAlign w:val="center"/>
            <w:hideMark/>
          </w:tcPr>
          <w:p w14:paraId="4E8285AC"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single" w:sz="8" w:space="0" w:color="auto"/>
              <w:left w:val="single" w:sz="4" w:space="0" w:color="auto"/>
              <w:bottom w:val="nil"/>
              <w:right w:val="nil"/>
            </w:tcBorders>
            <w:vAlign w:val="center"/>
            <w:hideMark/>
          </w:tcPr>
          <w:p w14:paraId="004F0675"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26,252</w:t>
            </w:r>
          </w:p>
        </w:tc>
        <w:tc>
          <w:tcPr>
            <w:tcW w:w="1161" w:type="dxa"/>
            <w:tcBorders>
              <w:top w:val="single" w:sz="8" w:space="0" w:color="auto"/>
              <w:left w:val="single" w:sz="4" w:space="0" w:color="auto"/>
              <w:bottom w:val="nil"/>
              <w:right w:val="nil"/>
            </w:tcBorders>
            <w:vAlign w:val="center"/>
            <w:hideMark/>
          </w:tcPr>
          <w:p w14:paraId="72B76A5A"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652" w:type="dxa"/>
            <w:tcBorders>
              <w:top w:val="single" w:sz="8" w:space="0" w:color="auto"/>
              <w:left w:val="single" w:sz="4" w:space="0" w:color="auto"/>
              <w:bottom w:val="nil"/>
              <w:right w:val="nil"/>
            </w:tcBorders>
            <w:vAlign w:val="center"/>
            <w:hideMark/>
          </w:tcPr>
          <w:p w14:paraId="0177F337" w14:textId="77777777" w:rsidR="008D77CC" w:rsidRPr="0095112F" w:rsidRDefault="008D77CC">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1.0%</w:t>
            </w:r>
          </w:p>
        </w:tc>
        <w:tc>
          <w:tcPr>
            <w:tcW w:w="1511" w:type="dxa"/>
            <w:tcBorders>
              <w:top w:val="single" w:sz="8" w:space="0" w:color="auto"/>
              <w:left w:val="single" w:sz="4" w:space="0" w:color="auto"/>
              <w:bottom w:val="nil"/>
              <w:right w:val="nil"/>
            </w:tcBorders>
            <w:shd w:val="clear" w:color="auto" w:fill="FFFFFF" w:themeFill="background1"/>
            <w:vAlign w:val="center"/>
            <w:hideMark/>
          </w:tcPr>
          <w:p w14:paraId="71BA31DC" w14:textId="4A82C9E1" w:rsidR="008D77CC" w:rsidRPr="0095112F" w:rsidRDefault="008D77CC">
            <w:pPr>
              <w:spacing w:after="0"/>
              <w:rPr>
                <w:rFonts w:ascii="Calibri" w:eastAsia="Times New Roman" w:hAnsi="Calibri" w:cs="Calibri"/>
                <w:noProof/>
                <w:color w:val="000000"/>
                <w:szCs w:val="20"/>
                <w:lang w:val="en-IE" w:eastAsia="en-IE"/>
              </w:rPr>
            </w:pPr>
          </w:p>
        </w:tc>
        <w:tc>
          <w:tcPr>
            <w:tcW w:w="272" w:type="dxa"/>
            <w:tcBorders>
              <w:top w:val="nil"/>
              <w:left w:val="nil"/>
              <w:bottom w:val="nil"/>
              <w:right w:val="nil"/>
            </w:tcBorders>
            <w:shd w:val="clear" w:color="auto" w:fill="969696"/>
            <w:noWrap/>
            <w:vAlign w:val="center"/>
            <w:hideMark/>
          </w:tcPr>
          <w:p w14:paraId="0F17BD90"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nil"/>
              <w:right w:val="single" w:sz="4" w:space="0" w:color="auto"/>
            </w:tcBorders>
            <w:shd w:val="clear" w:color="auto" w:fill="FFFFFF" w:themeFill="background1"/>
            <w:vAlign w:val="center"/>
            <w:hideMark/>
          </w:tcPr>
          <w:p w14:paraId="1CCFE6E6"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60.00</w:t>
            </w:r>
          </w:p>
        </w:tc>
        <w:tc>
          <w:tcPr>
            <w:tcW w:w="850" w:type="dxa"/>
            <w:tcBorders>
              <w:top w:val="nil"/>
              <w:left w:val="nil"/>
              <w:bottom w:val="nil"/>
              <w:right w:val="single" w:sz="4" w:space="0" w:color="auto"/>
            </w:tcBorders>
            <w:shd w:val="clear" w:color="auto" w:fill="FFFFFF" w:themeFill="background1"/>
            <w:vAlign w:val="center"/>
            <w:hideMark/>
          </w:tcPr>
          <w:p w14:paraId="6ED9D820"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295" w:type="dxa"/>
            <w:tcBorders>
              <w:top w:val="nil"/>
              <w:left w:val="nil"/>
              <w:bottom w:val="nil"/>
              <w:right w:val="single" w:sz="4" w:space="0" w:color="auto"/>
            </w:tcBorders>
            <w:shd w:val="clear" w:color="auto" w:fill="FFFFFF" w:themeFill="background1"/>
            <w:vAlign w:val="center"/>
            <w:hideMark/>
          </w:tcPr>
          <w:p w14:paraId="364523E9"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500.00</w:t>
            </w:r>
          </w:p>
        </w:tc>
        <w:tc>
          <w:tcPr>
            <w:tcW w:w="1325" w:type="dxa"/>
            <w:tcBorders>
              <w:top w:val="nil"/>
              <w:left w:val="nil"/>
              <w:bottom w:val="nil"/>
              <w:right w:val="single" w:sz="4" w:space="0" w:color="auto"/>
            </w:tcBorders>
            <w:vAlign w:val="center"/>
            <w:hideMark/>
          </w:tcPr>
          <w:p w14:paraId="157F64DC" w14:textId="11720481" w:rsidR="008D77CC" w:rsidRPr="0095112F" w:rsidRDefault="00F00E73">
            <w:pPr>
              <w:spacing w:after="0"/>
              <w:rPr>
                <w:rFonts w:ascii="Calibri" w:eastAsia="Times New Roman" w:hAnsi="Calibri" w:cs="Calibri"/>
                <w:noProof/>
                <w:color w:val="000000"/>
                <w:szCs w:val="20"/>
                <w:lang w:val="en-IE" w:eastAsia="en-IE"/>
              </w:rPr>
            </w:pPr>
            <w:r>
              <w:rPr>
                <w:rFonts w:ascii="Calibri" w:eastAsia="Times New Roman" w:hAnsi="Calibri" w:cs="Calibri"/>
                <w:noProof/>
                <w:color w:val="000000"/>
                <w:szCs w:val="20"/>
                <w:lang w:val="en-IE" w:eastAsia="en-IE"/>
              </w:rPr>
              <w:t>Same as 4b</w:t>
            </w:r>
          </w:p>
        </w:tc>
        <w:tc>
          <w:tcPr>
            <w:tcW w:w="272" w:type="dxa"/>
            <w:tcBorders>
              <w:top w:val="nil"/>
              <w:left w:val="nil"/>
              <w:bottom w:val="nil"/>
              <w:right w:val="nil"/>
            </w:tcBorders>
            <w:shd w:val="clear" w:color="auto" w:fill="969696"/>
            <w:noWrap/>
            <w:vAlign w:val="center"/>
            <w:hideMark/>
          </w:tcPr>
          <w:p w14:paraId="534CFCC6"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1028" w:type="dxa"/>
            <w:tcBorders>
              <w:top w:val="nil"/>
              <w:left w:val="single" w:sz="4" w:space="0" w:color="auto"/>
              <w:bottom w:val="single" w:sz="4" w:space="0" w:color="auto"/>
              <w:right w:val="single" w:sz="4" w:space="0" w:color="auto"/>
            </w:tcBorders>
            <w:vAlign w:val="center"/>
            <w:hideMark/>
          </w:tcPr>
          <w:p w14:paraId="4B8A2241"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500.00</w:t>
            </w:r>
          </w:p>
        </w:tc>
        <w:tc>
          <w:tcPr>
            <w:tcW w:w="1184" w:type="dxa"/>
            <w:tcBorders>
              <w:top w:val="nil"/>
              <w:left w:val="nil"/>
              <w:bottom w:val="single" w:sz="4" w:space="0" w:color="auto"/>
              <w:right w:val="single" w:sz="4" w:space="0" w:color="auto"/>
            </w:tcBorders>
            <w:vAlign w:val="center"/>
            <w:hideMark/>
          </w:tcPr>
          <w:p w14:paraId="0D50E7CA" w14:textId="77777777" w:rsidR="008D77CC" w:rsidRPr="0095112F" w:rsidRDefault="008D77CC">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263</w:t>
            </w:r>
          </w:p>
        </w:tc>
        <w:tc>
          <w:tcPr>
            <w:tcW w:w="1353" w:type="dxa"/>
            <w:tcBorders>
              <w:top w:val="nil"/>
              <w:left w:val="nil"/>
              <w:bottom w:val="single" w:sz="4" w:space="0" w:color="auto"/>
              <w:right w:val="single" w:sz="4" w:space="0" w:color="auto"/>
            </w:tcBorders>
            <w:vAlign w:val="center"/>
            <w:hideMark/>
          </w:tcPr>
          <w:p w14:paraId="73D8F17E" w14:textId="16BED989" w:rsidR="008D77CC" w:rsidRPr="0095112F" w:rsidRDefault="18945DAC"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 xml:space="preserve"> </w:t>
            </w:r>
            <w:r w:rsidR="71ED5C2A" w:rsidRPr="6F00936E">
              <w:rPr>
                <w:rFonts w:ascii="Calibri" w:eastAsia="Times New Roman" w:hAnsi="Calibri" w:cs="Calibri"/>
                <w:noProof/>
                <w:lang w:val="en-IE" w:eastAsia="en-IE"/>
              </w:rPr>
              <w:t>EUR</w:t>
            </w:r>
            <w:r w:rsidRPr="6F00936E">
              <w:rPr>
                <w:rFonts w:ascii="Calibri" w:eastAsia="Times New Roman" w:hAnsi="Calibri" w:cs="Calibri"/>
                <w:noProof/>
                <w:lang w:val="en-IE" w:eastAsia="en-IE"/>
              </w:rPr>
              <w:t xml:space="preserve">              131,258 </w:t>
            </w:r>
          </w:p>
        </w:tc>
      </w:tr>
      <w:tr w:rsidR="00783610" w:rsidRPr="0095112F" w14:paraId="619EE70C" w14:textId="77777777" w:rsidTr="6F00936E">
        <w:trPr>
          <w:trHeight w:val="300"/>
        </w:trPr>
        <w:tc>
          <w:tcPr>
            <w:tcW w:w="428" w:type="dxa"/>
            <w:tcBorders>
              <w:top w:val="nil"/>
              <w:left w:val="single" w:sz="8" w:space="0" w:color="auto"/>
              <w:bottom w:val="single" w:sz="8" w:space="0" w:color="auto"/>
              <w:right w:val="nil"/>
            </w:tcBorders>
            <w:shd w:val="clear" w:color="auto" w:fill="305496"/>
            <w:noWrap/>
            <w:vAlign w:val="center"/>
            <w:hideMark/>
          </w:tcPr>
          <w:p w14:paraId="7E438B5C"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gridSpan w:val="2"/>
            <w:tcBorders>
              <w:top w:val="nil"/>
              <w:left w:val="nil"/>
              <w:bottom w:val="single" w:sz="8" w:space="0" w:color="auto"/>
              <w:right w:val="nil"/>
            </w:tcBorders>
            <w:shd w:val="clear" w:color="auto" w:fill="305496"/>
            <w:noWrap/>
            <w:vAlign w:val="center"/>
            <w:hideMark/>
          </w:tcPr>
          <w:p w14:paraId="004645C8"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417" w:type="dxa"/>
            <w:tcBorders>
              <w:top w:val="nil"/>
              <w:left w:val="nil"/>
              <w:bottom w:val="single" w:sz="8" w:space="0" w:color="auto"/>
              <w:right w:val="nil"/>
            </w:tcBorders>
            <w:shd w:val="clear" w:color="auto" w:fill="305496"/>
            <w:noWrap/>
            <w:vAlign w:val="center"/>
            <w:hideMark/>
          </w:tcPr>
          <w:p w14:paraId="22EFB8CA"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6190DA86" w14:textId="77777777" w:rsidR="008D77CC" w:rsidRPr="0095112F" w:rsidRDefault="008D77CC">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940" w:type="dxa"/>
            <w:tcBorders>
              <w:top w:val="nil"/>
              <w:left w:val="single" w:sz="4" w:space="0" w:color="auto"/>
              <w:bottom w:val="single" w:sz="8" w:space="0" w:color="auto"/>
              <w:right w:val="nil"/>
            </w:tcBorders>
            <w:shd w:val="clear" w:color="auto" w:fill="8EA9DB"/>
            <w:noWrap/>
            <w:vAlign w:val="center"/>
            <w:hideMark/>
          </w:tcPr>
          <w:p w14:paraId="0D1C374D"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0E8238AD"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652" w:type="dxa"/>
            <w:tcBorders>
              <w:top w:val="nil"/>
              <w:left w:val="single" w:sz="4" w:space="0" w:color="auto"/>
              <w:bottom w:val="single" w:sz="8" w:space="0" w:color="auto"/>
              <w:right w:val="nil"/>
            </w:tcBorders>
            <w:shd w:val="clear" w:color="auto" w:fill="8EA9DB"/>
            <w:noWrap/>
            <w:vAlign w:val="center"/>
            <w:hideMark/>
          </w:tcPr>
          <w:p w14:paraId="34C50510"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511" w:type="dxa"/>
            <w:tcBorders>
              <w:top w:val="nil"/>
              <w:left w:val="single" w:sz="4" w:space="0" w:color="auto"/>
              <w:bottom w:val="single" w:sz="8" w:space="0" w:color="auto"/>
              <w:right w:val="nil"/>
            </w:tcBorders>
            <w:shd w:val="clear" w:color="auto" w:fill="8EA9DB"/>
            <w:noWrap/>
            <w:vAlign w:val="center"/>
            <w:hideMark/>
          </w:tcPr>
          <w:p w14:paraId="056003D8" w14:textId="77777777" w:rsidR="008D77CC" w:rsidRPr="0095112F" w:rsidRDefault="008D77CC">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noWrap/>
            <w:vAlign w:val="center"/>
            <w:hideMark/>
          </w:tcPr>
          <w:p w14:paraId="4F801E74"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794" w:type="dxa"/>
            <w:tcBorders>
              <w:top w:val="nil"/>
              <w:left w:val="single" w:sz="4" w:space="0" w:color="auto"/>
              <w:bottom w:val="single" w:sz="8" w:space="0" w:color="auto"/>
              <w:right w:val="nil"/>
            </w:tcBorders>
            <w:shd w:val="clear" w:color="auto" w:fill="C6E0B4"/>
            <w:noWrap/>
            <w:vAlign w:val="center"/>
            <w:hideMark/>
          </w:tcPr>
          <w:p w14:paraId="011D2FB2"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57BB7430" w14:textId="77777777" w:rsidR="008D77CC" w:rsidRPr="0095112F" w:rsidRDefault="008D77CC">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4D653BF1"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1325" w:type="dxa"/>
            <w:tcBorders>
              <w:top w:val="nil"/>
              <w:left w:val="single" w:sz="4" w:space="0" w:color="auto"/>
              <w:bottom w:val="single" w:sz="8" w:space="0" w:color="auto"/>
              <w:right w:val="nil"/>
            </w:tcBorders>
            <w:shd w:val="clear" w:color="auto" w:fill="C6E0B4"/>
            <w:vAlign w:val="center"/>
            <w:hideMark/>
          </w:tcPr>
          <w:p w14:paraId="3FB95E13" w14:textId="77777777" w:rsidR="008D77CC" w:rsidRPr="0095112F" w:rsidRDefault="008D77CC">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272" w:type="dxa"/>
            <w:tcBorders>
              <w:top w:val="nil"/>
              <w:left w:val="nil"/>
              <w:bottom w:val="nil"/>
              <w:right w:val="nil"/>
            </w:tcBorders>
            <w:shd w:val="clear" w:color="auto" w:fill="969696"/>
            <w:noWrap/>
            <w:vAlign w:val="center"/>
            <w:hideMark/>
          </w:tcPr>
          <w:p w14:paraId="455ACA5B" w14:textId="77777777" w:rsidR="008D77CC" w:rsidRPr="0095112F" w:rsidRDefault="008D77CC">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4711DB87" w14:textId="77777777" w:rsidR="008D77CC" w:rsidRPr="0095112F" w:rsidRDefault="008D77CC">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PO4c</w:t>
            </w:r>
          </w:p>
        </w:tc>
        <w:tc>
          <w:tcPr>
            <w:tcW w:w="1353" w:type="dxa"/>
            <w:tcBorders>
              <w:top w:val="nil"/>
              <w:left w:val="single" w:sz="8" w:space="0" w:color="auto"/>
              <w:bottom w:val="single" w:sz="8" w:space="0" w:color="auto"/>
              <w:right w:val="single" w:sz="8" w:space="0" w:color="auto"/>
            </w:tcBorders>
            <w:shd w:val="clear" w:color="auto" w:fill="DBDBDB"/>
            <w:noWrap/>
            <w:vAlign w:val="center"/>
            <w:hideMark/>
          </w:tcPr>
          <w:p w14:paraId="131F950D" w14:textId="58C23E41" w:rsidR="008D77CC" w:rsidRPr="0095112F" w:rsidRDefault="18945DAC"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5634C88E"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3,281,457 </w:t>
            </w:r>
          </w:p>
        </w:tc>
      </w:tr>
    </w:tbl>
    <w:p w14:paraId="5C4FB1FB" w14:textId="7CD62156" w:rsidR="00D8494C" w:rsidRDefault="00D8494C" w:rsidP="004F2887">
      <w:pPr>
        <w:jc w:val="both"/>
        <w:rPr>
          <w:rFonts w:eastAsia="Times New Roman" w:cs="Times New Roman"/>
          <w:noProof/>
          <w:color w:val="auto"/>
          <w:sz w:val="22"/>
          <w:lang w:val="en-IE" w:eastAsia="en-IE"/>
        </w:rPr>
      </w:pPr>
    </w:p>
    <w:p w14:paraId="098DB201" w14:textId="72D92C91" w:rsidR="00F71644" w:rsidRDefault="00F71644" w:rsidP="004F2887">
      <w:pPr>
        <w:jc w:val="both"/>
        <w:rPr>
          <w:rFonts w:eastAsia="Times New Roman" w:cs="Times New Roman"/>
          <w:noProof/>
          <w:color w:val="auto"/>
          <w:sz w:val="22"/>
          <w:lang w:val="en-IE" w:eastAsia="en-IE"/>
        </w:rPr>
      </w:pPr>
      <w:r>
        <w:rPr>
          <w:rFonts w:eastAsia="Times New Roman" w:cs="Times New Roman"/>
          <w:noProof/>
          <w:color w:val="auto"/>
          <w:sz w:val="22"/>
          <w:lang w:val="en-IE" w:eastAsia="en-IE"/>
        </w:rPr>
        <w:t xml:space="preserve">Policy </w:t>
      </w:r>
      <w:r w:rsidR="003A51E5">
        <w:rPr>
          <w:rFonts w:eastAsia="Times New Roman" w:cs="Times New Roman"/>
          <w:noProof/>
          <w:color w:val="auto"/>
          <w:sz w:val="22"/>
          <w:lang w:val="en-IE" w:eastAsia="en-IE"/>
        </w:rPr>
        <w:t>O</w:t>
      </w:r>
      <w:r>
        <w:rPr>
          <w:rFonts w:eastAsia="Times New Roman" w:cs="Times New Roman"/>
          <w:noProof/>
          <w:color w:val="auto"/>
          <w:sz w:val="22"/>
          <w:lang w:val="en-IE" w:eastAsia="en-IE"/>
        </w:rPr>
        <w:t>ptions 5</w:t>
      </w:r>
    </w:p>
    <w:tbl>
      <w:tblPr>
        <w:tblW w:w="0" w:type="auto"/>
        <w:tblInd w:w="-577" w:type="dxa"/>
        <w:tblLook w:val="04A0" w:firstRow="1" w:lastRow="0" w:firstColumn="1" w:lastColumn="0" w:noHBand="0" w:noVBand="1"/>
      </w:tblPr>
      <w:tblGrid>
        <w:gridCol w:w="380"/>
        <w:gridCol w:w="332"/>
        <w:gridCol w:w="1010"/>
        <w:gridCol w:w="260"/>
        <w:gridCol w:w="1053"/>
        <w:gridCol w:w="965"/>
        <w:gridCol w:w="531"/>
        <w:gridCol w:w="1045"/>
        <w:gridCol w:w="252"/>
        <w:gridCol w:w="674"/>
        <w:gridCol w:w="719"/>
        <w:gridCol w:w="1071"/>
        <w:gridCol w:w="1045"/>
        <w:gridCol w:w="260"/>
        <w:gridCol w:w="1503"/>
        <w:gridCol w:w="1767"/>
        <w:gridCol w:w="1697"/>
      </w:tblGrid>
      <w:tr w:rsidR="00783610" w:rsidRPr="0095112F" w14:paraId="0EF69E45" w14:textId="77777777">
        <w:trPr>
          <w:trHeight w:val="1540"/>
        </w:trPr>
        <w:tc>
          <w:tcPr>
            <w:tcW w:w="0" w:type="auto"/>
            <w:gridSpan w:val="2"/>
            <w:vMerge w:val="restart"/>
            <w:tcBorders>
              <w:top w:val="nil"/>
              <w:left w:val="single" w:sz="8" w:space="0" w:color="auto"/>
              <w:right w:val="nil"/>
            </w:tcBorders>
            <w:noWrap/>
            <w:vAlign w:val="center"/>
            <w:hideMark/>
          </w:tcPr>
          <w:p w14:paraId="18E23CBA"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No.</w:t>
            </w:r>
          </w:p>
        </w:tc>
        <w:tc>
          <w:tcPr>
            <w:tcW w:w="0" w:type="auto"/>
            <w:vMerge w:val="restart"/>
            <w:tcBorders>
              <w:top w:val="nil"/>
              <w:left w:val="nil"/>
              <w:right w:val="nil"/>
            </w:tcBorders>
            <w:noWrap/>
            <w:vAlign w:val="center"/>
            <w:hideMark/>
          </w:tcPr>
          <w:p w14:paraId="3A406F3B"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Description</w:t>
            </w:r>
          </w:p>
        </w:tc>
        <w:tc>
          <w:tcPr>
            <w:tcW w:w="0" w:type="auto"/>
            <w:tcBorders>
              <w:top w:val="nil"/>
              <w:left w:val="nil"/>
              <w:bottom w:val="nil"/>
              <w:right w:val="nil"/>
            </w:tcBorders>
            <w:shd w:val="clear" w:color="auto" w:fill="969696"/>
            <w:vAlign w:val="center"/>
            <w:hideMark/>
          </w:tcPr>
          <w:p w14:paraId="54F80519" w14:textId="77777777" w:rsidR="00F80CE1" w:rsidRPr="0095112F" w:rsidRDefault="00F80CE1">
            <w:pPr>
              <w:spacing w:after="0"/>
              <w:jc w:val="center"/>
              <w:rPr>
                <w:rFonts w:ascii="Arial" w:eastAsia="Times New Roman" w:hAnsi="Arial" w:cs="Arial"/>
                <w:noProof/>
                <w:color w:val="808080"/>
                <w:szCs w:val="20"/>
                <w:lang w:val="en-IE" w:eastAsia="en-IE"/>
              </w:rPr>
            </w:pPr>
          </w:p>
        </w:tc>
        <w:tc>
          <w:tcPr>
            <w:tcW w:w="0" w:type="auto"/>
            <w:vMerge w:val="restart"/>
            <w:tcBorders>
              <w:top w:val="nil"/>
              <w:left w:val="single" w:sz="4" w:space="0" w:color="auto"/>
              <w:right w:val="single" w:sz="4" w:space="0" w:color="auto"/>
            </w:tcBorders>
            <w:noWrap/>
            <w:vAlign w:val="center"/>
            <w:hideMark/>
          </w:tcPr>
          <w:p w14:paraId="49E861AE"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Number (Q)</w:t>
            </w:r>
          </w:p>
        </w:tc>
        <w:tc>
          <w:tcPr>
            <w:tcW w:w="0" w:type="auto"/>
            <w:vMerge w:val="restart"/>
            <w:tcBorders>
              <w:top w:val="nil"/>
              <w:left w:val="single" w:sz="4" w:space="0" w:color="auto"/>
              <w:right w:val="single" w:sz="4" w:space="0" w:color="auto"/>
            </w:tcBorders>
            <w:noWrap/>
            <w:vAlign w:val="center"/>
            <w:hideMark/>
          </w:tcPr>
          <w:p w14:paraId="72F822A1"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Frequency</w:t>
            </w:r>
          </w:p>
        </w:tc>
        <w:tc>
          <w:tcPr>
            <w:tcW w:w="0" w:type="auto"/>
            <w:vMerge w:val="restart"/>
            <w:tcBorders>
              <w:top w:val="nil"/>
              <w:left w:val="single" w:sz="4" w:space="0" w:color="auto"/>
              <w:right w:val="nil"/>
            </w:tcBorders>
            <w:noWrap/>
            <w:vAlign w:val="center"/>
            <w:hideMark/>
          </w:tcPr>
          <w:p w14:paraId="34557333"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w:t>
            </w:r>
          </w:p>
        </w:tc>
        <w:tc>
          <w:tcPr>
            <w:tcW w:w="0" w:type="auto"/>
            <w:vMerge w:val="restart"/>
            <w:tcBorders>
              <w:top w:val="single" w:sz="8" w:space="0" w:color="auto"/>
              <w:left w:val="single" w:sz="4" w:space="0" w:color="auto"/>
              <w:right w:val="nil"/>
            </w:tcBorders>
            <w:noWrap/>
            <w:vAlign w:val="center"/>
            <w:hideMark/>
          </w:tcPr>
          <w:p w14:paraId="4D3136FB"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Explanation</w:t>
            </w:r>
          </w:p>
        </w:tc>
        <w:tc>
          <w:tcPr>
            <w:tcW w:w="0" w:type="auto"/>
            <w:tcBorders>
              <w:top w:val="nil"/>
              <w:left w:val="nil"/>
              <w:bottom w:val="nil"/>
              <w:right w:val="nil"/>
            </w:tcBorders>
            <w:shd w:val="clear" w:color="auto" w:fill="969696"/>
            <w:noWrap/>
            <w:vAlign w:val="center"/>
            <w:hideMark/>
          </w:tcPr>
          <w:p w14:paraId="741711A6" w14:textId="77777777" w:rsidR="00F80CE1" w:rsidRPr="0095112F" w:rsidRDefault="00F80CE1">
            <w:pPr>
              <w:spacing w:after="0"/>
              <w:jc w:val="center"/>
              <w:rPr>
                <w:rFonts w:ascii="Calibri" w:eastAsia="Times New Roman" w:hAnsi="Calibri" w:cs="Calibri"/>
                <w:noProof/>
                <w:color w:val="000000"/>
                <w:szCs w:val="20"/>
                <w:lang w:val="en-IE" w:eastAsia="en-IE"/>
              </w:rPr>
            </w:pPr>
          </w:p>
        </w:tc>
        <w:tc>
          <w:tcPr>
            <w:tcW w:w="0" w:type="auto"/>
            <w:vMerge w:val="restart"/>
            <w:tcBorders>
              <w:top w:val="nil"/>
              <w:left w:val="single" w:sz="4" w:space="0" w:color="auto"/>
              <w:right w:val="single" w:sz="4" w:space="0" w:color="auto"/>
            </w:tcBorders>
            <w:vAlign w:val="center"/>
            <w:hideMark/>
          </w:tcPr>
          <w:p w14:paraId="340CFEAC"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Hourly rate</w:t>
            </w:r>
            <w:r w:rsidRPr="0095112F">
              <w:rPr>
                <w:rFonts w:ascii="Arial" w:eastAsia="Times New Roman" w:hAnsi="Arial" w:cs="Arial"/>
                <w:noProof/>
                <w:szCs w:val="20"/>
                <w:lang w:val="en-IE" w:eastAsia="en-IE"/>
              </w:rPr>
              <w:br/>
              <w:t>(euro)</w:t>
            </w:r>
          </w:p>
        </w:tc>
        <w:tc>
          <w:tcPr>
            <w:tcW w:w="0" w:type="auto"/>
            <w:vMerge w:val="restart"/>
            <w:tcBorders>
              <w:top w:val="nil"/>
              <w:left w:val="single" w:sz="4" w:space="0" w:color="auto"/>
              <w:right w:val="single" w:sz="4" w:space="0" w:color="auto"/>
            </w:tcBorders>
            <w:vAlign w:val="center"/>
            <w:hideMark/>
          </w:tcPr>
          <w:p w14:paraId="7192DF94"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xml:space="preserve">Time spent </w:t>
            </w:r>
            <w:r w:rsidRPr="0095112F">
              <w:rPr>
                <w:rFonts w:ascii="Arial" w:eastAsia="Times New Roman" w:hAnsi="Arial" w:cs="Arial"/>
                <w:noProof/>
                <w:szCs w:val="20"/>
                <w:lang w:val="en-IE" w:eastAsia="en-IE"/>
              </w:rPr>
              <w:br/>
              <w:t>(hours)</w:t>
            </w:r>
          </w:p>
        </w:tc>
        <w:tc>
          <w:tcPr>
            <w:tcW w:w="0" w:type="auto"/>
            <w:vMerge w:val="restart"/>
            <w:tcBorders>
              <w:top w:val="nil"/>
              <w:left w:val="single" w:sz="4" w:space="0" w:color="auto"/>
              <w:right w:val="nil"/>
            </w:tcBorders>
            <w:vAlign w:val="center"/>
            <w:hideMark/>
          </w:tcPr>
          <w:p w14:paraId="2A981B77"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Notary and professional adviser costs (euro)</w:t>
            </w:r>
          </w:p>
        </w:tc>
        <w:tc>
          <w:tcPr>
            <w:tcW w:w="0" w:type="auto"/>
            <w:vMerge w:val="restart"/>
            <w:tcBorders>
              <w:top w:val="single" w:sz="8" w:space="0" w:color="auto"/>
              <w:left w:val="single" w:sz="4" w:space="0" w:color="auto"/>
              <w:bottom w:val="single" w:sz="8" w:space="0" w:color="000000" w:themeColor="text1"/>
              <w:right w:val="nil"/>
            </w:tcBorders>
            <w:vAlign w:val="center"/>
            <w:hideMark/>
          </w:tcPr>
          <w:p w14:paraId="286270E2"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Explanation</w:t>
            </w:r>
          </w:p>
        </w:tc>
        <w:tc>
          <w:tcPr>
            <w:tcW w:w="0" w:type="auto"/>
            <w:tcBorders>
              <w:top w:val="nil"/>
              <w:left w:val="nil"/>
              <w:bottom w:val="nil"/>
              <w:right w:val="nil"/>
            </w:tcBorders>
            <w:shd w:val="clear" w:color="auto" w:fill="969696"/>
            <w:noWrap/>
            <w:vAlign w:val="center"/>
            <w:hideMark/>
          </w:tcPr>
          <w:p w14:paraId="639160F8" w14:textId="77777777" w:rsidR="00F80CE1" w:rsidRPr="0095112F" w:rsidRDefault="00F80CE1">
            <w:pPr>
              <w:spacing w:after="0"/>
              <w:jc w:val="center"/>
              <w:rPr>
                <w:rFonts w:ascii="Arial" w:eastAsia="Times New Roman" w:hAnsi="Arial" w:cs="Arial"/>
                <w:noProof/>
                <w:szCs w:val="20"/>
                <w:lang w:val="en-IE" w:eastAsia="en-IE"/>
              </w:rPr>
            </w:pPr>
          </w:p>
        </w:tc>
        <w:tc>
          <w:tcPr>
            <w:tcW w:w="0" w:type="auto"/>
            <w:gridSpan w:val="3"/>
            <w:tcBorders>
              <w:top w:val="single" w:sz="4" w:space="0" w:color="auto"/>
              <w:left w:val="single" w:sz="4" w:space="0" w:color="auto"/>
              <w:bottom w:val="single" w:sz="4" w:space="0" w:color="auto"/>
              <w:right w:val="single" w:sz="4" w:space="0" w:color="auto"/>
            </w:tcBorders>
            <w:noWrap/>
            <w:vAlign w:val="center"/>
            <w:hideMark/>
          </w:tcPr>
          <w:p w14:paraId="5B420640"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Administrative burden reduction</w:t>
            </w:r>
          </w:p>
        </w:tc>
      </w:tr>
      <w:tr w:rsidR="00401FEA" w:rsidRPr="0095112F" w14:paraId="67B4C113" w14:textId="77777777">
        <w:trPr>
          <w:trHeight w:val="208"/>
        </w:trPr>
        <w:tc>
          <w:tcPr>
            <w:tcW w:w="0" w:type="auto"/>
            <w:gridSpan w:val="2"/>
            <w:vMerge/>
            <w:tcBorders>
              <w:left w:val="single" w:sz="8" w:space="0" w:color="auto"/>
              <w:bottom w:val="single" w:sz="8" w:space="0" w:color="auto"/>
              <w:right w:val="nil"/>
            </w:tcBorders>
            <w:noWrap/>
            <w:vAlign w:val="center"/>
            <w:hideMark/>
          </w:tcPr>
          <w:p w14:paraId="26226874" w14:textId="77777777" w:rsidR="00F80CE1" w:rsidRPr="0095112F" w:rsidRDefault="00F80CE1">
            <w:pPr>
              <w:spacing w:after="0"/>
              <w:jc w:val="center"/>
              <w:rPr>
                <w:rFonts w:ascii="Arial" w:eastAsia="Times New Roman" w:hAnsi="Arial" w:cs="Arial"/>
                <w:noProof/>
                <w:szCs w:val="20"/>
                <w:lang w:val="en-IE" w:eastAsia="en-IE"/>
              </w:rPr>
            </w:pPr>
          </w:p>
        </w:tc>
        <w:tc>
          <w:tcPr>
            <w:tcW w:w="0" w:type="auto"/>
            <w:vMerge/>
            <w:tcBorders>
              <w:left w:val="nil"/>
              <w:bottom w:val="single" w:sz="8" w:space="0" w:color="000000" w:themeColor="text1"/>
              <w:right w:val="nil"/>
            </w:tcBorders>
            <w:vAlign w:val="center"/>
            <w:hideMark/>
          </w:tcPr>
          <w:p w14:paraId="110DE423" w14:textId="77777777" w:rsidR="00F80CE1" w:rsidRPr="0095112F" w:rsidRDefault="00F80CE1">
            <w:pPr>
              <w:spacing w:after="0"/>
              <w:rPr>
                <w:rFonts w:ascii="Arial" w:eastAsia="Times New Roman" w:hAnsi="Arial" w:cs="Arial"/>
                <w:noProof/>
                <w:szCs w:val="20"/>
                <w:lang w:val="en-IE" w:eastAsia="en-IE"/>
              </w:rPr>
            </w:pPr>
          </w:p>
        </w:tc>
        <w:tc>
          <w:tcPr>
            <w:tcW w:w="0" w:type="auto"/>
            <w:tcBorders>
              <w:top w:val="nil"/>
              <w:left w:val="nil"/>
              <w:bottom w:val="nil"/>
              <w:right w:val="nil"/>
            </w:tcBorders>
            <w:shd w:val="clear" w:color="auto" w:fill="969696"/>
            <w:vAlign w:val="center"/>
            <w:hideMark/>
          </w:tcPr>
          <w:p w14:paraId="5CF5DCD1" w14:textId="77777777" w:rsidR="00F80CE1" w:rsidRPr="0095112F" w:rsidRDefault="00F80CE1">
            <w:pPr>
              <w:spacing w:after="0"/>
              <w:jc w:val="center"/>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vMerge/>
            <w:tcBorders>
              <w:left w:val="single" w:sz="4" w:space="0" w:color="auto"/>
              <w:bottom w:val="single" w:sz="8" w:space="0" w:color="000000" w:themeColor="text1"/>
              <w:right w:val="single" w:sz="4" w:space="0" w:color="auto"/>
            </w:tcBorders>
            <w:vAlign w:val="center"/>
            <w:hideMark/>
          </w:tcPr>
          <w:p w14:paraId="5F25306A" w14:textId="77777777" w:rsidR="00F80CE1" w:rsidRPr="0095112F" w:rsidRDefault="00F80CE1">
            <w:pPr>
              <w:spacing w:after="0"/>
              <w:rPr>
                <w:rFonts w:ascii="Arial" w:eastAsia="Times New Roman" w:hAnsi="Arial" w:cs="Arial"/>
                <w:noProof/>
                <w:szCs w:val="20"/>
                <w:lang w:val="en-IE" w:eastAsia="en-IE"/>
              </w:rPr>
            </w:pPr>
          </w:p>
        </w:tc>
        <w:tc>
          <w:tcPr>
            <w:tcW w:w="0" w:type="auto"/>
            <w:vMerge/>
            <w:tcBorders>
              <w:left w:val="single" w:sz="4" w:space="0" w:color="auto"/>
              <w:bottom w:val="single" w:sz="8" w:space="0" w:color="000000" w:themeColor="text1"/>
              <w:right w:val="single" w:sz="4" w:space="0" w:color="auto"/>
            </w:tcBorders>
            <w:vAlign w:val="center"/>
            <w:hideMark/>
          </w:tcPr>
          <w:p w14:paraId="30BF4154" w14:textId="77777777" w:rsidR="00F80CE1" w:rsidRPr="0095112F" w:rsidRDefault="00F80CE1">
            <w:pPr>
              <w:spacing w:after="0"/>
              <w:rPr>
                <w:rFonts w:ascii="Arial" w:eastAsia="Times New Roman" w:hAnsi="Arial" w:cs="Arial"/>
                <w:noProof/>
                <w:szCs w:val="20"/>
                <w:lang w:val="en-IE" w:eastAsia="en-IE"/>
              </w:rPr>
            </w:pPr>
          </w:p>
        </w:tc>
        <w:tc>
          <w:tcPr>
            <w:tcW w:w="0" w:type="auto"/>
            <w:vMerge/>
            <w:tcBorders>
              <w:left w:val="single" w:sz="4" w:space="0" w:color="auto"/>
              <w:bottom w:val="single" w:sz="8" w:space="0" w:color="000000" w:themeColor="text1"/>
              <w:right w:val="nil"/>
            </w:tcBorders>
            <w:vAlign w:val="center"/>
            <w:hideMark/>
          </w:tcPr>
          <w:p w14:paraId="3439FFCB" w14:textId="77777777" w:rsidR="00F80CE1" w:rsidRPr="0095112F" w:rsidRDefault="00F80CE1">
            <w:pPr>
              <w:spacing w:after="0"/>
              <w:rPr>
                <w:rFonts w:ascii="Arial" w:eastAsia="Times New Roman" w:hAnsi="Arial" w:cs="Arial"/>
                <w:noProof/>
                <w:szCs w:val="20"/>
                <w:lang w:val="en-IE" w:eastAsia="en-IE"/>
              </w:rPr>
            </w:pPr>
          </w:p>
        </w:tc>
        <w:tc>
          <w:tcPr>
            <w:tcW w:w="0" w:type="auto"/>
            <w:vMerge/>
            <w:tcBorders>
              <w:left w:val="single" w:sz="4" w:space="0" w:color="auto"/>
              <w:bottom w:val="single" w:sz="8" w:space="0" w:color="000000" w:themeColor="text1"/>
              <w:right w:val="nil"/>
            </w:tcBorders>
            <w:vAlign w:val="center"/>
            <w:hideMark/>
          </w:tcPr>
          <w:p w14:paraId="3016E524" w14:textId="77777777" w:rsidR="00F80CE1" w:rsidRPr="0095112F" w:rsidRDefault="00F80CE1">
            <w:pPr>
              <w:spacing w:after="0"/>
              <w:rPr>
                <w:rFonts w:ascii="Arial" w:eastAsia="Times New Roman" w:hAnsi="Arial" w:cs="Arial"/>
                <w:noProof/>
                <w:szCs w:val="20"/>
                <w:lang w:val="en-IE" w:eastAsia="en-IE"/>
              </w:rPr>
            </w:pPr>
          </w:p>
        </w:tc>
        <w:tc>
          <w:tcPr>
            <w:tcW w:w="0" w:type="auto"/>
            <w:tcBorders>
              <w:top w:val="nil"/>
              <w:left w:val="nil"/>
              <w:bottom w:val="nil"/>
              <w:right w:val="nil"/>
            </w:tcBorders>
            <w:shd w:val="clear" w:color="auto" w:fill="969696"/>
            <w:vAlign w:val="center"/>
            <w:hideMark/>
          </w:tcPr>
          <w:p w14:paraId="79615A1C"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vMerge/>
            <w:tcBorders>
              <w:left w:val="single" w:sz="4" w:space="0" w:color="auto"/>
              <w:bottom w:val="single" w:sz="8" w:space="0" w:color="000000" w:themeColor="text1"/>
              <w:right w:val="single" w:sz="4" w:space="0" w:color="auto"/>
            </w:tcBorders>
            <w:vAlign w:val="center"/>
            <w:hideMark/>
          </w:tcPr>
          <w:p w14:paraId="26CAE1AE" w14:textId="77777777" w:rsidR="00F80CE1" w:rsidRPr="0095112F" w:rsidRDefault="00F80CE1">
            <w:pPr>
              <w:spacing w:after="0"/>
              <w:rPr>
                <w:rFonts w:ascii="Arial" w:eastAsia="Times New Roman" w:hAnsi="Arial" w:cs="Arial"/>
                <w:noProof/>
                <w:szCs w:val="20"/>
                <w:lang w:val="en-IE" w:eastAsia="en-IE"/>
              </w:rPr>
            </w:pPr>
          </w:p>
        </w:tc>
        <w:tc>
          <w:tcPr>
            <w:tcW w:w="0" w:type="auto"/>
            <w:vMerge/>
            <w:tcBorders>
              <w:left w:val="single" w:sz="4" w:space="0" w:color="auto"/>
              <w:bottom w:val="single" w:sz="8" w:space="0" w:color="000000" w:themeColor="text1"/>
              <w:right w:val="single" w:sz="4" w:space="0" w:color="auto"/>
            </w:tcBorders>
            <w:vAlign w:val="center"/>
            <w:hideMark/>
          </w:tcPr>
          <w:p w14:paraId="50408D47" w14:textId="77777777" w:rsidR="00F80CE1" w:rsidRPr="0095112F" w:rsidRDefault="00F80CE1">
            <w:pPr>
              <w:spacing w:after="0"/>
              <w:rPr>
                <w:rFonts w:ascii="Arial" w:eastAsia="Times New Roman" w:hAnsi="Arial" w:cs="Arial"/>
                <w:noProof/>
                <w:szCs w:val="20"/>
                <w:lang w:val="en-IE" w:eastAsia="en-IE"/>
              </w:rPr>
            </w:pPr>
          </w:p>
        </w:tc>
        <w:tc>
          <w:tcPr>
            <w:tcW w:w="0" w:type="auto"/>
            <w:vMerge/>
            <w:tcBorders>
              <w:left w:val="single" w:sz="4" w:space="0" w:color="auto"/>
              <w:bottom w:val="single" w:sz="8" w:space="0" w:color="000000" w:themeColor="text1"/>
              <w:right w:val="nil"/>
            </w:tcBorders>
            <w:vAlign w:val="center"/>
            <w:hideMark/>
          </w:tcPr>
          <w:p w14:paraId="5778B80E" w14:textId="77777777" w:rsidR="00F80CE1" w:rsidRPr="0095112F" w:rsidRDefault="00F80CE1">
            <w:pPr>
              <w:spacing w:after="0"/>
              <w:rPr>
                <w:rFonts w:ascii="Arial" w:eastAsia="Times New Roman" w:hAnsi="Arial" w:cs="Arial"/>
                <w:noProof/>
                <w:szCs w:val="20"/>
                <w:lang w:val="en-IE" w:eastAsia="en-IE"/>
              </w:rPr>
            </w:pPr>
          </w:p>
        </w:tc>
        <w:tc>
          <w:tcPr>
            <w:tcW w:w="0" w:type="auto"/>
            <w:vMerge/>
            <w:vAlign w:val="center"/>
            <w:hideMark/>
          </w:tcPr>
          <w:p w14:paraId="4D39D411" w14:textId="77777777" w:rsidR="00F80CE1" w:rsidRPr="0095112F" w:rsidRDefault="00F80CE1">
            <w:pPr>
              <w:spacing w:after="0"/>
              <w:rPr>
                <w:rFonts w:ascii="Arial" w:eastAsia="Times New Roman" w:hAnsi="Arial" w:cs="Arial"/>
                <w:noProof/>
                <w:szCs w:val="20"/>
                <w:lang w:val="en-IE" w:eastAsia="en-IE"/>
              </w:rPr>
            </w:pPr>
          </w:p>
        </w:tc>
        <w:tc>
          <w:tcPr>
            <w:tcW w:w="0" w:type="auto"/>
            <w:tcBorders>
              <w:top w:val="nil"/>
              <w:left w:val="nil"/>
              <w:bottom w:val="nil"/>
              <w:right w:val="nil"/>
            </w:tcBorders>
            <w:shd w:val="clear" w:color="auto" w:fill="969696"/>
            <w:noWrap/>
            <w:vAlign w:val="center"/>
            <w:hideMark/>
          </w:tcPr>
          <w:p w14:paraId="3E8967FE"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single" w:sz="4" w:space="0" w:color="auto"/>
              <w:right w:val="single" w:sz="4" w:space="0" w:color="auto"/>
            </w:tcBorders>
            <w:noWrap/>
            <w:vAlign w:val="center"/>
            <w:hideMark/>
          </w:tcPr>
          <w:p w14:paraId="3867509E"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Cost per company</w:t>
            </w:r>
          </w:p>
        </w:tc>
        <w:tc>
          <w:tcPr>
            <w:tcW w:w="0" w:type="auto"/>
            <w:tcBorders>
              <w:top w:val="nil"/>
              <w:left w:val="nil"/>
              <w:bottom w:val="single" w:sz="4" w:space="0" w:color="auto"/>
              <w:right w:val="single" w:sz="4" w:space="0" w:color="auto"/>
            </w:tcBorders>
            <w:noWrap/>
            <w:vAlign w:val="center"/>
            <w:hideMark/>
          </w:tcPr>
          <w:p w14:paraId="6E8C92F7"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Number of companies</w:t>
            </w:r>
          </w:p>
        </w:tc>
        <w:tc>
          <w:tcPr>
            <w:tcW w:w="0" w:type="auto"/>
            <w:tcBorders>
              <w:top w:val="nil"/>
              <w:left w:val="nil"/>
              <w:bottom w:val="single" w:sz="4" w:space="0" w:color="auto"/>
              <w:right w:val="single" w:sz="4" w:space="0" w:color="auto"/>
            </w:tcBorders>
            <w:noWrap/>
            <w:vAlign w:val="center"/>
            <w:hideMark/>
          </w:tcPr>
          <w:p w14:paraId="21EEF835"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Total benefit</w:t>
            </w:r>
          </w:p>
        </w:tc>
      </w:tr>
      <w:tr w:rsidR="00783610" w:rsidRPr="0095112F" w14:paraId="7AF73205" w14:textId="77777777" w:rsidTr="00FD17A4">
        <w:trPr>
          <w:trHeight w:val="300"/>
        </w:trPr>
        <w:tc>
          <w:tcPr>
            <w:tcW w:w="0" w:type="auto"/>
            <w:tcBorders>
              <w:top w:val="nil"/>
              <w:left w:val="single" w:sz="8" w:space="0" w:color="auto"/>
              <w:bottom w:val="single" w:sz="8" w:space="0" w:color="auto"/>
              <w:right w:val="nil"/>
            </w:tcBorders>
            <w:shd w:val="clear" w:color="auto" w:fill="305496"/>
            <w:noWrap/>
            <w:vAlign w:val="center"/>
            <w:hideMark/>
          </w:tcPr>
          <w:p w14:paraId="1C5FDC1B"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single" w:sz="8" w:space="0" w:color="auto"/>
              <w:right w:val="nil"/>
            </w:tcBorders>
            <w:shd w:val="clear" w:color="auto" w:fill="305496"/>
            <w:noWrap/>
            <w:vAlign w:val="center"/>
            <w:hideMark/>
          </w:tcPr>
          <w:p w14:paraId="248BC85C"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single" w:sz="8" w:space="0" w:color="auto"/>
              <w:right w:val="nil"/>
            </w:tcBorders>
            <w:shd w:val="clear" w:color="auto" w:fill="305496"/>
            <w:noWrap/>
            <w:vAlign w:val="center"/>
            <w:hideMark/>
          </w:tcPr>
          <w:p w14:paraId="21922F04"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nil"/>
              <w:right w:val="nil"/>
            </w:tcBorders>
            <w:shd w:val="clear" w:color="auto" w:fill="969696"/>
            <w:vAlign w:val="center"/>
            <w:hideMark/>
          </w:tcPr>
          <w:p w14:paraId="00226BC6" w14:textId="77777777" w:rsidR="00F80CE1" w:rsidRPr="0095112F" w:rsidRDefault="00F80CE1">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438D2AB3"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19ABEF78"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740E99AB"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6F2A3579"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nil"/>
              <w:right w:val="nil"/>
            </w:tcBorders>
            <w:shd w:val="clear" w:color="auto" w:fill="969696"/>
            <w:noWrap/>
            <w:vAlign w:val="center"/>
            <w:hideMark/>
          </w:tcPr>
          <w:p w14:paraId="415242A4"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single" w:sz="8" w:space="0" w:color="auto"/>
              <w:right w:val="nil"/>
            </w:tcBorders>
            <w:shd w:val="clear" w:color="auto" w:fill="C6E0B4"/>
            <w:noWrap/>
            <w:vAlign w:val="center"/>
            <w:hideMark/>
          </w:tcPr>
          <w:p w14:paraId="0BD365C6"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C6E0B4"/>
            <w:noWrap/>
            <w:vAlign w:val="center"/>
            <w:hideMark/>
          </w:tcPr>
          <w:p w14:paraId="47F40863"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C6E0B4"/>
            <w:vAlign w:val="center"/>
            <w:hideMark/>
          </w:tcPr>
          <w:p w14:paraId="77F2A54A"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single" w:sz="8" w:space="0" w:color="auto"/>
              <w:right w:val="nil"/>
            </w:tcBorders>
            <w:shd w:val="clear" w:color="auto" w:fill="C6E0B4"/>
            <w:vAlign w:val="center"/>
            <w:hideMark/>
          </w:tcPr>
          <w:p w14:paraId="32BBF43B"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shd w:val="clear" w:color="auto" w:fill="969696"/>
            <w:noWrap/>
            <w:vAlign w:val="center"/>
            <w:hideMark/>
          </w:tcPr>
          <w:p w14:paraId="6F954815"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gridSpan w:val="2"/>
            <w:tcBorders>
              <w:top w:val="nil"/>
              <w:left w:val="single" w:sz="8" w:space="0" w:color="auto"/>
              <w:bottom w:val="single" w:sz="8" w:space="0" w:color="auto"/>
              <w:right w:val="nil"/>
            </w:tcBorders>
            <w:shd w:val="clear" w:color="auto" w:fill="DBDBDB"/>
            <w:noWrap/>
            <w:vAlign w:val="center"/>
            <w:hideMark/>
          </w:tcPr>
          <w:p w14:paraId="4CFB46DD" w14:textId="77777777" w:rsidR="00F80CE1" w:rsidRPr="0095112F" w:rsidRDefault="00F80CE1">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c>
          <w:tcPr>
            <w:tcW w:w="0" w:type="auto"/>
            <w:tcBorders>
              <w:top w:val="nil"/>
              <w:left w:val="single" w:sz="8" w:space="0" w:color="auto"/>
              <w:bottom w:val="single" w:sz="8" w:space="0" w:color="auto"/>
              <w:right w:val="single" w:sz="8" w:space="0" w:color="auto"/>
            </w:tcBorders>
            <w:shd w:val="clear" w:color="auto" w:fill="DBDBDB"/>
            <w:noWrap/>
            <w:vAlign w:val="center"/>
            <w:hideMark/>
          </w:tcPr>
          <w:p w14:paraId="5EDA623A" w14:textId="77777777" w:rsidR="00F80CE1" w:rsidRPr="0095112F" w:rsidRDefault="00F80CE1">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401FEA" w:rsidRPr="0095112F" w14:paraId="2489943A" w14:textId="77777777" w:rsidTr="00FD17A4">
        <w:trPr>
          <w:trHeight w:val="300"/>
        </w:trPr>
        <w:tc>
          <w:tcPr>
            <w:tcW w:w="0" w:type="auto"/>
            <w:gridSpan w:val="3"/>
            <w:tcBorders>
              <w:top w:val="single" w:sz="8" w:space="0" w:color="auto"/>
              <w:left w:val="single" w:sz="8" w:space="0" w:color="auto"/>
              <w:bottom w:val="single" w:sz="8" w:space="0" w:color="auto"/>
              <w:right w:val="nil"/>
            </w:tcBorders>
            <w:shd w:val="clear" w:color="auto" w:fill="FFFF00"/>
            <w:noWrap/>
            <w:vAlign w:val="center"/>
            <w:hideMark/>
          </w:tcPr>
          <w:p w14:paraId="5119EFC1" w14:textId="4CA239C7" w:rsidR="00522000" w:rsidRPr="0095112F" w:rsidRDefault="00522000" w:rsidP="00522000">
            <w:pPr>
              <w:spacing w:after="0"/>
              <w:rPr>
                <w:rFonts w:ascii="Arial" w:eastAsia="Times New Roman" w:hAnsi="Arial" w:cs="Arial"/>
                <w:noProof/>
                <w:szCs w:val="20"/>
                <w:lang w:val="en-IE" w:eastAsia="en-IE"/>
              </w:rPr>
            </w:pPr>
            <w:r w:rsidRPr="0095112F">
              <w:rPr>
                <w:rFonts w:ascii="Arial" w:eastAsia="Times New Roman" w:hAnsi="Arial" w:cs="Arial"/>
                <w:b/>
                <w:bCs/>
                <w:noProof/>
                <w:szCs w:val="20"/>
                <w:lang w:val="en-IE" w:eastAsia="en-IE"/>
              </w:rPr>
              <w:t>PO 5a</w:t>
            </w:r>
            <w:r w:rsidRPr="0095112F">
              <w:rPr>
                <w:rFonts w:ascii="Arial" w:eastAsia="Times New Roman" w:hAnsi="Arial" w:cs="Arial"/>
                <w:noProof/>
                <w:szCs w:val="20"/>
                <w:lang w:val="en-IE" w:eastAsia="en-IE"/>
              </w:rPr>
              <w:t> </w:t>
            </w:r>
          </w:p>
        </w:tc>
        <w:tc>
          <w:tcPr>
            <w:tcW w:w="0" w:type="auto"/>
            <w:tcBorders>
              <w:top w:val="nil"/>
              <w:left w:val="nil"/>
              <w:bottom w:val="nil"/>
              <w:right w:val="nil"/>
            </w:tcBorders>
            <w:shd w:val="clear" w:color="auto" w:fill="969696"/>
            <w:vAlign w:val="center"/>
            <w:hideMark/>
          </w:tcPr>
          <w:p w14:paraId="6B0FAF94" w14:textId="77777777" w:rsidR="00522000" w:rsidRPr="0095112F" w:rsidRDefault="00522000">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nil"/>
              <w:left w:val="single" w:sz="4" w:space="0" w:color="auto"/>
              <w:bottom w:val="nil"/>
              <w:right w:val="nil"/>
            </w:tcBorders>
            <w:noWrap/>
            <w:vAlign w:val="center"/>
            <w:hideMark/>
          </w:tcPr>
          <w:p w14:paraId="53CFB341" w14:textId="77777777" w:rsidR="00522000" w:rsidRPr="0095112F" w:rsidRDefault="00522000">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621CB36E" w14:textId="77777777" w:rsidR="00522000" w:rsidRPr="0095112F" w:rsidRDefault="00522000">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021C759B" w14:textId="77777777" w:rsidR="00522000" w:rsidRPr="0095112F" w:rsidRDefault="00522000">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18D86B57" w14:textId="77777777" w:rsidR="00522000" w:rsidRPr="0095112F" w:rsidRDefault="00522000">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nil"/>
            </w:tcBorders>
            <w:shd w:val="clear" w:color="auto" w:fill="969696"/>
            <w:noWrap/>
            <w:vAlign w:val="center"/>
            <w:hideMark/>
          </w:tcPr>
          <w:p w14:paraId="419AACA5" w14:textId="77777777" w:rsidR="00522000" w:rsidRPr="0095112F" w:rsidRDefault="00522000">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nil"/>
              <w:right w:val="nil"/>
            </w:tcBorders>
            <w:noWrap/>
            <w:vAlign w:val="center"/>
            <w:hideMark/>
          </w:tcPr>
          <w:p w14:paraId="65DDFDB9" w14:textId="77777777" w:rsidR="00522000" w:rsidRPr="0095112F" w:rsidRDefault="00522000">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shd w:val="clear" w:color="auto" w:fill="FFFFFF" w:themeFill="background1"/>
            <w:noWrap/>
            <w:vAlign w:val="center"/>
            <w:hideMark/>
          </w:tcPr>
          <w:p w14:paraId="105B7C80" w14:textId="77777777" w:rsidR="00522000" w:rsidRPr="0095112F" w:rsidRDefault="00522000">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20C3E942" w14:textId="77777777" w:rsidR="00522000" w:rsidRPr="0095112F" w:rsidRDefault="00522000">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16D849A4" w14:textId="77777777" w:rsidR="00522000" w:rsidRPr="0095112F" w:rsidRDefault="00522000">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single" w:sz="8" w:space="0" w:color="auto"/>
            </w:tcBorders>
            <w:shd w:val="clear" w:color="auto" w:fill="969696"/>
            <w:noWrap/>
            <w:vAlign w:val="center"/>
            <w:hideMark/>
          </w:tcPr>
          <w:p w14:paraId="028DE90E" w14:textId="77777777" w:rsidR="00522000" w:rsidRPr="0095112F" w:rsidRDefault="00522000">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noWrap/>
            <w:vAlign w:val="center"/>
            <w:hideMark/>
          </w:tcPr>
          <w:p w14:paraId="193274B6" w14:textId="77777777" w:rsidR="00522000" w:rsidRPr="0095112F" w:rsidRDefault="00522000">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nil"/>
            </w:tcBorders>
            <w:noWrap/>
            <w:vAlign w:val="center"/>
            <w:hideMark/>
          </w:tcPr>
          <w:p w14:paraId="3FB42D8E" w14:textId="77777777" w:rsidR="00522000" w:rsidRPr="0095112F" w:rsidRDefault="00522000">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single" w:sz="8" w:space="0" w:color="auto"/>
            </w:tcBorders>
            <w:noWrap/>
            <w:vAlign w:val="center"/>
            <w:hideMark/>
          </w:tcPr>
          <w:p w14:paraId="7E447D58" w14:textId="77777777" w:rsidR="00522000" w:rsidRPr="0095112F" w:rsidRDefault="00522000">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0978D8" w:rsidRPr="0095112F" w14:paraId="7ED517FC" w14:textId="77777777" w:rsidTr="00FD17A4">
        <w:trPr>
          <w:trHeight w:val="1020"/>
        </w:trPr>
        <w:tc>
          <w:tcPr>
            <w:tcW w:w="0" w:type="auto"/>
            <w:gridSpan w:val="3"/>
            <w:tcBorders>
              <w:top w:val="single" w:sz="8" w:space="0" w:color="auto"/>
              <w:left w:val="single" w:sz="8" w:space="0" w:color="auto"/>
              <w:bottom w:val="single" w:sz="8" w:space="0" w:color="000000" w:themeColor="text1"/>
              <w:right w:val="nil"/>
            </w:tcBorders>
            <w:vAlign w:val="center"/>
            <w:hideMark/>
          </w:tcPr>
          <w:p w14:paraId="4D084744"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Possibility for 28th regime companies to set up employee ownership plans (ESOPs) and issue classes of shares with distinct voting rights.</w:t>
            </w:r>
          </w:p>
        </w:tc>
        <w:tc>
          <w:tcPr>
            <w:tcW w:w="0" w:type="auto"/>
            <w:tcBorders>
              <w:top w:val="nil"/>
              <w:left w:val="nil"/>
              <w:bottom w:val="nil"/>
              <w:right w:val="single" w:sz="4" w:space="0" w:color="auto"/>
            </w:tcBorders>
            <w:shd w:val="clear" w:color="auto" w:fill="969696"/>
            <w:vAlign w:val="center"/>
            <w:hideMark/>
          </w:tcPr>
          <w:p w14:paraId="51A2DF82" w14:textId="77777777" w:rsidR="00F80CE1" w:rsidRPr="0095112F" w:rsidRDefault="00F80CE1">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706555F7"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308,843</w:t>
            </w:r>
          </w:p>
        </w:tc>
        <w:tc>
          <w:tcPr>
            <w:tcW w:w="0" w:type="auto"/>
            <w:tcBorders>
              <w:top w:val="single" w:sz="4" w:space="0" w:color="auto"/>
              <w:left w:val="single" w:sz="4" w:space="0" w:color="auto"/>
              <w:bottom w:val="single" w:sz="4" w:space="0" w:color="auto"/>
              <w:right w:val="single" w:sz="4" w:space="0" w:color="auto"/>
            </w:tcBorders>
            <w:vAlign w:val="center"/>
            <w:hideMark/>
          </w:tcPr>
          <w:p w14:paraId="7A9FD977"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166AA6E" w14:textId="77777777" w:rsidR="00F80CE1" w:rsidRPr="0095112F" w:rsidRDefault="00F80CE1">
            <w:pPr>
              <w:spacing w:after="0"/>
              <w:jc w:val="right"/>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A53612"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shd w:val="clear" w:color="auto" w:fill="969696"/>
            <w:noWrap/>
            <w:vAlign w:val="center"/>
            <w:hideMark/>
          </w:tcPr>
          <w:p w14:paraId="6F1830E5"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18B1AA" w14:textId="680F9CE0"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646C98"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A6F901"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140.00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FAB89E2"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Current costs 2800 EUR and time spent 9 hours for setting up the ESOP. No time spent reduction expected. 5% reduction of costs.</w:t>
            </w:r>
          </w:p>
        </w:tc>
        <w:tc>
          <w:tcPr>
            <w:tcW w:w="0" w:type="auto"/>
            <w:tcBorders>
              <w:top w:val="nil"/>
              <w:left w:val="nil"/>
              <w:bottom w:val="nil"/>
              <w:right w:val="nil"/>
            </w:tcBorders>
            <w:shd w:val="clear" w:color="auto" w:fill="969696"/>
            <w:noWrap/>
            <w:vAlign w:val="center"/>
            <w:hideMark/>
          </w:tcPr>
          <w:p w14:paraId="02D579F3"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52B40065"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140.00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E800779"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19,766</w:t>
            </w:r>
          </w:p>
        </w:tc>
        <w:tc>
          <w:tcPr>
            <w:tcW w:w="0" w:type="auto"/>
            <w:tcBorders>
              <w:top w:val="single" w:sz="4" w:space="0" w:color="auto"/>
              <w:left w:val="single" w:sz="4" w:space="0" w:color="auto"/>
              <w:bottom w:val="single" w:sz="4" w:space="0" w:color="auto"/>
              <w:right w:val="single" w:sz="4" w:space="0" w:color="auto"/>
            </w:tcBorders>
            <w:vAlign w:val="center"/>
            <w:hideMark/>
          </w:tcPr>
          <w:p w14:paraId="70AB8332" w14:textId="0F16196A" w:rsidR="00F80CE1" w:rsidRPr="0095112F" w:rsidRDefault="527593D9" w:rsidP="6F00936E">
            <w:pPr>
              <w:spacing w:after="0"/>
              <w:jc w:val="center"/>
              <w:rPr>
                <w:rFonts w:ascii="Calibri" w:eastAsia="Times New Roman" w:hAnsi="Calibri" w:cs="Calibri"/>
                <w:noProof/>
                <w:color w:val="000000"/>
                <w:lang w:val="en-IE" w:eastAsia="en-IE"/>
              </w:rPr>
            </w:pPr>
            <w:r w:rsidRPr="6F00936E">
              <w:rPr>
                <w:rFonts w:ascii="Calibri" w:eastAsia="Times New Roman" w:hAnsi="Calibri" w:cs="Calibri"/>
                <w:noProof/>
                <w:lang w:val="en-IE" w:eastAsia="en-IE"/>
              </w:rPr>
              <w:t xml:space="preserve"> </w:t>
            </w:r>
            <w:r w:rsidR="5BD1B1F7" w:rsidRPr="6F00936E">
              <w:rPr>
                <w:rFonts w:ascii="Calibri" w:eastAsia="Times New Roman" w:hAnsi="Calibri" w:cs="Calibri"/>
                <w:noProof/>
                <w:lang w:val="en-IE" w:eastAsia="en-IE"/>
              </w:rPr>
              <w:t>EUR</w:t>
            </w:r>
            <w:r w:rsidRPr="6F00936E">
              <w:rPr>
                <w:rFonts w:ascii="Calibri" w:eastAsia="Times New Roman" w:hAnsi="Calibri" w:cs="Calibri"/>
                <w:noProof/>
                <w:lang w:val="en-IE" w:eastAsia="en-IE"/>
              </w:rPr>
              <w:t xml:space="preserve">           2,767,233 </w:t>
            </w:r>
          </w:p>
        </w:tc>
      </w:tr>
      <w:tr w:rsidR="00783610" w:rsidRPr="0095112F" w14:paraId="73D645FB" w14:textId="77777777" w:rsidTr="00FD17A4">
        <w:trPr>
          <w:trHeight w:val="300"/>
        </w:trPr>
        <w:tc>
          <w:tcPr>
            <w:tcW w:w="0" w:type="auto"/>
            <w:tcBorders>
              <w:top w:val="nil"/>
              <w:left w:val="single" w:sz="8" w:space="0" w:color="auto"/>
              <w:bottom w:val="single" w:sz="8" w:space="0" w:color="auto"/>
              <w:right w:val="nil"/>
            </w:tcBorders>
            <w:shd w:val="clear" w:color="auto" w:fill="305496"/>
            <w:noWrap/>
            <w:vAlign w:val="center"/>
            <w:hideMark/>
          </w:tcPr>
          <w:p w14:paraId="59022794"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single" w:sz="8" w:space="0" w:color="auto"/>
              <w:right w:val="nil"/>
            </w:tcBorders>
            <w:shd w:val="clear" w:color="auto" w:fill="305496"/>
            <w:noWrap/>
            <w:vAlign w:val="center"/>
            <w:hideMark/>
          </w:tcPr>
          <w:p w14:paraId="42B52DCF"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single" w:sz="8" w:space="0" w:color="auto"/>
              <w:right w:val="nil"/>
            </w:tcBorders>
            <w:shd w:val="clear" w:color="auto" w:fill="305496"/>
            <w:noWrap/>
            <w:vAlign w:val="center"/>
            <w:hideMark/>
          </w:tcPr>
          <w:p w14:paraId="3BAB3E42"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nil"/>
              <w:right w:val="nil"/>
            </w:tcBorders>
            <w:shd w:val="clear" w:color="auto" w:fill="969696"/>
            <w:vAlign w:val="center"/>
            <w:hideMark/>
          </w:tcPr>
          <w:p w14:paraId="33803E92" w14:textId="77777777" w:rsidR="00F80CE1" w:rsidRPr="0095112F" w:rsidRDefault="00F80CE1">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59ED43A6"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7E49249F"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570EE87D"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71F9DFA5"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nil"/>
              <w:right w:val="nil"/>
            </w:tcBorders>
            <w:shd w:val="clear" w:color="auto" w:fill="969696"/>
            <w:noWrap/>
            <w:vAlign w:val="center"/>
            <w:hideMark/>
          </w:tcPr>
          <w:p w14:paraId="1A05ADC9"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single" w:sz="8" w:space="0" w:color="auto"/>
              <w:right w:val="nil"/>
            </w:tcBorders>
            <w:shd w:val="clear" w:color="auto" w:fill="C6E0B4"/>
            <w:noWrap/>
            <w:vAlign w:val="center"/>
            <w:hideMark/>
          </w:tcPr>
          <w:p w14:paraId="66E8C0C6"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C6E0B4"/>
            <w:noWrap/>
            <w:vAlign w:val="center"/>
            <w:hideMark/>
          </w:tcPr>
          <w:p w14:paraId="0A385415"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C6E0B4"/>
            <w:vAlign w:val="center"/>
            <w:hideMark/>
          </w:tcPr>
          <w:p w14:paraId="2DFE6F8A"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single" w:sz="8" w:space="0" w:color="auto"/>
              <w:right w:val="nil"/>
            </w:tcBorders>
            <w:shd w:val="clear" w:color="auto" w:fill="C6E0B4"/>
            <w:vAlign w:val="center"/>
            <w:hideMark/>
          </w:tcPr>
          <w:p w14:paraId="1509C6AB"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shd w:val="clear" w:color="auto" w:fill="969696"/>
            <w:noWrap/>
            <w:vAlign w:val="center"/>
            <w:hideMark/>
          </w:tcPr>
          <w:p w14:paraId="3317572D"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gridSpan w:val="2"/>
            <w:tcBorders>
              <w:top w:val="nil"/>
              <w:left w:val="single" w:sz="8" w:space="0" w:color="auto"/>
              <w:bottom w:val="single" w:sz="8" w:space="0" w:color="auto"/>
              <w:right w:val="nil"/>
            </w:tcBorders>
            <w:shd w:val="clear" w:color="auto" w:fill="DBDBDB"/>
            <w:noWrap/>
            <w:vAlign w:val="center"/>
            <w:hideMark/>
          </w:tcPr>
          <w:p w14:paraId="21783703" w14:textId="77777777" w:rsidR="00F80CE1" w:rsidRPr="0095112F" w:rsidRDefault="00F80CE1">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PO5a</w:t>
            </w:r>
          </w:p>
        </w:tc>
        <w:tc>
          <w:tcPr>
            <w:tcW w:w="0" w:type="auto"/>
            <w:tcBorders>
              <w:top w:val="nil"/>
              <w:left w:val="single" w:sz="8" w:space="0" w:color="auto"/>
              <w:bottom w:val="single" w:sz="8" w:space="0" w:color="auto"/>
              <w:right w:val="single" w:sz="8" w:space="0" w:color="auto"/>
            </w:tcBorders>
            <w:shd w:val="clear" w:color="auto" w:fill="DBDBDB"/>
            <w:noWrap/>
            <w:vAlign w:val="center"/>
            <w:hideMark/>
          </w:tcPr>
          <w:p w14:paraId="1BE32384" w14:textId="6F11C3D2" w:rsidR="00F80CE1" w:rsidRPr="0095112F" w:rsidRDefault="527593D9"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5BD1B1F7"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2,767,233 </w:t>
            </w:r>
          </w:p>
        </w:tc>
      </w:tr>
      <w:tr w:rsidR="00401FEA" w:rsidRPr="0095112F" w14:paraId="589A78A0" w14:textId="77777777" w:rsidTr="00FD17A4">
        <w:trPr>
          <w:trHeight w:val="300"/>
        </w:trPr>
        <w:tc>
          <w:tcPr>
            <w:tcW w:w="0" w:type="auto"/>
            <w:gridSpan w:val="3"/>
            <w:tcBorders>
              <w:top w:val="single" w:sz="8" w:space="0" w:color="auto"/>
              <w:left w:val="single" w:sz="8" w:space="0" w:color="auto"/>
              <w:bottom w:val="single" w:sz="8" w:space="0" w:color="auto"/>
              <w:right w:val="nil"/>
            </w:tcBorders>
            <w:shd w:val="clear" w:color="auto" w:fill="FFFF00"/>
            <w:noWrap/>
            <w:vAlign w:val="center"/>
            <w:hideMark/>
          </w:tcPr>
          <w:p w14:paraId="201950C8" w14:textId="75058D51" w:rsidR="00BC5F32" w:rsidRPr="0095112F" w:rsidRDefault="00BC5F32" w:rsidP="00BC5F32">
            <w:pPr>
              <w:spacing w:after="0"/>
              <w:rPr>
                <w:rFonts w:ascii="Arial" w:eastAsia="Times New Roman" w:hAnsi="Arial" w:cs="Arial"/>
                <w:noProof/>
                <w:szCs w:val="20"/>
                <w:lang w:val="en-IE" w:eastAsia="en-IE"/>
              </w:rPr>
            </w:pPr>
            <w:r w:rsidRPr="0095112F">
              <w:rPr>
                <w:rFonts w:ascii="Arial" w:eastAsia="Times New Roman" w:hAnsi="Arial" w:cs="Arial"/>
                <w:b/>
                <w:bCs/>
                <w:noProof/>
                <w:szCs w:val="20"/>
                <w:lang w:val="en-IE" w:eastAsia="en-IE"/>
              </w:rPr>
              <w:t>PO 5b</w:t>
            </w:r>
            <w:r w:rsidRPr="0095112F">
              <w:rPr>
                <w:rFonts w:ascii="Arial" w:eastAsia="Times New Roman" w:hAnsi="Arial" w:cs="Arial"/>
                <w:noProof/>
                <w:szCs w:val="20"/>
                <w:lang w:val="en-IE" w:eastAsia="en-IE"/>
              </w:rPr>
              <w:t> </w:t>
            </w:r>
          </w:p>
        </w:tc>
        <w:tc>
          <w:tcPr>
            <w:tcW w:w="0" w:type="auto"/>
            <w:tcBorders>
              <w:top w:val="nil"/>
              <w:left w:val="nil"/>
              <w:bottom w:val="nil"/>
              <w:right w:val="nil"/>
            </w:tcBorders>
            <w:shd w:val="clear" w:color="auto" w:fill="969696"/>
            <w:vAlign w:val="center"/>
            <w:hideMark/>
          </w:tcPr>
          <w:p w14:paraId="063CCC9F" w14:textId="77777777" w:rsidR="00BC5F32" w:rsidRPr="0095112F" w:rsidRDefault="00BC5F32">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nil"/>
              <w:left w:val="single" w:sz="4" w:space="0" w:color="auto"/>
              <w:bottom w:val="nil"/>
              <w:right w:val="nil"/>
            </w:tcBorders>
            <w:noWrap/>
            <w:vAlign w:val="center"/>
            <w:hideMark/>
          </w:tcPr>
          <w:p w14:paraId="65829992" w14:textId="77777777" w:rsidR="00BC5F32" w:rsidRPr="0095112F" w:rsidRDefault="00BC5F32">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5E4A5D83" w14:textId="77777777" w:rsidR="00BC5F32" w:rsidRPr="0095112F" w:rsidRDefault="00BC5F32">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65F264DF" w14:textId="77777777" w:rsidR="00BC5F32" w:rsidRPr="0095112F" w:rsidRDefault="00BC5F32">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1F14A9A3" w14:textId="77777777" w:rsidR="00BC5F32" w:rsidRPr="0095112F" w:rsidRDefault="00BC5F32">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nil"/>
            </w:tcBorders>
            <w:shd w:val="clear" w:color="auto" w:fill="969696"/>
            <w:noWrap/>
            <w:vAlign w:val="center"/>
            <w:hideMark/>
          </w:tcPr>
          <w:p w14:paraId="76BC97E5" w14:textId="77777777" w:rsidR="00BC5F32" w:rsidRPr="0095112F" w:rsidRDefault="00BC5F32">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nil"/>
              <w:right w:val="nil"/>
            </w:tcBorders>
            <w:noWrap/>
            <w:vAlign w:val="center"/>
            <w:hideMark/>
          </w:tcPr>
          <w:p w14:paraId="3C1C298C" w14:textId="77777777" w:rsidR="00BC5F32" w:rsidRPr="0095112F" w:rsidRDefault="00BC5F32">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shd w:val="clear" w:color="auto" w:fill="FFFFFF" w:themeFill="background1"/>
            <w:noWrap/>
            <w:vAlign w:val="center"/>
            <w:hideMark/>
          </w:tcPr>
          <w:p w14:paraId="1F72B55B" w14:textId="77777777" w:rsidR="00BC5F32" w:rsidRPr="0095112F" w:rsidRDefault="00BC5F32">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0EA42134" w14:textId="77777777" w:rsidR="00BC5F32" w:rsidRPr="0095112F" w:rsidRDefault="00BC5F32">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499A83C2" w14:textId="77777777" w:rsidR="00BC5F32" w:rsidRPr="0095112F" w:rsidRDefault="00BC5F32">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single" w:sz="8" w:space="0" w:color="auto"/>
            </w:tcBorders>
            <w:shd w:val="clear" w:color="auto" w:fill="969696"/>
            <w:noWrap/>
            <w:vAlign w:val="center"/>
            <w:hideMark/>
          </w:tcPr>
          <w:p w14:paraId="47BD8856" w14:textId="77777777" w:rsidR="00BC5F32" w:rsidRPr="0095112F" w:rsidRDefault="00BC5F32">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noWrap/>
            <w:vAlign w:val="center"/>
            <w:hideMark/>
          </w:tcPr>
          <w:p w14:paraId="4D24236F" w14:textId="77777777" w:rsidR="00BC5F32" w:rsidRPr="0095112F" w:rsidRDefault="00BC5F32">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nil"/>
            </w:tcBorders>
            <w:noWrap/>
            <w:vAlign w:val="center"/>
            <w:hideMark/>
          </w:tcPr>
          <w:p w14:paraId="7E702B24" w14:textId="77777777" w:rsidR="00BC5F32" w:rsidRPr="0095112F" w:rsidRDefault="00BC5F32">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single" w:sz="8" w:space="0" w:color="auto"/>
            </w:tcBorders>
            <w:noWrap/>
            <w:vAlign w:val="center"/>
            <w:hideMark/>
          </w:tcPr>
          <w:p w14:paraId="303411C5" w14:textId="77777777" w:rsidR="00BC5F32" w:rsidRPr="0095112F" w:rsidRDefault="00BC5F32">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783610" w:rsidRPr="0095112F" w14:paraId="56FE6A3F" w14:textId="77777777" w:rsidTr="00FD17A4">
        <w:trPr>
          <w:trHeight w:val="1358"/>
        </w:trPr>
        <w:tc>
          <w:tcPr>
            <w:tcW w:w="0" w:type="auto"/>
            <w:gridSpan w:val="3"/>
            <w:tcBorders>
              <w:top w:val="single" w:sz="8" w:space="0" w:color="auto"/>
              <w:left w:val="single" w:sz="8" w:space="0" w:color="auto"/>
              <w:bottom w:val="single" w:sz="8" w:space="0" w:color="auto"/>
              <w:right w:val="nil"/>
            </w:tcBorders>
            <w:vAlign w:val="center"/>
            <w:hideMark/>
          </w:tcPr>
          <w:p w14:paraId="39126599" w14:textId="3ED8A865" w:rsidR="00F80CE1" w:rsidRPr="0095112F" w:rsidRDefault="00BC5F32">
            <w:pPr>
              <w:spacing w:after="0"/>
              <w:rPr>
                <w:rFonts w:ascii="Calibri" w:eastAsia="Times New Roman" w:hAnsi="Calibri" w:cs="Calibri"/>
                <w:noProof/>
                <w:color w:val="000000"/>
                <w:szCs w:val="20"/>
                <w:lang w:val="en-IE" w:eastAsia="en-IE"/>
              </w:rPr>
            </w:pPr>
            <w:r w:rsidRPr="00BC5F32">
              <w:rPr>
                <w:rFonts w:ascii="Calibri" w:eastAsia="Times New Roman" w:hAnsi="Calibri" w:cs="Calibri"/>
                <w:noProof/>
                <w:color w:val="000000"/>
                <w:szCs w:val="20"/>
                <w:lang w:val="en-IE" w:eastAsia="en-IE"/>
              </w:rPr>
              <w:t>Option 5a + introduce an optional common employee stock ownership scheme for 28th regime companies, based on employee stock options and with common criteria (‘EU-ESO’).</w:t>
            </w:r>
          </w:p>
        </w:tc>
        <w:tc>
          <w:tcPr>
            <w:tcW w:w="0" w:type="auto"/>
            <w:tcBorders>
              <w:top w:val="nil"/>
              <w:left w:val="nil"/>
              <w:bottom w:val="nil"/>
              <w:right w:val="single" w:sz="4" w:space="0" w:color="auto"/>
            </w:tcBorders>
            <w:shd w:val="clear" w:color="auto" w:fill="969696"/>
            <w:vAlign w:val="center"/>
            <w:hideMark/>
          </w:tcPr>
          <w:p w14:paraId="11D05F66" w14:textId="77777777" w:rsidR="00F80CE1" w:rsidRPr="0095112F" w:rsidRDefault="00F80CE1">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01E8841B"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308,843</w:t>
            </w:r>
          </w:p>
        </w:tc>
        <w:tc>
          <w:tcPr>
            <w:tcW w:w="0" w:type="auto"/>
            <w:tcBorders>
              <w:top w:val="single" w:sz="4" w:space="0" w:color="auto"/>
              <w:left w:val="nil"/>
              <w:bottom w:val="single" w:sz="4" w:space="0" w:color="auto"/>
              <w:right w:val="single" w:sz="4" w:space="0" w:color="auto"/>
            </w:tcBorders>
            <w:vAlign w:val="center"/>
            <w:hideMark/>
          </w:tcPr>
          <w:p w14:paraId="5020AE30"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10C751FE" w14:textId="4D8AF505" w:rsidR="00F80CE1" w:rsidRPr="0095112F" w:rsidRDefault="009A4679">
            <w:pPr>
              <w:spacing w:after="0"/>
              <w:jc w:val="right"/>
              <w:rPr>
                <w:rFonts w:ascii="Calibri" w:eastAsia="Times New Roman" w:hAnsi="Calibri" w:cs="Calibri"/>
                <w:noProof/>
                <w:color w:val="000000"/>
                <w:szCs w:val="20"/>
                <w:lang w:val="en-IE" w:eastAsia="en-IE"/>
              </w:rPr>
            </w:pPr>
            <w:r>
              <w:rPr>
                <w:rFonts w:ascii="Calibri" w:eastAsia="Times New Roman" w:hAnsi="Calibri" w:cs="Calibri"/>
                <w:noProof/>
                <w:color w:val="000000"/>
                <w:szCs w:val="20"/>
                <w:lang w:val="en-IE" w:eastAsia="en-IE"/>
              </w:rPr>
              <w:t>8</w:t>
            </w:r>
            <w:r w:rsidR="00F80CE1" w:rsidRPr="0095112F">
              <w:rPr>
                <w:rFonts w:ascii="Calibri" w:eastAsia="Times New Roman" w:hAnsi="Calibri" w:cs="Calibri"/>
                <w:noProof/>
                <w:color w:val="000000"/>
                <w:szCs w:val="20"/>
                <w:lang w:val="en-IE" w:eastAsia="en-IE"/>
              </w:rPr>
              <w:t>%</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49A12CA1"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shd w:val="clear" w:color="auto" w:fill="969696"/>
            <w:noWrap/>
            <w:vAlign w:val="center"/>
            <w:hideMark/>
          </w:tcPr>
          <w:p w14:paraId="4739EE89"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80D3A4" w14:textId="44B5D01A"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40.</w:t>
            </w:r>
            <w:r w:rsidR="004C5078" w:rsidRPr="0095112F">
              <w:rPr>
                <w:rFonts w:ascii="Calibri" w:eastAsia="Times New Roman" w:hAnsi="Calibri" w:cs="Calibri"/>
                <w:noProof/>
                <w:color w:val="000000"/>
                <w:szCs w:val="20"/>
                <w:lang w:val="en-IE" w:eastAsia="en-IE"/>
              </w:rPr>
              <w:t>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D43F433"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2FC1628"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280.00</w:t>
            </w:r>
          </w:p>
        </w:tc>
        <w:tc>
          <w:tcPr>
            <w:tcW w:w="0" w:type="auto"/>
            <w:tcBorders>
              <w:top w:val="single" w:sz="4" w:space="0" w:color="auto"/>
              <w:left w:val="nil"/>
              <w:bottom w:val="single" w:sz="4" w:space="0" w:color="auto"/>
              <w:right w:val="single" w:sz="4" w:space="0" w:color="auto"/>
            </w:tcBorders>
            <w:vAlign w:val="center"/>
            <w:hideMark/>
          </w:tcPr>
          <w:p w14:paraId="3BEAB6E7"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No time spent reduction expected. 10% reduction of costs.</w:t>
            </w:r>
          </w:p>
        </w:tc>
        <w:tc>
          <w:tcPr>
            <w:tcW w:w="0" w:type="auto"/>
            <w:tcBorders>
              <w:top w:val="nil"/>
              <w:left w:val="nil"/>
              <w:bottom w:val="nil"/>
              <w:right w:val="nil"/>
            </w:tcBorders>
            <w:shd w:val="clear" w:color="auto" w:fill="969696"/>
            <w:noWrap/>
            <w:vAlign w:val="center"/>
            <w:hideMark/>
          </w:tcPr>
          <w:p w14:paraId="36778280"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21D64663" w14:textId="77777777" w:rsidR="00F80CE1" w:rsidRPr="0095112F" w:rsidRDefault="00F80CE1">
            <w:pPr>
              <w:spacing w:after="0"/>
              <w:jc w:val="center"/>
              <w:rPr>
                <w:rFonts w:ascii="Calibri" w:eastAsia="Times New Roman" w:hAnsi="Calibri" w:cs="Calibri"/>
                <w:noProof/>
                <w:color w:val="000000"/>
                <w:szCs w:val="20"/>
                <w:lang w:val="en-IE" w:eastAsia="en-IE"/>
              </w:rPr>
            </w:pPr>
            <w:r>
              <w:rPr>
                <w:rFonts w:ascii="Calibri" w:hAnsi="Calibri" w:cs="Calibri"/>
                <w:noProof/>
                <w:color w:val="000000"/>
                <w:sz w:val="22"/>
              </w:rPr>
              <w:t>280.00</w:t>
            </w:r>
          </w:p>
        </w:tc>
        <w:tc>
          <w:tcPr>
            <w:tcW w:w="0" w:type="auto"/>
            <w:tcBorders>
              <w:top w:val="single" w:sz="4" w:space="0" w:color="auto"/>
              <w:left w:val="nil"/>
              <w:bottom w:val="single" w:sz="4" w:space="0" w:color="auto"/>
              <w:right w:val="single" w:sz="4" w:space="0" w:color="auto"/>
            </w:tcBorders>
            <w:vAlign w:val="center"/>
            <w:hideMark/>
          </w:tcPr>
          <w:p w14:paraId="34570E4B" w14:textId="008E7534" w:rsidR="00F80CE1" w:rsidRPr="0095112F" w:rsidRDefault="004C5078">
            <w:pPr>
              <w:spacing w:after="0"/>
              <w:jc w:val="center"/>
              <w:rPr>
                <w:rFonts w:ascii="Calibri" w:eastAsia="Times New Roman" w:hAnsi="Calibri" w:cs="Calibri"/>
                <w:noProof/>
                <w:color w:val="000000"/>
                <w:szCs w:val="20"/>
                <w:lang w:val="en-IE" w:eastAsia="en-IE"/>
              </w:rPr>
            </w:pPr>
            <w:r>
              <w:rPr>
                <w:rFonts w:ascii="Calibri" w:hAnsi="Calibri" w:cs="Calibri"/>
                <w:noProof/>
                <w:color w:val="000000"/>
                <w:sz w:val="22"/>
              </w:rPr>
              <w:t>24,707</w:t>
            </w:r>
          </w:p>
        </w:tc>
        <w:tc>
          <w:tcPr>
            <w:tcW w:w="0" w:type="auto"/>
            <w:tcBorders>
              <w:top w:val="single" w:sz="4" w:space="0" w:color="auto"/>
              <w:left w:val="nil"/>
              <w:bottom w:val="single" w:sz="4" w:space="0" w:color="auto"/>
              <w:right w:val="single" w:sz="4" w:space="0" w:color="auto"/>
            </w:tcBorders>
            <w:vAlign w:val="center"/>
            <w:hideMark/>
          </w:tcPr>
          <w:p w14:paraId="0ACC3448" w14:textId="310AE72F" w:rsidR="00F80CE1" w:rsidRPr="0095112F" w:rsidRDefault="32B3101E" w:rsidP="6F00936E">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EUR</w:t>
            </w:r>
            <w:r w:rsidR="527593D9">
              <w:rPr>
                <w:rFonts w:ascii="Calibri" w:hAnsi="Calibri" w:cs="Calibri"/>
                <w:noProof/>
                <w:color w:val="000000"/>
                <w:sz w:val="22"/>
              </w:rPr>
              <w:t xml:space="preserve">           </w:t>
            </w:r>
            <w:r w:rsidR="004C5078">
              <w:rPr>
                <w:rFonts w:ascii="Calibri" w:hAnsi="Calibri" w:cs="Calibri"/>
                <w:noProof/>
                <w:color w:val="000000"/>
                <w:sz w:val="22"/>
              </w:rPr>
              <w:t>6,918,083</w:t>
            </w:r>
            <w:r w:rsidR="527593D9">
              <w:rPr>
                <w:rFonts w:ascii="Calibri" w:hAnsi="Calibri" w:cs="Calibri"/>
                <w:noProof/>
                <w:color w:val="000000"/>
                <w:sz w:val="22"/>
              </w:rPr>
              <w:t xml:space="preserve"> </w:t>
            </w:r>
          </w:p>
        </w:tc>
      </w:tr>
      <w:tr w:rsidR="00783610" w:rsidRPr="0095112F" w14:paraId="1EE35658" w14:textId="77777777" w:rsidTr="00FD17A4">
        <w:trPr>
          <w:trHeight w:val="300"/>
        </w:trPr>
        <w:tc>
          <w:tcPr>
            <w:tcW w:w="0" w:type="auto"/>
            <w:tcBorders>
              <w:top w:val="nil"/>
              <w:left w:val="single" w:sz="8" w:space="0" w:color="auto"/>
              <w:bottom w:val="single" w:sz="8" w:space="0" w:color="auto"/>
              <w:right w:val="nil"/>
            </w:tcBorders>
            <w:shd w:val="clear" w:color="auto" w:fill="305496"/>
            <w:noWrap/>
            <w:vAlign w:val="center"/>
            <w:hideMark/>
          </w:tcPr>
          <w:p w14:paraId="793EE6A6"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single" w:sz="8" w:space="0" w:color="auto"/>
              <w:right w:val="nil"/>
            </w:tcBorders>
            <w:shd w:val="clear" w:color="auto" w:fill="305496"/>
            <w:noWrap/>
            <w:vAlign w:val="center"/>
            <w:hideMark/>
          </w:tcPr>
          <w:p w14:paraId="7D23607E"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single" w:sz="8" w:space="0" w:color="auto"/>
              <w:right w:val="nil"/>
            </w:tcBorders>
            <w:shd w:val="clear" w:color="auto" w:fill="305496"/>
            <w:noWrap/>
            <w:vAlign w:val="center"/>
            <w:hideMark/>
          </w:tcPr>
          <w:p w14:paraId="5139BB15"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nil"/>
              <w:right w:val="nil"/>
            </w:tcBorders>
            <w:shd w:val="clear" w:color="auto" w:fill="969696"/>
            <w:vAlign w:val="center"/>
            <w:hideMark/>
          </w:tcPr>
          <w:p w14:paraId="2ECAF177" w14:textId="77777777" w:rsidR="00F80CE1" w:rsidRPr="0095112F" w:rsidRDefault="00F80CE1">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3A9E3E18"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63C0ECB8"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7B462C0D"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4E14ED6D"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nil"/>
              <w:right w:val="nil"/>
            </w:tcBorders>
            <w:shd w:val="clear" w:color="auto" w:fill="969696"/>
            <w:noWrap/>
            <w:vAlign w:val="center"/>
            <w:hideMark/>
          </w:tcPr>
          <w:p w14:paraId="13E54E6F"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single" w:sz="8" w:space="0" w:color="auto"/>
              <w:right w:val="nil"/>
            </w:tcBorders>
            <w:shd w:val="clear" w:color="auto" w:fill="C6E0B4"/>
            <w:noWrap/>
            <w:vAlign w:val="center"/>
            <w:hideMark/>
          </w:tcPr>
          <w:p w14:paraId="5EFEB803"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C6E0B4"/>
            <w:noWrap/>
            <w:vAlign w:val="center"/>
            <w:hideMark/>
          </w:tcPr>
          <w:p w14:paraId="6CE63410"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C6E0B4"/>
            <w:vAlign w:val="center"/>
            <w:hideMark/>
          </w:tcPr>
          <w:p w14:paraId="56683602"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single" w:sz="8" w:space="0" w:color="auto"/>
              <w:right w:val="nil"/>
            </w:tcBorders>
            <w:shd w:val="clear" w:color="auto" w:fill="C6E0B4"/>
            <w:vAlign w:val="center"/>
            <w:hideMark/>
          </w:tcPr>
          <w:p w14:paraId="76ECCFA7"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shd w:val="clear" w:color="auto" w:fill="969696"/>
            <w:noWrap/>
            <w:vAlign w:val="center"/>
            <w:hideMark/>
          </w:tcPr>
          <w:p w14:paraId="75E72D34"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gridSpan w:val="2"/>
            <w:tcBorders>
              <w:top w:val="nil"/>
              <w:left w:val="single" w:sz="8" w:space="0" w:color="auto"/>
              <w:bottom w:val="single" w:sz="8" w:space="0" w:color="auto"/>
              <w:right w:val="nil"/>
            </w:tcBorders>
            <w:shd w:val="clear" w:color="auto" w:fill="DBDBDB"/>
            <w:noWrap/>
            <w:vAlign w:val="center"/>
            <w:hideMark/>
          </w:tcPr>
          <w:p w14:paraId="40BE27B1" w14:textId="77777777" w:rsidR="00F80CE1" w:rsidRPr="0095112F" w:rsidRDefault="00F80CE1">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PO5b</w:t>
            </w:r>
          </w:p>
        </w:tc>
        <w:tc>
          <w:tcPr>
            <w:tcW w:w="0" w:type="auto"/>
            <w:tcBorders>
              <w:top w:val="nil"/>
              <w:left w:val="single" w:sz="8" w:space="0" w:color="auto"/>
              <w:bottom w:val="single" w:sz="8" w:space="0" w:color="auto"/>
              <w:right w:val="single" w:sz="8" w:space="0" w:color="auto"/>
            </w:tcBorders>
            <w:shd w:val="clear" w:color="auto" w:fill="DBDBDB"/>
            <w:noWrap/>
            <w:vAlign w:val="center"/>
            <w:hideMark/>
          </w:tcPr>
          <w:p w14:paraId="5A057842" w14:textId="33651B0E" w:rsidR="00F80CE1" w:rsidRPr="0095112F" w:rsidRDefault="527593D9"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32B3101E"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w:t>
            </w:r>
            <w:r w:rsidR="004C5078" w:rsidRPr="004C5078">
              <w:rPr>
                <w:rFonts w:ascii="Arial" w:eastAsia="Times New Roman" w:hAnsi="Arial" w:cs="Arial"/>
                <w:b/>
                <w:bCs/>
                <w:noProof/>
                <w:lang w:eastAsia="en-IE"/>
              </w:rPr>
              <w:t>6,918,083</w:t>
            </w:r>
          </w:p>
        </w:tc>
      </w:tr>
      <w:tr w:rsidR="00783610" w:rsidRPr="0095112F" w14:paraId="10D1681F" w14:textId="77777777" w:rsidTr="00FD17A4">
        <w:trPr>
          <w:trHeight w:val="300"/>
        </w:trPr>
        <w:tc>
          <w:tcPr>
            <w:tcW w:w="0" w:type="auto"/>
            <w:gridSpan w:val="2"/>
            <w:tcBorders>
              <w:top w:val="single" w:sz="8" w:space="0" w:color="auto"/>
              <w:left w:val="single" w:sz="8" w:space="0" w:color="auto"/>
              <w:bottom w:val="single" w:sz="8" w:space="0" w:color="auto"/>
              <w:right w:val="nil"/>
            </w:tcBorders>
            <w:shd w:val="clear" w:color="auto" w:fill="FFFF00"/>
            <w:noWrap/>
            <w:vAlign w:val="center"/>
            <w:hideMark/>
          </w:tcPr>
          <w:p w14:paraId="127423B2" w14:textId="77777777" w:rsidR="00F80CE1" w:rsidRPr="0095112F" w:rsidRDefault="00F80CE1">
            <w:pPr>
              <w:spacing w:after="0"/>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PO 5c</w:t>
            </w:r>
          </w:p>
        </w:tc>
        <w:tc>
          <w:tcPr>
            <w:tcW w:w="0" w:type="auto"/>
            <w:tcBorders>
              <w:top w:val="nil"/>
              <w:left w:val="nil"/>
              <w:bottom w:val="single" w:sz="8" w:space="0" w:color="auto"/>
              <w:right w:val="nil"/>
            </w:tcBorders>
            <w:shd w:val="clear" w:color="auto" w:fill="FFFF00"/>
            <w:noWrap/>
            <w:vAlign w:val="center"/>
            <w:hideMark/>
          </w:tcPr>
          <w:p w14:paraId="0C8A2036"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nil"/>
            </w:tcBorders>
            <w:shd w:val="clear" w:color="auto" w:fill="969696"/>
            <w:vAlign w:val="center"/>
            <w:hideMark/>
          </w:tcPr>
          <w:p w14:paraId="2A02621A" w14:textId="77777777" w:rsidR="00F80CE1" w:rsidRPr="0095112F" w:rsidRDefault="00F80CE1">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nil"/>
              <w:left w:val="single" w:sz="4" w:space="0" w:color="auto"/>
              <w:bottom w:val="nil"/>
              <w:right w:val="nil"/>
            </w:tcBorders>
            <w:vAlign w:val="center"/>
            <w:hideMark/>
          </w:tcPr>
          <w:p w14:paraId="387A58E9"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nil"/>
              <w:right w:val="nil"/>
            </w:tcBorders>
            <w:noWrap/>
            <w:vAlign w:val="center"/>
            <w:hideMark/>
          </w:tcPr>
          <w:p w14:paraId="48B1B7D6"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64E67ABC"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78FF7102"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nil"/>
            </w:tcBorders>
            <w:shd w:val="clear" w:color="auto" w:fill="969696"/>
            <w:noWrap/>
            <w:vAlign w:val="center"/>
            <w:hideMark/>
          </w:tcPr>
          <w:p w14:paraId="7A9F5D72"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nil"/>
              <w:right w:val="nil"/>
            </w:tcBorders>
            <w:noWrap/>
            <w:vAlign w:val="center"/>
            <w:hideMark/>
          </w:tcPr>
          <w:p w14:paraId="4ED0EB34"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shd w:val="clear" w:color="auto" w:fill="FFFFFF" w:themeFill="background1"/>
            <w:noWrap/>
            <w:vAlign w:val="center"/>
            <w:hideMark/>
          </w:tcPr>
          <w:p w14:paraId="3FDC0F6B"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78485A6D"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single" w:sz="4" w:space="0" w:color="auto"/>
              <w:bottom w:val="nil"/>
              <w:right w:val="nil"/>
            </w:tcBorders>
            <w:noWrap/>
            <w:vAlign w:val="center"/>
            <w:hideMark/>
          </w:tcPr>
          <w:p w14:paraId="0AC210A5"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single" w:sz="8" w:space="0" w:color="auto"/>
            </w:tcBorders>
            <w:shd w:val="clear" w:color="auto" w:fill="969696"/>
            <w:noWrap/>
            <w:vAlign w:val="center"/>
            <w:hideMark/>
          </w:tcPr>
          <w:p w14:paraId="520545F5"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noWrap/>
            <w:vAlign w:val="center"/>
            <w:hideMark/>
          </w:tcPr>
          <w:p w14:paraId="2F59B4CD"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nil"/>
            </w:tcBorders>
            <w:noWrap/>
            <w:vAlign w:val="center"/>
            <w:hideMark/>
          </w:tcPr>
          <w:p w14:paraId="1F79EC6C" w14:textId="77777777" w:rsidR="00F80CE1" w:rsidRPr="0095112F" w:rsidRDefault="00F80CE1">
            <w:pPr>
              <w:spacing w:after="0"/>
              <w:jc w:val="center"/>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nil"/>
              <w:left w:val="nil"/>
              <w:bottom w:val="nil"/>
              <w:right w:val="single" w:sz="8" w:space="0" w:color="auto"/>
            </w:tcBorders>
            <w:noWrap/>
            <w:vAlign w:val="center"/>
            <w:hideMark/>
          </w:tcPr>
          <w:p w14:paraId="236FBDCF" w14:textId="77777777" w:rsidR="00F80CE1" w:rsidRPr="0095112F" w:rsidRDefault="00F80CE1">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 </w:t>
            </w:r>
          </w:p>
        </w:tc>
      </w:tr>
      <w:tr w:rsidR="00783610" w:rsidRPr="0095112F" w14:paraId="2F7107AA" w14:textId="77777777" w:rsidTr="00FD17A4">
        <w:trPr>
          <w:trHeight w:val="1343"/>
        </w:trPr>
        <w:tc>
          <w:tcPr>
            <w:tcW w:w="0" w:type="auto"/>
            <w:gridSpan w:val="3"/>
            <w:tcBorders>
              <w:top w:val="single" w:sz="8" w:space="0" w:color="auto"/>
              <w:left w:val="single" w:sz="8" w:space="0" w:color="auto"/>
              <w:bottom w:val="single" w:sz="8" w:space="0" w:color="auto"/>
              <w:right w:val="nil"/>
            </w:tcBorders>
            <w:vAlign w:val="center"/>
            <w:hideMark/>
          </w:tcPr>
          <w:p w14:paraId="4C943066" w14:textId="7477932A"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xml:space="preserve">In addition to policy option 5b, provide harmonised timing for the taxation </w:t>
            </w:r>
            <w:r w:rsidR="00840513" w:rsidRPr="00840513">
              <w:rPr>
                <w:rFonts w:ascii="Calibri" w:eastAsia="Times New Roman" w:hAnsi="Calibri" w:cs="Calibri"/>
                <w:noProof/>
                <w:color w:val="000000"/>
                <w:szCs w:val="20"/>
                <w:lang w:val="en-IE" w:eastAsia="en-IE"/>
              </w:rPr>
              <w:t>of employee stock options granted in the context of the EU-ESO</w:t>
            </w:r>
          </w:p>
        </w:tc>
        <w:tc>
          <w:tcPr>
            <w:tcW w:w="0" w:type="auto"/>
            <w:tcBorders>
              <w:top w:val="nil"/>
              <w:left w:val="nil"/>
              <w:bottom w:val="nil"/>
              <w:right w:val="single" w:sz="4" w:space="0" w:color="auto"/>
            </w:tcBorders>
            <w:shd w:val="clear" w:color="auto" w:fill="969696"/>
            <w:vAlign w:val="center"/>
            <w:hideMark/>
          </w:tcPr>
          <w:p w14:paraId="6C11894D" w14:textId="77777777" w:rsidR="00F80CE1" w:rsidRPr="0095112F" w:rsidRDefault="00F80CE1">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77CD3D6A"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308,843</w:t>
            </w:r>
          </w:p>
        </w:tc>
        <w:tc>
          <w:tcPr>
            <w:tcW w:w="0" w:type="auto"/>
            <w:tcBorders>
              <w:top w:val="single" w:sz="4" w:space="0" w:color="auto"/>
              <w:left w:val="nil"/>
              <w:bottom w:val="single" w:sz="4" w:space="0" w:color="auto"/>
              <w:right w:val="single" w:sz="4" w:space="0" w:color="auto"/>
            </w:tcBorders>
            <w:vAlign w:val="center"/>
            <w:hideMark/>
          </w:tcPr>
          <w:p w14:paraId="17BA01D3"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55E4A7EF" w14:textId="01E23EC9" w:rsidR="00F80CE1" w:rsidRPr="0095112F" w:rsidRDefault="00F673FA">
            <w:pPr>
              <w:spacing w:after="0"/>
              <w:jc w:val="right"/>
              <w:rPr>
                <w:rFonts w:ascii="Calibri" w:eastAsia="Times New Roman" w:hAnsi="Calibri" w:cs="Calibri"/>
                <w:noProof/>
                <w:color w:val="000000"/>
                <w:szCs w:val="20"/>
                <w:lang w:val="en-IE" w:eastAsia="en-IE"/>
              </w:rPr>
            </w:pPr>
            <w:r>
              <w:rPr>
                <w:rFonts w:ascii="Calibri" w:eastAsia="Times New Roman" w:hAnsi="Calibri" w:cs="Calibri"/>
                <w:noProof/>
                <w:color w:val="000000"/>
                <w:szCs w:val="20"/>
                <w:lang w:val="en-IE" w:eastAsia="en-IE"/>
              </w:rPr>
              <w:t>10</w:t>
            </w:r>
            <w:r w:rsidR="00F80CE1" w:rsidRPr="0095112F">
              <w:rPr>
                <w:rFonts w:ascii="Calibri" w:eastAsia="Times New Roman" w:hAnsi="Calibri" w:cs="Calibri"/>
                <w:noProof/>
                <w:color w:val="000000"/>
                <w:szCs w:val="20"/>
                <w:lang w:val="en-IE" w:eastAsia="en-IE"/>
              </w:rPr>
              <w:t>%</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400B6313"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shd w:val="clear" w:color="auto" w:fill="969696"/>
            <w:noWrap/>
            <w:vAlign w:val="center"/>
            <w:hideMark/>
          </w:tcPr>
          <w:p w14:paraId="0FE4B549"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0B5BC7" w14:textId="6FBB773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40.</w:t>
            </w:r>
            <w:r w:rsidR="004A6031" w:rsidRPr="0095112F">
              <w:rPr>
                <w:rFonts w:ascii="Calibri" w:eastAsia="Times New Roman" w:hAnsi="Calibri" w:cs="Calibri"/>
                <w:noProof/>
                <w:color w:val="000000"/>
                <w:szCs w:val="20"/>
                <w:lang w:val="en-IE" w:eastAsia="en-IE"/>
              </w:rPr>
              <w:t>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2CCCC37"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5C33B8A" w14:textId="77777777" w:rsidR="00F80CE1" w:rsidRPr="0095112F" w:rsidRDefault="00F80CE1">
            <w:pPr>
              <w:spacing w:after="0"/>
              <w:jc w:val="center"/>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420.00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DCFE3A3" w14:textId="0CE9E32A"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xml:space="preserve">15% cost reduction </w:t>
            </w:r>
          </w:p>
        </w:tc>
        <w:tc>
          <w:tcPr>
            <w:tcW w:w="0" w:type="auto"/>
            <w:tcBorders>
              <w:top w:val="nil"/>
              <w:left w:val="nil"/>
              <w:bottom w:val="nil"/>
              <w:right w:val="nil"/>
            </w:tcBorders>
            <w:shd w:val="clear" w:color="auto" w:fill="969696"/>
            <w:noWrap/>
            <w:vAlign w:val="center"/>
            <w:hideMark/>
          </w:tcPr>
          <w:p w14:paraId="2B5CE17F"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25439397" w14:textId="77777777" w:rsidR="00F80CE1" w:rsidRPr="0095112F" w:rsidRDefault="00F80CE1">
            <w:pPr>
              <w:spacing w:after="0"/>
              <w:jc w:val="center"/>
              <w:rPr>
                <w:rFonts w:ascii="Calibri" w:eastAsia="Times New Roman" w:hAnsi="Calibri" w:cs="Calibri"/>
                <w:noProof/>
                <w:color w:val="000000"/>
                <w:szCs w:val="20"/>
                <w:lang w:val="en-IE" w:eastAsia="en-IE"/>
              </w:rPr>
            </w:pPr>
            <w:r>
              <w:rPr>
                <w:rFonts w:ascii="Calibri" w:hAnsi="Calibri" w:cs="Calibri"/>
                <w:noProof/>
                <w:color w:val="000000"/>
                <w:sz w:val="22"/>
              </w:rPr>
              <w:t>420.00</w:t>
            </w:r>
          </w:p>
        </w:tc>
        <w:tc>
          <w:tcPr>
            <w:tcW w:w="0" w:type="auto"/>
            <w:tcBorders>
              <w:top w:val="single" w:sz="4" w:space="0" w:color="auto"/>
              <w:left w:val="nil"/>
              <w:bottom w:val="single" w:sz="4" w:space="0" w:color="auto"/>
              <w:right w:val="single" w:sz="4" w:space="0" w:color="auto"/>
            </w:tcBorders>
            <w:vAlign w:val="center"/>
            <w:hideMark/>
          </w:tcPr>
          <w:p w14:paraId="2C81C227" w14:textId="3E4D4F48" w:rsidR="00F80CE1" w:rsidRPr="0095112F" w:rsidRDefault="004A6031">
            <w:pPr>
              <w:spacing w:after="0"/>
              <w:jc w:val="center"/>
              <w:rPr>
                <w:rFonts w:ascii="Calibri" w:eastAsia="Times New Roman" w:hAnsi="Calibri" w:cs="Calibri"/>
                <w:noProof/>
                <w:color w:val="000000"/>
                <w:szCs w:val="20"/>
                <w:lang w:val="en-IE" w:eastAsia="en-IE"/>
              </w:rPr>
            </w:pPr>
            <w:r>
              <w:rPr>
                <w:rFonts w:ascii="Calibri" w:hAnsi="Calibri" w:cs="Calibri"/>
                <w:noProof/>
                <w:color w:val="000000"/>
                <w:sz w:val="22"/>
              </w:rPr>
              <w:t>30,884</w:t>
            </w:r>
          </w:p>
        </w:tc>
        <w:tc>
          <w:tcPr>
            <w:tcW w:w="0" w:type="auto"/>
            <w:tcBorders>
              <w:top w:val="single" w:sz="4" w:space="0" w:color="auto"/>
              <w:left w:val="nil"/>
              <w:bottom w:val="single" w:sz="4" w:space="0" w:color="auto"/>
              <w:right w:val="single" w:sz="4" w:space="0" w:color="auto"/>
            </w:tcBorders>
            <w:vAlign w:val="center"/>
            <w:hideMark/>
          </w:tcPr>
          <w:p w14:paraId="090211C9" w14:textId="2BEB8249" w:rsidR="00F80CE1" w:rsidRPr="0095112F" w:rsidRDefault="527593D9" w:rsidP="6F00936E">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 xml:space="preserve"> </w:t>
            </w:r>
            <w:r w:rsidR="70623D8C">
              <w:rPr>
                <w:rFonts w:ascii="Calibri" w:hAnsi="Calibri" w:cs="Calibri"/>
                <w:noProof/>
                <w:color w:val="000000"/>
                <w:sz w:val="22"/>
              </w:rPr>
              <w:t>EUR</w:t>
            </w:r>
            <w:r>
              <w:rPr>
                <w:rFonts w:ascii="Calibri" w:hAnsi="Calibri" w:cs="Calibri"/>
                <w:noProof/>
                <w:color w:val="000000"/>
                <w:sz w:val="22"/>
              </w:rPr>
              <w:t xml:space="preserve">        </w:t>
            </w:r>
            <w:r w:rsidR="004A6031">
              <w:rPr>
                <w:rFonts w:ascii="Calibri" w:hAnsi="Calibri" w:cs="Calibri"/>
                <w:noProof/>
                <w:color w:val="000000"/>
                <w:sz w:val="22"/>
              </w:rPr>
              <w:t>12,971,406</w:t>
            </w:r>
            <w:r>
              <w:rPr>
                <w:rFonts w:ascii="Calibri" w:hAnsi="Calibri" w:cs="Calibri"/>
                <w:noProof/>
                <w:color w:val="000000"/>
                <w:sz w:val="22"/>
              </w:rPr>
              <w:t xml:space="preserve"> </w:t>
            </w:r>
          </w:p>
        </w:tc>
      </w:tr>
      <w:tr w:rsidR="00783610" w:rsidRPr="0095112F" w14:paraId="4C70030E" w14:textId="77777777" w:rsidTr="00FD17A4">
        <w:trPr>
          <w:trHeight w:val="300"/>
        </w:trPr>
        <w:tc>
          <w:tcPr>
            <w:tcW w:w="0" w:type="auto"/>
            <w:tcBorders>
              <w:top w:val="nil"/>
              <w:left w:val="single" w:sz="8" w:space="0" w:color="auto"/>
              <w:bottom w:val="single" w:sz="8" w:space="0" w:color="auto"/>
              <w:right w:val="nil"/>
            </w:tcBorders>
            <w:shd w:val="clear" w:color="auto" w:fill="305496"/>
            <w:noWrap/>
            <w:vAlign w:val="center"/>
            <w:hideMark/>
          </w:tcPr>
          <w:p w14:paraId="1E3FCEB7"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single" w:sz="8" w:space="0" w:color="auto"/>
              <w:right w:val="nil"/>
            </w:tcBorders>
            <w:shd w:val="clear" w:color="auto" w:fill="305496"/>
            <w:noWrap/>
            <w:vAlign w:val="center"/>
            <w:hideMark/>
          </w:tcPr>
          <w:p w14:paraId="10EA00AD"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single" w:sz="8" w:space="0" w:color="auto"/>
              <w:right w:val="nil"/>
            </w:tcBorders>
            <w:shd w:val="clear" w:color="auto" w:fill="305496"/>
            <w:noWrap/>
            <w:vAlign w:val="center"/>
            <w:hideMark/>
          </w:tcPr>
          <w:p w14:paraId="7C28972E"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nil"/>
              <w:right w:val="nil"/>
            </w:tcBorders>
            <w:shd w:val="clear" w:color="auto" w:fill="969696"/>
            <w:vAlign w:val="center"/>
            <w:hideMark/>
          </w:tcPr>
          <w:p w14:paraId="3C3CB19A" w14:textId="77777777" w:rsidR="00F80CE1" w:rsidRPr="0095112F" w:rsidRDefault="00F80CE1">
            <w:pPr>
              <w:spacing w:after="0"/>
              <w:rPr>
                <w:rFonts w:ascii="Arial" w:eastAsia="Times New Roman" w:hAnsi="Arial" w:cs="Arial"/>
                <w:noProof/>
                <w:color w:val="808080"/>
                <w:szCs w:val="20"/>
                <w:lang w:val="en-IE" w:eastAsia="en-IE"/>
              </w:rPr>
            </w:pPr>
            <w:r w:rsidRPr="0095112F">
              <w:rPr>
                <w:rFonts w:ascii="Arial" w:eastAsia="Times New Roman" w:hAnsi="Arial" w:cs="Arial"/>
                <w:noProof/>
                <w:color w:val="808080"/>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7F763E61"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7643FC7B"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2939F498"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8EA9DB"/>
            <w:noWrap/>
            <w:vAlign w:val="center"/>
            <w:hideMark/>
          </w:tcPr>
          <w:p w14:paraId="2F693314" w14:textId="77777777" w:rsidR="00F80CE1" w:rsidRPr="0095112F" w:rsidRDefault="00F80CE1">
            <w:pPr>
              <w:spacing w:after="0"/>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nil"/>
              <w:bottom w:val="nil"/>
              <w:right w:val="nil"/>
            </w:tcBorders>
            <w:shd w:val="clear" w:color="auto" w:fill="969696"/>
            <w:noWrap/>
            <w:vAlign w:val="center"/>
            <w:hideMark/>
          </w:tcPr>
          <w:p w14:paraId="71D94128"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single" w:sz="8" w:space="0" w:color="auto"/>
              <w:right w:val="nil"/>
            </w:tcBorders>
            <w:shd w:val="clear" w:color="auto" w:fill="C6E0B4"/>
            <w:noWrap/>
            <w:vAlign w:val="center"/>
            <w:hideMark/>
          </w:tcPr>
          <w:p w14:paraId="36A592E5"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C6E0B4"/>
            <w:noWrap/>
            <w:vAlign w:val="center"/>
            <w:hideMark/>
          </w:tcPr>
          <w:p w14:paraId="09011C4F" w14:textId="77777777" w:rsidR="00F80CE1" w:rsidRPr="0095112F" w:rsidRDefault="00F80CE1">
            <w:pPr>
              <w:spacing w:after="0"/>
              <w:jc w:val="center"/>
              <w:rPr>
                <w:rFonts w:ascii="Arial" w:eastAsia="Times New Roman" w:hAnsi="Arial" w:cs="Arial"/>
                <w:b/>
                <w:bCs/>
                <w:noProof/>
                <w:color w:val="FFFFFF"/>
                <w:szCs w:val="20"/>
                <w:lang w:val="en-IE" w:eastAsia="en-IE"/>
              </w:rPr>
            </w:pPr>
            <w:r w:rsidRPr="0095112F">
              <w:rPr>
                <w:rFonts w:ascii="Arial" w:eastAsia="Times New Roman" w:hAnsi="Arial" w:cs="Arial"/>
                <w:b/>
                <w:bCs/>
                <w:noProof/>
                <w:color w:val="FFFFFF"/>
                <w:szCs w:val="20"/>
                <w:lang w:val="en-IE" w:eastAsia="en-IE"/>
              </w:rPr>
              <w:t> </w:t>
            </w:r>
          </w:p>
        </w:tc>
        <w:tc>
          <w:tcPr>
            <w:tcW w:w="0" w:type="auto"/>
            <w:tcBorders>
              <w:top w:val="nil"/>
              <w:left w:val="single" w:sz="4" w:space="0" w:color="auto"/>
              <w:bottom w:val="single" w:sz="8" w:space="0" w:color="auto"/>
              <w:right w:val="nil"/>
            </w:tcBorders>
            <w:shd w:val="clear" w:color="auto" w:fill="C6E0B4"/>
            <w:vAlign w:val="center"/>
            <w:hideMark/>
          </w:tcPr>
          <w:p w14:paraId="0AA7B042"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single" w:sz="4" w:space="0" w:color="auto"/>
              <w:bottom w:val="single" w:sz="8" w:space="0" w:color="auto"/>
              <w:right w:val="nil"/>
            </w:tcBorders>
            <w:shd w:val="clear" w:color="auto" w:fill="C6E0B4"/>
            <w:vAlign w:val="center"/>
            <w:hideMark/>
          </w:tcPr>
          <w:p w14:paraId="5E21983C" w14:textId="77777777" w:rsidR="00F80CE1" w:rsidRPr="0095112F" w:rsidRDefault="00F80CE1">
            <w:pPr>
              <w:spacing w:after="0"/>
              <w:rPr>
                <w:rFonts w:ascii="Calibri" w:eastAsia="Times New Roman" w:hAnsi="Calibri" w:cs="Calibri"/>
                <w:noProof/>
                <w:color w:val="000000"/>
                <w:szCs w:val="20"/>
                <w:lang w:val="en-IE" w:eastAsia="en-IE"/>
              </w:rPr>
            </w:pPr>
            <w:r w:rsidRPr="0095112F">
              <w:rPr>
                <w:rFonts w:ascii="Calibri" w:eastAsia="Times New Roman" w:hAnsi="Calibri" w:cs="Calibri"/>
                <w:noProof/>
                <w:color w:val="000000"/>
                <w:szCs w:val="20"/>
                <w:lang w:val="en-IE" w:eastAsia="en-IE"/>
              </w:rPr>
              <w:t> </w:t>
            </w:r>
          </w:p>
        </w:tc>
        <w:tc>
          <w:tcPr>
            <w:tcW w:w="0" w:type="auto"/>
            <w:tcBorders>
              <w:top w:val="nil"/>
              <w:left w:val="nil"/>
              <w:bottom w:val="nil"/>
              <w:right w:val="nil"/>
            </w:tcBorders>
            <w:shd w:val="clear" w:color="auto" w:fill="969696"/>
            <w:noWrap/>
            <w:vAlign w:val="center"/>
            <w:hideMark/>
          </w:tcPr>
          <w:p w14:paraId="49DA21D8" w14:textId="77777777" w:rsidR="00F80CE1" w:rsidRPr="0095112F" w:rsidRDefault="00F80CE1">
            <w:pPr>
              <w:spacing w:after="0"/>
              <w:rPr>
                <w:rFonts w:ascii="Arial" w:eastAsia="Times New Roman" w:hAnsi="Arial" w:cs="Arial"/>
                <w:noProof/>
                <w:szCs w:val="20"/>
                <w:lang w:val="en-IE" w:eastAsia="en-IE"/>
              </w:rPr>
            </w:pPr>
            <w:r w:rsidRPr="0095112F">
              <w:rPr>
                <w:rFonts w:ascii="Arial" w:eastAsia="Times New Roman" w:hAnsi="Arial" w:cs="Arial"/>
                <w:noProof/>
                <w:szCs w:val="20"/>
                <w:lang w:val="en-IE" w:eastAsia="en-IE"/>
              </w:rPr>
              <w:t> </w:t>
            </w:r>
          </w:p>
        </w:tc>
        <w:tc>
          <w:tcPr>
            <w:tcW w:w="0" w:type="auto"/>
            <w:gridSpan w:val="2"/>
            <w:tcBorders>
              <w:top w:val="nil"/>
              <w:left w:val="single" w:sz="8" w:space="0" w:color="auto"/>
              <w:bottom w:val="single" w:sz="8" w:space="0" w:color="auto"/>
              <w:right w:val="nil"/>
            </w:tcBorders>
            <w:shd w:val="clear" w:color="auto" w:fill="DBDBDB"/>
            <w:noWrap/>
            <w:vAlign w:val="center"/>
            <w:hideMark/>
          </w:tcPr>
          <w:p w14:paraId="50513276" w14:textId="77777777" w:rsidR="00F80CE1" w:rsidRPr="0095112F" w:rsidRDefault="00F80CE1">
            <w:pPr>
              <w:spacing w:after="0"/>
              <w:jc w:val="center"/>
              <w:rPr>
                <w:rFonts w:ascii="Arial" w:eastAsia="Times New Roman" w:hAnsi="Arial" w:cs="Arial"/>
                <w:b/>
                <w:bCs/>
                <w:noProof/>
                <w:szCs w:val="20"/>
                <w:lang w:val="en-IE" w:eastAsia="en-IE"/>
              </w:rPr>
            </w:pPr>
            <w:r w:rsidRPr="0095112F">
              <w:rPr>
                <w:rFonts w:ascii="Arial" w:eastAsia="Times New Roman" w:hAnsi="Arial" w:cs="Arial"/>
                <w:b/>
                <w:bCs/>
                <w:noProof/>
                <w:szCs w:val="20"/>
                <w:lang w:val="en-IE" w:eastAsia="en-IE"/>
              </w:rPr>
              <w:t>Admin burden reduction PO5c</w:t>
            </w:r>
          </w:p>
        </w:tc>
        <w:tc>
          <w:tcPr>
            <w:tcW w:w="0" w:type="auto"/>
            <w:tcBorders>
              <w:top w:val="nil"/>
              <w:left w:val="single" w:sz="8" w:space="0" w:color="auto"/>
              <w:bottom w:val="single" w:sz="8" w:space="0" w:color="auto"/>
              <w:right w:val="single" w:sz="8" w:space="0" w:color="auto"/>
            </w:tcBorders>
            <w:shd w:val="clear" w:color="auto" w:fill="DBDBDB"/>
            <w:noWrap/>
            <w:vAlign w:val="center"/>
            <w:hideMark/>
          </w:tcPr>
          <w:p w14:paraId="5609AE49" w14:textId="34974473" w:rsidR="00F80CE1" w:rsidRPr="0095112F" w:rsidRDefault="527593D9"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70623D8C"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w:t>
            </w:r>
            <w:r w:rsidR="004A6031" w:rsidRPr="004A6031">
              <w:rPr>
                <w:rFonts w:ascii="Arial" w:eastAsia="Times New Roman" w:hAnsi="Arial" w:cs="Arial"/>
                <w:b/>
                <w:bCs/>
                <w:noProof/>
                <w:lang w:eastAsia="en-IE"/>
              </w:rPr>
              <w:t>12,971,406</w:t>
            </w:r>
          </w:p>
        </w:tc>
      </w:tr>
    </w:tbl>
    <w:p w14:paraId="708CED17" w14:textId="759BA4B9" w:rsidR="00F71644" w:rsidRDefault="00F71644" w:rsidP="004F2887">
      <w:pPr>
        <w:jc w:val="both"/>
        <w:rPr>
          <w:rFonts w:eastAsia="Times New Roman" w:cs="Times New Roman"/>
          <w:noProof/>
          <w:color w:val="auto"/>
          <w:sz w:val="22"/>
          <w:lang w:val="en-IE" w:eastAsia="en-IE"/>
        </w:rPr>
      </w:pPr>
    </w:p>
    <w:p w14:paraId="530DB1F2" w14:textId="73360FB6" w:rsidR="00D57F8F" w:rsidRDefault="00D57F8F" w:rsidP="004F2887">
      <w:pPr>
        <w:jc w:val="both"/>
        <w:rPr>
          <w:rFonts w:eastAsia="Times New Roman" w:cs="Times New Roman"/>
          <w:noProof/>
          <w:color w:val="auto"/>
          <w:sz w:val="22"/>
          <w:lang w:val="en-IE" w:eastAsia="en-IE"/>
        </w:rPr>
      </w:pPr>
    </w:p>
    <w:p w14:paraId="2B019AAB" w14:textId="5643BE8B" w:rsidR="00F71644" w:rsidRDefault="00574D98" w:rsidP="004F2887">
      <w:pPr>
        <w:jc w:val="both"/>
        <w:rPr>
          <w:rFonts w:eastAsia="Times New Roman" w:cs="Times New Roman"/>
          <w:noProof/>
          <w:color w:val="auto"/>
          <w:sz w:val="22"/>
          <w:lang w:val="en-IE" w:eastAsia="en-IE"/>
        </w:rPr>
      </w:pPr>
      <w:r>
        <w:rPr>
          <w:rFonts w:eastAsia="Times New Roman" w:cs="Times New Roman"/>
          <w:noProof/>
          <w:color w:val="auto"/>
          <w:sz w:val="22"/>
          <w:lang w:val="en-IE" w:eastAsia="en-IE"/>
        </w:rPr>
        <w:t xml:space="preserve">Policy </w:t>
      </w:r>
      <w:r w:rsidR="00F9109D">
        <w:rPr>
          <w:rFonts w:eastAsia="Times New Roman" w:cs="Times New Roman"/>
          <w:noProof/>
          <w:color w:val="auto"/>
          <w:sz w:val="22"/>
          <w:lang w:val="en-IE" w:eastAsia="en-IE"/>
        </w:rPr>
        <w:t>O</w:t>
      </w:r>
      <w:r>
        <w:rPr>
          <w:rFonts w:eastAsia="Times New Roman" w:cs="Times New Roman"/>
          <w:noProof/>
          <w:color w:val="auto"/>
          <w:sz w:val="22"/>
          <w:lang w:val="en-IE" w:eastAsia="en-IE"/>
        </w:rPr>
        <w:t>ptions 6</w:t>
      </w:r>
    </w:p>
    <w:tbl>
      <w:tblPr>
        <w:tblW w:w="14459" w:type="dxa"/>
        <w:tblInd w:w="-577" w:type="dxa"/>
        <w:tblLayout w:type="fixed"/>
        <w:tblLook w:val="04A0" w:firstRow="1" w:lastRow="0" w:firstColumn="1" w:lastColumn="0" w:noHBand="0" w:noVBand="1"/>
      </w:tblPr>
      <w:tblGrid>
        <w:gridCol w:w="332"/>
        <w:gridCol w:w="333"/>
        <w:gridCol w:w="1148"/>
        <w:gridCol w:w="26"/>
        <w:gridCol w:w="543"/>
        <w:gridCol w:w="9"/>
        <w:gridCol w:w="6"/>
        <w:gridCol w:w="13"/>
        <w:gridCol w:w="826"/>
        <w:gridCol w:w="10"/>
        <w:gridCol w:w="15"/>
        <w:gridCol w:w="759"/>
        <w:gridCol w:w="10"/>
        <w:gridCol w:w="1042"/>
        <w:gridCol w:w="826"/>
        <w:gridCol w:w="19"/>
        <w:gridCol w:w="498"/>
        <w:gridCol w:w="20"/>
        <w:gridCol w:w="936"/>
        <w:gridCol w:w="709"/>
        <w:gridCol w:w="1134"/>
        <w:gridCol w:w="1250"/>
        <w:gridCol w:w="451"/>
        <w:gridCol w:w="533"/>
        <w:gridCol w:w="743"/>
        <w:gridCol w:w="169"/>
        <w:gridCol w:w="1099"/>
        <w:gridCol w:w="1000"/>
      </w:tblGrid>
      <w:tr w:rsidR="00783610" w:rsidRPr="000E19A1" w14:paraId="2B61D2F0" w14:textId="77777777" w:rsidTr="00B9546F">
        <w:trPr>
          <w:trHeight w:val="300"/>
        </w:trPr>
        <w:tc>
          <w:tcPr>
            <w:tcW w:w="1839" w:type="dxa"/>
            <w:gridSpan w:val="4"/>
            <w:tcBorders>
              <w:top w:val="single" w:sz="8" w:space="0" w:color="auto"/>
              <w:left w:val="single" w:sz="8" w:space="0" w:color="auto"/>
              <w:bottom w:val="single" w:sz="8" w:space="0" w:color="auto"/>
              <w:right w:val="nil"/>
            </w:tcBorders>
            <w:shd w:val="clear" w:color="auto" w:fill="305496"/>
            <w:noWrap/>
            <w:vAlign w:val="center"/>
            <w:hideMark/>
          </w:tcPr>
          <w:p w14:paraId="30EBDBAC"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552" w:type="dxa"/>
            <w:gridSpan w:val="2"/>
            <w:tcBorders>
              <w:top w:val="single" w:sz="8" w:space="0" w:color="auto"/>
              <w:left w:val="nil"/>
              <w:bottom w:val="nil"/>
              <w:right w:val="nil"/>
            </w:tcBorders>
            <w:shd w:val="clear" w:color="auto" w:fill="969696"/>
            <w:vAlign w:val="center"/>
            <w:hideMark/>
          </w:tcPr>
          <w:p w14:paraId="63572BF3" w14:textId="77777777" w:rsidR="00485073" w:rsidRPr="000E19A1" w:rsidRDefault="00485073">
            <w:pPr>
              <w:spacing w:after="0"/>
              <w:jc w:val="center"/>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2681" w:type="dxa"/>
            <w:gridSpan w:val="8"/>
            <w:tcBorders>
              <w:top w:val="single" w:sz="8" w:space="0" w:color="auto"/>
              <w:left w:val="nil"/>
              <w:bottom w:val="single" w:sz="8" w:space="0" w:color="auto"/>
              <w:right w:val="nil"/>
            </w:tcBorders>
            <w:shd w:val="clear" w:color="auto" w:fill="8EA9DB"/>
            <w:noWrap/>
            <w:vAlign w:val="center"/>
            <w:hideMark/>
          </w:tcPr>
          <w:p w14:paraId="223DFAA5"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845" w:type="dxa"/>
            <w:gridSpan w:val="2"/>
            <w:tcBorders>
              <w:top w:val="single" w:sz="8" w:space="0" w:color="auto"/>
              <w:left w:val="nil"/>
              <w:bottom w:val="nil"/>
              <w:right w:val="nil"/>
            </w:tcBorders>
            <w:shd w:val="clear" w:color="auto" w:fill="8EA9DB"/>
            <w:noWrap/>
            <w:vAlign w:val="center"/>
            <w:hideMark/>
          </w:tcPr>
          <w:p w14:paraId="3EC55EF6"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518" w:type="dxa"/>
            <w:gridSpan w:val="2"/>
            <w:tcBorders>
              <w:top w:val="single" w:sz="8" w:space="0" w:color="auto"/>
              <w:left w:val="nil"/>
              <w:bottom w:val="nil"/>
              <w:right w:val="nil"/>
            </w:tcBorders>
            <w:shd w:val="clear" w:color="auto" w:fill="969696"/>
            <w:vAlign w:val="center"/>
            <w:hideMark/>
          </w:tcPr>
          <w:p w14:paraId="34D8E719" w14:textId="77777777" w:rsidR="00485073" w:rsidRPr="000E19A1" w:rsidRDefault="00485073">
            <w:pPr>
              <w:spacing w:after="0"/>
              <w:jc w:val="center"/>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2779" w:type="dxa"/>
            <w:gridSpan w:val="3"/>
            <w:tcBorders>
              <w:top w:val="single" w:sz="8" w:space="0" w:color="auto"/>
              <w:left w:val="nil"/>
              <w:bottom w:val="single" w:sz="8" w:space="0" w:color="auto"/>
              <w:right w:val="nil"/>
            </w:tcBorders>
            <w:shd w:val="clear" w:color="auto" w:fill="C6E0B4"/>
            <w:noWrap/>
            <w:vAlign w:val="center"/>
            <w:hideMark/>
          </w:tcPr>
          <w:p w14:paraId="00267ADC"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1250" w:type="dxa"/>
            <w:tcBorders>
              <w:top w:val="single" w:sz="8" w:space="0" w:color="auto"/>
              <w:left w:val="nil"/>
              <w:bottom w:val="nil"/>
              <w:right w:val="nil"/>
            </w:tcBorders>
            <w:shd w:val="clear" w:color="auto" w:fill="C6E0B4"/>
            <w:noWrap/>
            <w:vAlign w:val="center"/>
            <w:hideMark/>
          </w:tcPr>
          <w:p w14:paraId="5F43F60E"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451" w:type="dxa"/>
            <w:tcBorders>
              <w:top w:val="single" w:sz="8" w:space="0" w:color="auto"/>
              <w:left w:val="nil"/>
              <w:bottom w:val="nil"/>
              <w:right w:val="single" w:sz="8" w:space="0" w:color="auto"/>
            </w:tcBorders>
            <w:shd w:val="clear" w:color="auto" w:fill="969696"/>
            <w:vAlign w:val="center"/>
            <w:hideMark/>
          </w:tcPr>
          <w:p w14:paraId="4D435067" w14:textId="77777777" w:rsidR="00485073" w:rsidRPr="000E19A1" w:rsidRDefault="00485073">
            <w:pPr>
              <w:spacing w:after="0"/>
              <w:jc w:val="center"/>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3544" w:type="dxa"/>
            <w:gridSpan w:val="5"/>
            <w:tcBorders>
              <w:top w:val="single" w:sz="8" w:space="0" w:color="auto"/>
              <w:left w:val="nil"/>
              <w:bottom w:val="nil"/>
              <w:right w:val="single" w:sz="8" w:space="0" w:color="000000" w:themeColor="text1"/>
            </w:tcBorders>
            <w:shd w:val="clear" w:color="auto" w:fill="DBDBDB"/>
            <w:noWrap/>
            <w:vAlign w:val="center"/>
            <w:hideMark/>
          </w:tcPr>
          <w:p w14:paraId="2A705510"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r>
      <w:tr w:rsidR="00783610" w:rsidRPr="000E19A1" w14:paraId="4B901C1F" w14:textId="77777777" w:rsidTr="00B9546F">
        <w:trPr>
          <w:trHeight w:val="289"/>
        </w:trPr>
        <w:tc>
          <w:tcPr>
            <w:tcW w:w="665" w:type="dxa"/>
            <w:gridSpan w:val="2"/>
            <w:vMerge w:val="restart"/>
            <w:tcBorders>
              <w:top w:val="nil"/>
              <w:left w:val="single" w:sz="8" w:space="0" w:color="auto"/>
              <w:right w:val="nil"/>
            </w:tcBorders>
            <w:noWrap/>
            <w:vAlign w:val="center"/>
            <w:hideMark/>
          </w:tcPr>
          <w:p w14:paraId="5CC731D1" w14:textId="77777777" w:rsidR="00485073" w:rsidRPr="000E19A1" w:rsidRDefault="00485073">
            <w:pPr>
              <w:spacing w:before="0"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No.</w:t>
            </w:r>
          </w:p>
        </w:tc>
        <w:tc>
          <w:tcPr>
            <w:tcW w:w="1174" w:type="dxa"/>
            <w:gridSpan w:val="2"/>
            <w:vMerge w:val="restart"/>
            <w:tcBorders>
              <w:top w:val="nil"/>
              <w:left w:val="nil"/>
              <w:bottom w:val="single" w:sz="8" w:space="0" w:color="000000" w:themeColor="text1"/>
              <w:right w:val="nil"/>
            </w:tcBorders>
            <w:noWrap/>
            <w:vAlign w:val="center"/>
            <w:hideMark/>
          </w:tcPr>
          <w:p w14:paraId="60CEFE88"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Description</w:t>
            </w:r>
          </w:p>
        </w:tc>
        <w:tc>
          <w:tcPr>
            <w:tcW w:w="552" w:type="dxa"/>
            <w:gridSpan w:val="2"/>
            <w:tcBorders>
              <w:top w:val="nil"/>
              <w:left w:val="nil"/>
              <w:bottom w:val="nil"/>
              <w:right w:val="nil"/>
            </w:tcBorders>
            <w:shd w:val="clear" w:color="auto" w:fill="969696"/>
            <w:vAlign w:val="center"/>
            <w:hideMark/>
          </w:tcPr>
          <w:p w14:paraId="00079EEC" w14:textId="77777777" w:rsidR="00485073" w:rsidRPr="000E19A1" w:rsidRDefault="00485073">
            <w:pPr>
              <w:spacing w:after="0"/>
              <w:jc w:val="center"/>
              <w:rPr>
                <w:rFonts w:ascii="Arial" w:eastAsia="Times New Roman" w:hAnsi="Arial" w:cs="Arial"/>
                <w:noProof/>
                <w:color w:val="808080"/>
                <w:szCs w:val="20"/>
                <w:lang w:val="en-IE" w:eastAsia="en-IE"/>
              </w:rPr>
            </w:pPr>
          </w:p>
        </w:tc>
        <w:tc>
          <w:tcPr>
            <w:tcW w:w="855" w:type="dxa"/>
            <w:gridSpan w:val="4"/>
            <w:vMerge w:val="restart"/>
            <w:tcBorders>
              <w:top w:val="nil"/>
              <w:left w:val="single" w:sz="4" w:space="0" w:color="auto"/>
              <w:bottom w:val="single" w:sz="8" w:space="0" w:color="000000" w:themeColor="text1"/>
              <w:right w:val="single" w:sz="4" w:space="0" w:color="auto"/>
            </w:tcBorders>
            <w:noWrap/>
            <w:vAlign w:val="center"/>
            <w:hideMark/>
          </w:tcPr>
          <w:p w14:paraId="3F686C59"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Number (Q)</w:t>
            </w:r>
          </w:p>
        </w:tc>
        <w:tc>
          <w:tcPr>
            <w:tcW w:w="784" w:type="dxa"/>
            <w:gridSpan w:val="3"/>
            <w:vMerge w:val="restart"/>
            <w:tcBorders>
              <w:top w:val="nil"/>
              <w:left w:val="single" w:sz="4" w:space="0" w:color="auto"/>
              <w:bottom w:val="single" w:sz="8" w:space="0" w:color="000000" w:themeColor="text1"/>
              <w:right w:val="single" w:sz="4" w:space="0" w:color="auto"/>
            </w:tcBorders>
            <w:noWrap/>
            <w:vAlign w:val="center"/>
            <w:hideMark/>
          </w:tcPr>
          <w:p w14:paraId="2411570B"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Frequency</w:t>
            </w:r>
          </w:p>
        </w:tc>
        <w:tc>
          <w:tcPr>
            <w:tcW w:w="1042" w:type="dxa"/>
            <w:vMerge w:val="restart"/>
            <w:tcBorders>
              <w:top w:val="nil"/>
              <w:left w:val="single" w:sz="4" w:space="0" w:color="auto"/>
              <w:bottom w:val="single" w:sz="8" w:space="0" w:color="000000" w:themeColor="text1"/>
              <w:right w:val="nil"/>
            </w:tcBorders>
            <w:noWrap/>
            <w:vAlign w:val="center"/>
            <w:hideMark/>
          </w:tcPr>
          <w:p w14:paraId="484517C3"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w:t>
            </w:r>
          </w:p>
        </w:tc>
        <w:tc>
          <w:tcPr>
            <w:tcW w:w="845" w:type="dxa"/>
            <w:gridSpan w:val="2"/>
            <w:vMerge w:val="restart"/>
            <w:tcBorders>
              <w:top w:val="single" w:sz="8" w:space="0" w:color="auto"/>
              <w:left w:val="single" w:sz="4" w:space="0" w:color="auto"/>
              <w:bottom w:val="single" w:sz="8" w:space="0" w:color="000000" w:themeColor="text1"/>
              <w:right w:val="nil"/>
            </w:tcBorders>
            <w:noWrap/>
            <w:vAlign w:val="center"/>
            <w:hideMark/>
          </w:tcPr>
          <w:p w14:paraId="1DAD7AB8"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Explanation</w:t>
            </w:r>
          </w:p>
        </w:tc>
        <w:tc>
          <w:tcPr>
            <w:tcW w:w="518" w:type="dxa"/>
            <w:gridSpan w:val="2"/>
            <w:tcBorders>
              <w:top w:val="nil"/>
              <w:left w:val="nil"/>
              <w:bottom w:val="nil"/>
              <w:right w:val="nil"/>
            </w:tcBorders>
            <w:shd w:val="clear" w:color="auto" w:fill="969696"/>
            <w:noWrap/>
            <w:vAlign w:val="center"/>
            <w:hideMark/>
          </w:tcPr>
          <w:p w14:paraId="2349A762" w14:textId="77777777" w:rsidR="00485073" w:rsidRPr="000E19A1" w:rsidRDefault="00485073">
            <w:pPr>
              <w:spacing w:after="0"/>
              <w:jc w:val="center"/>
              <w:rPr>
                <w:rFonts w:ascii="Calibri" w:eastAsia="Times New Roman" w:hAnsi="Calibri" w:cs="Calibri"/>
                <w:noProof/>
                <w:color w:val="000000"/>
                <w:lang w:val="en-IE" w:eastAsia="en-IE"/>
              </w:rPr>
            </w:pPr>
          </w:p>
        </w:tc>
        <w:tc>
          <w:tcPr>
            <w:tcW w:w="936" w:type="dxa"/>
            <w:vMerge w:val="restart"/>
            <w:tcBorders>
              <w:top w:val="nil"/>
              <w:left w:val="single" w:sz="4" w:space="0" w:color="auto"/>
              <w:bottom w:val="single" w:sz="8" w:space="0" w:color="000000" w:themeColor="text1"/>
              <w:right w:val="single" w:sz="4" w:space="0" w:color="auto"/>
            </w:tcBorders>
            <w:vAlign w:val="center"/>
            <w:hideMark/>
          </w:tcPr>
          <w:p w14:paraId="5BA71977"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Hourly rate</w:t>
            </w:r>
            <w:r w:rsidRPr="000E19A1">
              <w:rPr>
                <w:rFonts w:ascii="Arial" w:eastAsia="Times New Roman" w:hAnsi="Arial" w:cs="Arial"/>
                <w:noProof/>
                <w:szCs w:val="20"/>
                <w:lang w:val="en-IE" w:eastAsia="en-IE"/>
              </w:rPr>
              <w:br/>
              <w:t>(euro)</w:t>
            </w:r>
          </w:p>
        </w:tc>
        <w:tc>
          <w:tcPr>
            <w:tcW w:w="709" w:type="dxa"/>
            <w:vMerge w:val="restart"/>
            <w:tcBorders>
              <w:top w:val="nil"/>
              <w:left w:val="single" w:sz="4" w:space="0" w:color="auto"/>
              <w:bottom w:val="single" w:sz="8" w:space="0" w:color="000000" w:themeColor="text1"/>
              <w:right w:val="single" w:sz="4" w:space="0" w:color="auto"/>
            </w:tcBorders>
            <w:vAlign w:val="center"/>
            <w:hideMark/>
          </w:tcPr>
          <w:p w14:paraId="3488D348"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xml:space="preserve">Time spent </w:t>
            </w:r>
            <w:r w:rsidRPr="000E19A1">
              <w:rPr>
                <w:rFonts w:ascii="Arial" w:eastAsia="Times New Roman" w:hAnsi="Arial" w:cs="Arial"/>
                <w:noProof/>
                <w:szCs w:val="20"/>
                <w:lang w:val="en-IE" w:eastAsia="en-IE"/>
              </w:rPr>
              <w:br/>
              <w:t>(hours)</w:t>
            </w:r>
          </w:p>
        </w:tc>
        <w:tc>
          <w:tcPr>
            <w:tcW w:w="1134" w:type="dxa"/>
            <w:vMerge w:val="restart"/>
            <w:tcBorders>
              <w:top w:val="nil"/>
              <w:left w:val="single" w:sz="4" w:space="0" w:color="auto"/>
              <w:bottom w:val="single" w:sz="8" w:space="0" w:color="000000" w:themeColor="text1"/>
              <w:right w:val="nil"/>
            </w:tcBorders>
            <w:vAlign w:val="center"/>
            <w:hideMark/>
          </w:tcPr>
          <w:p w14:paraId="001E3DF6"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Notary and professional adviser costs (euro)</w:t>
            </w:r>
          </w:p>
        </w:tc>
        <w:tc>
          <w:tcPr>
            <w:tcW w:w="1250" w:type="dxa"/>
            <w:vMerge w:val="restart"/>
            <w:tcBorders>
              <w:top w:val="single" w:sz="8" w:space="0" w:color="auto"/>
              <w:left w:val="single" w:sz="4" w:space="0" w:color="auto"/>
              <w:bottom w:val="single" w:sz="8" w:space="0" w:color="000000" w:themeColor="text1"/>
              <w:right w:val="nil"/>
            </w:tcBorders>
            <w:vAlign w:val="center"/>
            <w:hideMark/>
          </w:tcPr>
          <w:p w14:paraId="233BC0D0"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Explanation</w:t>
            </w:r>
          </w:p>
        </w:tc>
        <w:tc>
          <w:tcPr>
            <w:tcW w:w="451" w:type="dxa"/>
            <w:tcBorders>
              <w:top w:val="nil"/>
              <w:left w:val="nil"/>
              <w:bottom w:val="nil"/>
              <w:right w:val="nil"/>
            </w:tcBorders>
            <w:shd w:val="clear" w:color="auto" w:fill="969696"/>
            <w:noWrap/>
            <w:vAlign w:val="center"/>
            <w:hideMark/>
          </w:tcPr>
          <w:p w14:paraId="4660B91D" w14:textId="77777777" w:rsidR="00485073" w:rsidRPr="000E19A1" w:rsidRDefault="00485073">
            <w:pPr>
              <w:spacing w:after="0"/>
              <w:jc w:val="center"/>
              <w:rPr>
                <w:rFonts w:ascii="Arial" w:eastAsia="Times New Roman" w:hAnsi="Arial" w:cs="Arial"/>
                <w:noProof/>
                <w:szCs w:val="20"/>
                <w:lang w:val="en-IE" w:eastAsia="en-IE"/>
              </w:rPr>
            </w:pPr>
          </w:p>
        </w:tc>
        <w:tc>
          <w:tcPr>
            <w:tcW w:w="3544" w:type="dxa"/>
            <w:gridSpan w:val="5"/>
            <w:tcBorders>
              <w:top w:val="single" w:sz="4" w:space="0" w:color="auto"/>
              <w:left w:val="single" w:sz="4" w:space="0" w:color="auto"/>
              <w:bottom w:val="single" w:sz="4" w:space="0" w:color="auto"/>
              <w:right w:val="single" w:sz="4" w:space="0" w:color="auto"/>
            </w:tcBorders>
            <w:noWrap/>
            <w:vAlign w:val="center"/>
            <w:hideMark/>
          </w:tcPr>
          <w:p w14:paraId="07AA75B0"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Administrative burden reduction</w:t>
            </w:r>
          </w:p>
        </w:tc>
      </w:tr>
      <w:tr w:rsidR="00401FEA" w:rsidRPr="000E19A1" w14:paraId="0FCDFBF7" w14:textId="77777777" w:rsidTr="00B9546F">
        <w:trPr>
          <w:trHeight w:val="529"/>
        </w:trPr>
        <w:tc>
          <w:tcPr>
            <w:tcW w:w="665" w:type="dxa"/>
            <w:gridSpan w:val="2"/>
            <w:vMerge/>
            <w:noWrap/>
            <w:vAlign w:val="center"/>
            <w:hideMark/>
          </w:tcPr>
          <w:p w14:paraId="701A985D" w14:textId="77777777" w:rsidR="00485073" w:rsidRPr="000E19A1" w:rsidRDefault="00485073">
            <w:pPr>
              <w:spacing w:after="0"/>
              <w:jc w:val="center"/>
              <w:rPr>
                <w:rFonts w:ascii="Arial" w:eastAsia="Times New Roman" w:hAnsi="Arial" w:cs="Arial"/>
                <w:noProof/>
                <w:szCs w:val="20"/>
                <w:lang w:val="en-IE" w:eastAsia="en-IE"/>
              </w:rPr>
            </w:pPr>
          </w:p>
        </w:tc>
        <w:tc>
          <w:tcPr>
            <w:tcW w:w="1174" w:type="dxa"/>
            <w:gridSpan w:val="2"/>
            <w:vMerge/>
            <w:vAlign w:val="center"/>
            <w:hideMark/>
          </w:tcPr>
          <w:p w14:paraId="47541734" w14:textId="77777777" w:rsidR="00485073" w:rsidRPr="000E19A1" w:rsidRDefault="00485073">
            <w:pPr>
              <w:spacing w:after="0"/>
              <w:rPr>
                <w:rFonts w:ascii="Arial" w:eastAsia="Times New Roman" w:hAnsi="Arial" w:cs="Arial"/>
                <w:noProof/>
                <w:szCs w:val="20"/>
                <w:lang w:val="en-IE" w:eastAsia="en-IE"/>
              </w:rPr>
            </w:pPr>
          </w:p>
        </w:tc>
        <w:tc>
          <w:tcPr>
            <w:tcW w:w="552" w:type="dxa"/>
            <w:gridSpan w:val="2"/>
            <w:tcBorders>
              <w:top w:val="nil"/>
              <w:left w:val="nil"/>
              <w:bottom w:val="nil"/>
              <w:right w:val="nil"/>
            </w:tcBorders>
            <w:shd w:val="clear" w:color="auto" w:fill="969696"/>
            <w:vAlign w:val="center"/>
            <w:hideMark/>
          </w:tcPr>
          <w:p w14:paraId="000B03A1" w14:textId="77777777" w:rsidR="00485073" w:rsidRPr="000E19A1" w:rsidRDefault="00485073">
            <w:pPr>
              <w:spacing w:after="0"/>
              <w:jc w:val="center"/>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vMerge/>
            <w:vAlign w:val="center"/>
            <w:hideMark/>
          </w:tcPr>
          <w:p w14:paraId="4196F3E1" w14:textId="77777777" w:rsidR="00485073" w:rsidRPr="000E19A1" w:rsidRDefault="00485073">
            <w:pPr>
              <w:spacing w:after="0"/>
              <w:rPr>
                <w:rFonts w:ascii="Arial" w:eastAsia="Times New Roman" w:hAnsi="Arial" w:cs="Arial"/>
                <w:noProof/>
                <w:szCs w:val="20"/>
                <w:lang w:val="en-IE" w:eastAsia="en-IE"/>
              </w:rPr>
            </w:pPr>
          </w:p>
        </w:tc>
        <w:tc>
          <w:tcPr>
            <w:tcW w:w="784" w:type="dxa"/>
            <w:gridSpan w:val="3"/>
            <w:vMerge/>
            <w:vAlign w:val="center"/>
            <w:hideMark/>
          </w:tcPr>
          <w:p w14:paraId="5716E803" w14:textId="77777777" w:rsidR="00485073" w:rsidRPr="000E19A1" w:rsidRDefault="00485073">
            <w:pPr>
              <w:spacing w:after="0"/>
              <w:rPr>
                <w:rFonts w:ascii="Arial" w:eastAsia="Times New Roman" w:hAnsi="Arial" w:cs="Arial"/>
                <w:noProof/>
                <w:szCs w:val="20"/>
                <w:lang w:val="en-IE" w:eastAsia="en-IE"/>
              </w:rPr>
            </w:pPr>
          </w:p>
        </w:tc>
        <w:tc>
          <w:tcPr>
            <w:tcW w:w="1042" w:type="dxa"/>
            <w:vMerge/>
            <w:vAlign w:val="center"/>
            <w:hideMark/>
          </w:tcPr>
          <w:p w14:paraId="24CFAA6F" w14:textId="77777777" w:rsidR="00485073" w:rsidRPr="000E19A1" w:rsidRDefault="00485073">
            <w:pPr>
              <w:spacing w:after="0"/>
              <w:rPr>
                <w:rFonts w:ascii="Arial" w:eastAsia="Times New Roman" w:hAnsi="Arial" w:cs="Arial"/>
                <w:noProof/>
                <w:szCs w:val="20"/>
                <w:lang w:val="en-IE" w:eastAsia="en-IE"/>
              </w:rPr>
            </w:pPr>
          </w:p>
        </w:tc>
        <w:tc>
          <w:tcPr>
            <w:tcW w:w="845" w:type="dxa"/>
            <w:gridSpan w:val="2"/>
            <w:vMerge/>
            <w:vAlign w:val="center"/>
            <w:hideMark/>
          </w:tcPr>
          <w:p w14:paraId="4DCA3B04" w14:textId="77777777" w:rsidR="00485073" w:rsidRPr="000E19A1" w:rsidRDefault="00485073">
            <w:pPr>
              <w:spacing w:after="0"/>
              <w:rPr>
                <w:rFonts w:ascii="Arial" w:eastAsia="Times New Roman" w:hAnsi="Arial" w:cs="Arial"/>
                <w:noProof/>
                <w:szCs w:val="20"/>
                <w:lang w:val="en-IE" w:eastAsia="en-IE"/>
              </w:rPr>
            </w:pPr>
          </w:p>
        </w:tc>
        <w:tc>
          <w:tcPr>
            <w:tcW w:w="518" w:type="dxa"/>
            <w:gridSpan w:val="2"/>
            <w:tcBorders>
              <w:top w:val="nil"/>
              <w:left w:val="nil"/>
              <w:bottom w:val="nil"/>
              <w:right w:val="nil"/>
            </w:tcBorders>
            <w:shd w:val="clear" w:color="auto" w:fill="969696"/>
            <w:vAlign w:val="center"/>
            <w:hideMark/>
          </w:tcPr>
          <w:p w14:paraId="6246E85C"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vMerge/>
            <w:vAlign w:val="center"/>
            <w:hideMark/>
          </w:tcPr>
          <w:p w14:paraId="554CFE71" w14:textId="77777777" w:rsidR="00485073" w:rsidRPr="000E19A1" w:rsidRDefault="00485073">
            <w:pPr>
              <w:spacing w:after="0"/>
              <w:rPr>
                <w:rFonts w:ascii="Arial" w:eastAsia="Times New Roman" w:hAnsi="Arial" w:cs="Arial"/>
                <w:noProof/>
                <w:szCs w:val="20"/>
                <w:lang w:val="en-IE" w:eastAsia="en-IE"/>
              </w:rPr>
            </w:pPr>
          </w:p>
        </w:tc>
        <w:tc>
          <w:tcPr>
            <w:tcW w:w="709" w:type="dxa"/>
            <w:vMerge/>
            <w:vAlign w:val="center"/>
            <w:hideMark/>
          </w:tcPr>
          <w:p w14:paraId="05CA19E8" w14:textId="77777777" w:rsidR="00485073" w:rsidRPr="000E19A1" w:rsidRDefault="00485073">
            <w:pPr>
              <w:spacing w:after="0"/>
              <w:rPr>
                <w:rFonts w:ascii="Arial" w:eastAsia="Times New Roman" w:hAnsi="Arial" w:cs="Arial"/>
                <w:noProof/>
                <w:szCs w:val="20"/>
                <w:lang w:val="en-IE" w:eastAsia="en-IE"/>
              </w:rPr>
            </w:pPr>
          </w:p>
        </w:tc>
        <w:tc>
          <w:tcPr>
            <w:tcW w:w="1134" w:type="dxa"/>
            <w:vMerge/>
            <w:vAlign w:val="center"/>
            <w:hideMark/>
          </w:tcPr>
          <w:p w14:paraId="35509F7D" w14:textId="77777777" w:rsidR="00485073" w:rsidRPr="000E19A1" w:rsidRDefault="00485073">
            <w:pPr>
              <w:spacing w:after="0"/>
              <w:rPr>
                <w:rFonts w:ascii="Arial" w:eastAsia="Times New Roman" w:hAnsi="Arial" w:cs="Arial"/>
                <w:noProof/>
                <w:szCs w:val="20"/>
                <w:lang w:val="en-IE" w:eastAsia="en-IE"/>
              </w:rPr>
            </w:pPr>
          </w:p>
        </w:tc>
        <w:tc>
          <w:tcPr>
            <w:tcW w:w="1250" w:type="dxa"/>
            <w:vMerge/>
            <w:vAlign w:val="center"/>
            <w:hideMark/>
          </w:tcPr>
          <w:p w14:paraId="71035FD0" w14:textId="77777777" w:rsidR="00485073" w:rsidRPr="000E19A1" w:rsidRDefault="00485073">
            <w:pPr>
              <w:spacing w:after="0"/>
              <w:rPr>
                <w:rFonts w:ascii="Arial" w:eastAsia="Times New Roman" w:hAnsi="Arial" w:cs="Arial"/>
                <w:noProof/>
                <w:szCs w:val="20"/>
                <w:lang w:val="en-IE" w:eastAsia="en-IE"/>
              </w:rPr>
            </w:pPr>
          </w:p>
        </w:tc>
        <w:tc>
          <w:tcPr>
            <w:tcW w:w="451" w:type="dxa"/>
            <w:tcBorders>
              <w:top w:val="nil"/>
              <w:left w:val="nil"/>
              <w:bottom w:val="nil"/>
              <w:right w:val="nil"/>
            </w:tcBorders>
            <w:shd w:val="clear" w:color="auto" w:fill="969696"/>
            <w:noWrap/>
            <w:vAlign w:val="center"/>
            <w:hideMark/>
          </w:tcPr>
          <w:p w14:paraId="297FB3DD"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276" w:type="dxa"/>
            <w:gridSpan w:val="2"/>
            <w:tcBorders>
              <w:top w:val="nil"/>
              <w:left w:val="single" w:sz="4" w:space="0" w:color="auto"/>
              <w:bottom w:val="single" w:sz="4" w:space="0" w:color="auto"/>
              <w:right w:val="single" w:sz="4" w:space="0" w:color="auto"/>
            </w:tcBorders>
            <w:noWrap/>
            <w:vAlign w:val="center"/>
            <w:hideMark/>
          </w:tcPr>
          <w:p w14:paraId="2323DE28"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Cost savings per company</w:t>
            </w:r>
          </w:p>
        </w:tc>
        <w:tc>
          <w:tcPr>
            <w:tcW w:w="1268" w:type="dxa"/>
            <w:gridSpan w:val="2"/>
            <w:tcBorders>
              <w:top w:val="nil"/>
              <w:left w:val="nil"/>
              <w:bottom w:val="single" w:sz="4" w:space="0" w:color="auto"/>
              <w:right w:val="single" w:sz="4" w:space="0" w:color="auto"/>
            </w:tcBorders>
            <w:noWrap/>
            <w:vAlign w:val="center"/>
            <w:hideMark/>
          </w:tcPr>
          <w:p w14:paraId="320E7934"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Number of companies</w:t>
            </w:r>
          </w:p>
        </w:tc>
        <w:tc>
          <w:tcPr>
            <w:tcW w:w="1000" w:type="dxa"/>
            <w:tcBorders>
              <w:top w:val="nil"/>
              <w:left w:val="nil"/>
              <w:bottom w:val="single" w:sz="4" w:space="0" w:color="auto"/>
              <w:right w:val="single" w:sz="4" w:space="0" w:color="auto"/>
            </w:tcBorders>
            <w:noWrap/>
            <w:vAlign w:val="center"/>
            <w:hideMark/>
          </w:tcPr>
          <w:p w14:paraId="704C7D1B"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Total benefit</w:t>
            </w:r>
          </w:p>
        </w:tc>
      </w:tr>
      <w:tr w:rsidR="00783610" w:rsidRPr="000E19A1" w14:paraId="05B88AD0" w14:textId="77777777" w:rsidTr="00B9546F">
        <w:trPr>
          <w:trHeight w:val="300"/>
        </w:trPr>
        <w:tc>
          <w:tcPr>
            <w:tcW w:w="332" w:type="dxa"/>
            <w:tcBorders>
              <w:top w:val="nil"/>
              <w:left w:val="single" w:sz="8" w:space="0" w:color="auto"/>
              <w:bottom w:val="single" w:sz="8" w:space="0" w:color="auto"/>
              <w:right w:val="nil"/>
            </w:tcBorders>
            <w:shd w:val="clear" w:color="auto" w:fill="305496"/>
            <w:noWrap/>
            <w:vAlign w:val="center"/>
            <w:hideMark/>
          </w:tcPr>
          <w:p w14:paraId="5BEB4D77"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333" w:type="dxa"/>
            <w:tcBorders>
              <w:top w:val="nil"/>
              <w:left w:val="nil"/>
              <w:bottom w:val="single" w:sz="8" w:space="0" w:color="auto"/>
              <w:right w:val="nil"/>
            </w:tcBorders>
            <w:shd w:val="clear" w:color="auto" w:fill="305496"/>
            <w:noWrap/>
            <w:vAlign w:val="center"/>
            <w:hideMark/>
          </w:tcPr>
          <w:p w14:paraId="6D07A6CB"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174" w:type="dxa"/>
            <w:gridSpan w:val="2"/>
            <w:tcBorders>
              <w:top w:val="nil"/>
              <w:left w:val="nil"/>
              <w:bottom w:val="single" w:sz="8" w:space="0" w:color="auto"/>
              <w:right w:val="nil"/>
            </w:tcBorders>
            <w:shd w:val="clear" w:color="auto" w:fill="305496"/>
            <w:noWrap/>
            <w:vAlign w:val="center"/>
            <w:hideMark/>
          </w:tcPr>
          <w:p w14:paraId="5996AE69"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552" w:type="dxa"/>
            <w:gridSpan w:val="2"/>
            <w:tcBorders>
              <w:top w:val="nil"/>
              <w:left w:val="nil"/>
              <w:bottom w:val="nil"/>
              <w:right w:val="nil"/>
            </w:tcBorders>
            <w:shd w:val="clear" w:color="auto" w:fill="969696"/>
            <w:vAlign w:val="center"/>
            <w:hideMark/>
          </w:tcPr>
          <w:p w14:paraId="04ADC4F2"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tcBorders>
              <w:top w:val="nil"/>
              <w:left w:val="single" w:sz="4" w:space="0" w:color="auto"/>
              <w:bottom w:val="single" w:sz="8" w:space="0" w:color="auto"/>
              <w:right w:val="nil"/>
            </w:tcBorders>
            <w:shd w:val="clear" w:color="auto" w:fill="8EA9DB"/>
            <w:noWrap/>
            <w:vAlign w:val="center"/>
            <w:hideMark/>
          </w:tcPr>
          <w:p w14:paraId="19692061"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784" w:type="dxa"/>
            <w:gridSpan w:val="3"/>
            <w:tcBorders>
              <w:top w:val="nil"/>
              <w:left w:val="single" w:sz="4" w:space="0" w:color="auto"/>
              <w:bottom w:val="single" w:sz="8" w:space="0" w:color="auto"/>
              <w:right w:val="nil"/>
            </w:tcBorders>
            <w:shd w:val="clear" w:color="auto" w:fill="8EA9DB"/>
            <w:noWrap/>
            <w:vAlign w:val="center"/>
            <w:hideMark/>
          </w:tcPr>
          <w:p w14:paraId="710BE002"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042" w:type="dxa"/>
            <w:tcBorders>
              <w:top w:val="nil"/>
              <w:left w:val="single" w:sz="4" w:space="0" w:color="auto"/>
              <w:bottom w:val="single" w:sz="8" w:space="0" w:color="auto"/>
              <w:right w:val="nil"/>
            </w:tcBorders>
            <w:shd w:val="clear" w:color="auto" w:fill="8EA9DB"/>
            <w:noWrap/>
            <w:vAlign w:val="center"/>
            <w:hideMark/>
          </w:tcPr>
          <w:p w14:paraId="6F9DA476"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845" w:type="dxa"/>
            <w:gridSpan w:val="2"/>
            <w:tcBorders>
              <w:top w:val="nil"/>
              <w:left w:val="single" w:sz="4" w:space="0" w:color="auto"/>
              <w:bottom w:val="single" w:sz="8" w:space="0" w:color="auto"/>
              <w:right w:val="nil"/>
            </w:tcBorders>
            <w:shd w:val="clear" w:color="auto" w:fill="8EA9DB"/>
            <w:noWrap/>
            <w:vAlign w:val="center"/>
            <w:hideMark/>
          </w:tcPr>
          <w:p w14:paraId="0DBB26E6"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518" w:type="dxa"/>
            <w:gridSpan w:val="2"/>
            <w:tcBorders>
              <w:top w:val="nil"/>
              <w:left w:val="nil"/>
              <w:bottom w:val="nil"/>
              <w:right w:val="nil"/>
            </w:tcBorders>
            <w:shd w:val="clear" w:color="auto" w:fill="969696"/>
            <w:noWrap/>
            <w:vAlign w:val="center"/>
            <w:hideMark/>
          </w:tcPr>
          <w:p w14:paraId="5FD00BE9"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nil"/>
              <w:left w:val="single" w:sz="4" w:space="0" w:color="auto"/>
              <w:bottom w:val="single" w:sz="8" w:space="0" w:color="auto"/>
              <w:right w:val="nil"/>
            </w:tcBorders>
            <w:shd w:val="clear" w:color="auto" w:fill="C6E0B4"/>
            <w:noWrap/>
            <w:vAlign w:val="center"/>
            <w:hideMark/>
          </w:tcPr>
          <w:p w14:paraId="4B65D8FD"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709" w:type="dxa"/>
            <w:tcBorders>
              <w:top w:val="nil"/>
              <w:left w:val="single" w:sz="4" w:space="0" w:color="auto"/>
              <w:bottom w:val="single" w:sz="8" w:space="0" w:color="auto"/>
              <w:right w:val="nil"/>
            </w:tcBorders>
            <w:shd w:val="clear" w:color="auto" w:fill="C6E0B4"/>
            <w:noWrap/>
            <w:vAlign w:val="center"/>
            <w:hideMark/>
          </w:tcPr>
          <w:p w14:paraId="1D42389B"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134" w:type="dxa"/>
            <w:tcBorders>
              <w:top w:val="nil"/>
              <w:left w:val="single" w:sz="4" w:space="0" w:color="auto"/>
              <w:bottom w:val="single" w:sz="8" w:space="0" w:color="auto"/>
              <w:right w:val="nil"/>
            </w:tcBorders>
            <w:shd w:val="clear" w:color="auto" w:fill="C6E0B4"/>
            <w:vAlign w:val="center"/>
            <w:hideMark/>
          </w:tcPr>
          <w:p w14:paraId="10824BDB"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1250" w:type="dxa"/>
            <w:tcBorders>
              <w:top w:val="nil"/>
              <w:left w:val="single" w:sz="4" w:space="0" w:color="auto"/>
              <w:bottom w:val="single" w:sz="8" w:space="0" w:color="auto"/>
              <w:right w:val="nil"/>
            </w:tcBorders>
            <w:shd w:val="clear" w:color="auto" w:fill="C6E0B4"/>
            <w:vAlign w:val="center"/>
            <w:hideMark/>
          </w:tcPr>
          <w:p w14:paraId="71A4D737"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451" w:type="dxa"/>
            <w:tcBorders>
              <w:top w:val="nil"/>
              <w:left w:val="nil"/>
              <w:bottom w:val="nil"/>
              <w:right w:val="nil"/>
            </w:tcBorders>
            <w:shd w:val="clear" w:color="auto" w:fill="969696"/>
            <w:noWrap/>
            <w:vAlign w:val="center"/>
            <w:hideMark/>
          </w:tcPr>
          <w:p w14:paraId="5BE13DD5"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2544" w:type="dxa"/>
            <w:gridSpan w:val="4"/>
            <w:tcBorders>
              <w:top w:val="nil"/>
              <w:left w:val="single" w:sz="8" w:space="0" w:color="auto"/>
              <w:bottom w:val="single" w:sz="8" w:space="0" w:color="auto"/>
              <w:right w:val="nil"/>
            </w:tcBorders>
            <w:shd w:val="clear" w:color="auto" w:fill="DBDBDB"/>
            <w:noWrap/>
            <w:vAlign w:val="center"/>
            <w:hideMark/>
          </w:tcPr>
          <w:p w14:paraId="6B0E0119" w14:textId="77777777" w:rsidR="00485073" w:rsidRPr="000E19A1" w:rsidRDefault="00485073">
            <w:pPr>
              <w:spacing w:after="0"/>
              <w:jc w:val="center"/>
              <w:rPr>
                <w:rFonts w:ascii="Arial" w:eastAsia="Times New Roman" w:hAnsi="Arial" w:cs="Arial"/>
                <w:b/>
                <w:bCs/>
                <w:noProof/>
                <w:szCs w:val="20"/>
                <w:lang w:val="en-IE" w:eastAsia="en-IE"/>
              </w:rPr>
            </w:pPr>
            <w:r w:rsidRPr="000E19A1">
              <w:rPr>
                <w:rFonts w:ascii="Arial" w:eastAsia="Times New Roman" w:hAnsi="Arial" w:cs="Arial"/>
                <w:b/>
                <w:bCs/>
                <w:noProof/>
                <w:szCs w:val="20"/>
                <w:lang w:val="en-IE" w:eastAsia="en-IE"/>
              </w:rPr>
              <w:t> </w:t>
            </w:r>
          </w:p>
        </w:tc>
        <w:tc>
          <w:tcPr>
            <w:tcW w:w="1000" w:type="dxa"/>
            <w:tcBorders>
              <w:top w:val="nil"/>
              <w:left w:val="single" w:sz="8" w:space="0" w:color="auto"/>
              <w:bottom w:val="single" w:sz="8" w:space="0" w:color="auto"/>
              <w:right w:val="single" w:sz="8" w:space="0" w:color="auto"/>
            </w:tcBorders>
            <w:shd w:val="clear" w:color="auto" w:fill="DBDBDB"/>
            <w:noWrap/>
            <w:vAlign w:val="center"/>
            <w:hideMark/>
          </w:tcPr>
          <w:p w14:paraId="134D0B6E" w14:textId="77777777" w:rsidR="00485073" w:rsidRPr="000E19A1" w:rsidRDefault="00485073">
            <w:pPr>
              <w:spacing w:after="0"/>
              <w:jc w:val="center"/>
              <w:rPr>
                <w:rFonts w:ascii="Arial" w:eastAsia="Times New Roman" w:hAnsi="Arial" w:cs="Arial"/>
                <w:b/>
                <w:bCs/>
                <w:noProof/>
                <w:szCs w:val="20"/>
                <w:lang w:val="en-IE" w:eastAsia="en-IE"/>
              </w:rPr>
            </w:pPr>
            <w:r w:rsidRPr="000E19A1">
              <w:rPr>
                <w:rFonts w:ascii="Arial" w:eastAsia="Times New Roman" w:hAnsi="Arial" w:cs="Arial"/>
                <w:b/>
                <w:bCs/>
                <w:noProof/>
                <w:szCs w:val="20"/>
                <w:lang w:val="en-IE" w:eastAsia="en-IE"/>
              </w:rPr>
              <w:t> </w:t>
            </w:r>
          </w:p>
        </w:tc>
      </w:tr>
      <w:tr w:rsidR="00401FEA" w:rsidRPr="000E19A1" w14:paraId="683A760F" w14:textId="77777777" w:rsidTr="00B9546F">
        <w:trPr>
          <w:trHeight w:val="300"/>
        </w:trPr>
        <w:tc>
          <w:tcPr>
            <w:tcW w:w="1839" w:type="dxa"/>
            <w:gridSpan w:val="4"/>
            <w:tcBorders>
              <w:top w:val="single" w:sz="8" w:space="0" w:color="auto"/>
              <w:left w:val="single" w:sz="8" w:space="0" w:color="auto"/>
              <w:bottom w:val="single" w:sz="8" w:space="0" w:color="auto"/>
              <w:right w:val="nil"/>
            </w:tcBorders>
            <w:shd w:val="clear" w:color="auto" w:fill="FFFF00"/>
            <w:noWrap/>
            <w:vAlign w:val="center"/>
            <w:hideMark/>
          </w:tcPr>
          <w:p w14:paraId="276D2730" w14:textId="7D533A21" w:rsidR="00485073" w:rsidRPr="000E19A1" w:rsidRDefault="00BD159A">
            <w:pPr>
              <w:spacing w:after="0"/>
              <w:rPr>
                <w:rFonts w:ascii="Arial" w:eastAsia="Times New Roman" w:hAnsi="Arial" w:cs="Arial"/>
                <w:noProof/>
                <w:szCs w:val="20"/>
                <w:lang w:val="en-IE" w:eastAsia="en-IE"/>
              </w:rPr>
            </w:pPr>
            <w:r w:rsidRPr="000E19A1">
              <w:rPr>
                <w:rFonts w:ascii="Arial" w:eastAsia="Times New Roman" w:hAnsi="Arial" w:cs="Arial"/>
                <w:b/>
                <w:bCs/>
                <w:noProof/>
                <w:szCs w:val="20"/>
                <w:lang w:val="en-IE" w:eastAsia="en-IE"/>
              </w:rPr>
              <w:t>PO 6a</w:t>
            </w:r>
            <w:r w:rsidR="00485073" w:rsidRPr="000E19A1">
              <w:rPr>
                <w:rFonts w:ascii="Arial" w:eastAsia="Times New Roman" w:hAnsi="Arial" w:cs="Arial"/>
                <w:noProof/>
                <w:szCs w:val="20"/>
                <w:lang w:val="en-IE" w:eastAsia="en-IE"/>
              </w:rPr>
              <w:t> </w:t>
            </w:r>
          </w:p>
        </w:tc>
        <w:tc>
          <w:tcPr>
            <w:tcW w:w="543" w:type="dxa"/>
            <w:tcBorders>
              <w:top w:val="nil"/>
              <w:left w:val="nil"/>
              <w:bottom w:val="nil"/>
              <w:right w:val="nil"/>
            </w:tcBorders>
            <w:shd w:val="clear" w:color="auto" w:fill="969696"/>
            <w:vAlign w:val="center"/>
            <w:hideMark/>
          </w:tcPr>
          <w:p w14:paraId="21851BAE"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64" w:type="dxa"/>
            <w:gridSpan w:val="5"/>
            <w:tcBorders>
              <w:top w:val="nil"/>
              <w:left w:val="single" w:sz="4" w:space="0" w:color="auto"/>
              <w:bottom w:val="nil"/>
              <w:right w:val="nil"/>
            </w:tcBorders>
            <w:noWrap/>
            <w:vAlign w:val="center"/>
            <w:hideMark/>
          </w:tcPr>
          <w:p w14:paraId="0A83A161"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784" w:type="dxa"/>
            <w:gridSpan w:val="3"/>
            <w:tcBorders>
              <w:top w:val="nil"/>
              <w:left w:val="single" w:sz="4" w:space="0" w:color="auto"/>
              <w:bottom w:val="nil"/>
              <w:right w:val="nil"/>
            </w:tcBorders>
            <w:noWrap/>
            <w:vAlign w:val="center"/>
            <w:hideMark/>
          </w:tcPr>
          <w:p w14:paraId="76D2BE6E"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042" w:type="dxa"/>
            <w:tcBorders>
              <w:top w:val="nil"/>
              <w:left w:val="single" w:sz="4" w:space="0" w:color="auto"/>
              <w:bottom w:val="nil"/>
              <w:right w:val="nil"/>
            </w:tcBorders>
            <w:noWrap/>
            <w:vAlign w:val="center"/>
            <w:hideMark/>
          </w:tcPr>
          <w:p w14:paraId="0DE08B02"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845" w:type="dxa"/>
            <w:gridSpan w:val="2"/>
            <w:tcBorders>
              <w:top w:val="nil"/>
              <w:left w:val="single" w:sz="4" w:space="0" w:color="auto"/>
              <w:bottom w:val="nil"/>
              <w:right w:val="nil"/>
            </w:tcBorders>
            <w:noWrap/>
            <w:vAlign w:val="center"/>
            <w:hideMark/>
          </w:tcPr>
          <w:p w14:paraId="7A4187BE"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518" w:type="dxa"/>
            <w:gridSpan w:val="2"/>
            <w:tcBorders>
              <w:top w:val="nil"/>
              <w:left w:val="nil"/>
              <w:bottom w:val="nil"/>
              <w:right w:val="nil"/>
            </w:tcBorders>
            <w:shd w:val="clear" w:color="auto" w:fill="969696"/>
            <w:noWrap/>
            <w:vAlign w:val="center"/>
            <w:hideMark/>
          </w:tcPr>
          <w:p w14:paraId="3F0170D2"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nil"/>
              <w:left w:val="single" w:sz="4" w:space="0" w:color="auto"/>
              <w:bottom w:val="nil"/>
              <w:right w:val="nil"/>
            </w:tcBorders>
            <w:noWrap/>
            <w:vAlign w:val="center"/>
            <w:hideMark/>
          </w:tcPr>
          <w:p w14:paraId="3551F83D"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709" w:type="dxa"/>
            <w:tcBorders>
              <w:top w:val="nil"/>
              <w:left w:val="single" w:sz="4" w:space="0" w:color="auto"/>
              <w:bottom w:val="nil"/>
              <w:right w:val="nil"/>
            </w:tcBorders>
            <w:shd w:val="clear" w:color="auto" w:fill="FFFFFF" w:themeFill="background1"/>
            <w:noWrap/>
            <w:vAlign w:val="center"/>
            <w:hideMark/>
          </w:tcPr>
          <w:p w14:paraId="24AD0EBC"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134" w:type="dxa"/>
            <w:tcBorders>
              <w:top w:val="nil"/>
              <w:left w:val="single" w:sz="4" w:space="0" w:color="auto"/>
              <w:bottom w:val="nil"/>
              <w:right w:val="nil"/>
            </w:tcBorders>
            <w:noWrap/>
            <w:vAlign w:val="center"/>
            <w:hideMark/>
          </w:tcPr>
          <w:p w14:paraId="1E1AFC38"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250" w:type="dxa"/>
            <w:tcBorders>
              <w:top w:val="nil"/>
              <w:left w:val="single" w:sz="4" w:space="0" w:color="auto"/>
              <w:bottom w:val="nil"/>
              <w:right w:val="nil"/>
            </w:tcBorders>
            <w:noWrap/>
            <w:vAlign w:val="center"/>
            <w:hideMark/>
          </w:tcPr>
          <w:p w14:paraId="0C4AB37C"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451" w:type="dxa"/>
            <w:tcBorders>
              <w:top w:val="nil"/>
              <w:left w:val="nil"/>
              <w:bottom w:val="nil"/>
              <w:right w:val="single" w:sz="8" w:space="0" w:color="auto"/>
            </w:tcBorders>
            <w:shd w:val="clear" w:color="auto" w:fill="969696"/>
            <w:noWrap/>
            <w:vAlign w:val="center"/>
            <w:hideMark/>
          </w:tcPr>
          <w:p w14:paraId="28D445EF"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533" w:type="dxa"/>
            <w:tcBorders>
              <w:top w:val="nil"/>
              <w:left w:val="nil"/>
              <w:bottom w:val="nil"/>
              <w:right w:val="nil"/>
            </w:tcBorders>
            <w:noWrap/>
            <w:vAlign w:val="center"/>
            <w:hideMark/>
          </w:tcPr>
          <w:p w14:paraId="728BA9E7"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912" w:type="dxa"/>
            <w:gridSpan w:val="2"/>
            <w:tcBorders>
              <w:top w:val="nil"/>
              <w:left w:val="nil"/>
              <w:bottom w:val="nil"/>
              <w:right w:val="nil"/>
            </w:tcBorders>
            <w:noWrap/>
            <w:vAlign w:val="center"/>
            <w:hideMark/>
          </w:tcPr>
          <w:p w14:paraId="7301F914"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2099" w:type="dxa"/>
            <w:gridSpan w:val="2"/>
            <w:tcBorders>
              <w:top w:val="nil"/>
              <w:left w:val="nil"/>
              <w:bottom w:val="nil"/>
              <w:right w:val="single" w:sz="8" w:space="0" w:color="auto"/>
            </w:tcBorders>
            <w:noWrap/>
            <w:vAlign w:val="center"/>
            <w:hideMark/>
          </w:tcPr>
          <w:p w14:paraId="2DBD5F57" w14:textId="77777777" w:rsidR="00485073" w:rsidRPr="000E19A1" w:rsidRDefault="00485073">
            <w:pPr>
              <w:spacing w:after="0"/>
              <w:jc w:val="center"/>
              <w:rPr>
                <w:rFonts w:ascii="Arial" w:eastAsia="Times New Roman" w:hAnsi="Arial" w:cs="Arial"/>
                <w:b/>
                <w:bCs/>
                <w:noProof/>
                <w:szCs w:val="20"/>
                <w:lang w:val="en-IE" w:eastAsia="en-IE"/>
              </w:rPr>
            </w:pPr>
            <w:r w:rsidRPr="000E19A1">
              <w:rPr>
                <w:rFonts w:ascii="Arial" w:eastAsia="Times New Roman" w:hAnsi="Arial" w:cs="Arial"/>
                <w:b/>
                <w:bCs/>
                <w:noProof/>
                <w:szCs w:val="20"/>
                <w:lang w:val="en-IE" w:eastAsia="en-IE"/>
              </w:rPr>
              <w:t> </w:t>
            </w:r>
          </w:p>
        </w:tc>
      </w:tr>
      <w:tr w:rsidR="00354600" w:rsidRPr="000E19A1" w14:paraId="2EC468ED" w14:textId="77777777" w:rsidTr="00B9546F">
        <w:trPr>
          <w:trHeight w:val="1020"/>
        </w:trPr>
        <w:tc>
          <w:tcPr>
            <w:tcW w:w="1839" w:type="dxa"/>
            <w:gridSpan w:val="4"/>
            <w:vMerge w:val="restart"/>
            <w:tcBorders>
              <w:top w:val="single" w:sz="8" w:space="0" w:color="auto"/>
              <w:left w:val="single" w:sz="8" w:space="0" w:color="auto"/>
              <w:bottom w:val="single" w:sz="8" w:space="0" w:color="000000" w:themeColor="text1"/>
              <w:right w:val="nil"/>
            </w:tcBorders>
            <w:vAlign w:val="center"/>
            <w:hideMark/>
          </w:tcPr>
          <w:p w14:paraId="66CC11B1" w14:textId="25669603" w:rsidR="000448BA" w:rsidRPr="000448BA" w:rsidRDefault="000448BA" w:rsidP="000448BA">
            <w:pPr>
              <w:spacing w:after="0"/>
              <w:jc w:val="both"/>
              <w:rPr>
                <w:rFonts w:asciiTheme="minorHAnsi" w:hAnsiTheme="minorHAnsi" w:cstheme="minorHAnsi"/>
                <w:bCs/>
                <w:noProof/>
                <w:szCs w:val="20"/>
              </w:rPr>
            </w:pPr>
            <w:r w:rsidRPr="000448BA">
              <w:rPr>
                <w:rFonts w:asciiTheme="minorHAnsi" w:hAnsiTheme="minorHAnsi" w:cstheme="minorHAnsi"/>
                <w:noProof/>
                <w:szCs w:val="20"/>
              </w:rPr>
              <w:t>Create a flexible governance system</w:t>
            </w:r>
            <w:r w:rsidRPr="000448BA">
              <w:rPr>
                <w:rFonts w:asciiTheme="minorHAnsi" w:hAnsiTheme="minorHAnsi" w:cstheme="minorHAnsi"/>
                <w:bCs/>
                <w:noProof/>
              </w:rPr>
              <w:t xml:space="preserve">, provide </w:t>
            </w:r>
            <w:r w:rsidRPr="000448BA">
              <w:rPr>
                <w:rFonts w:asciiTheme="minorHAnsi" w:hAnsiTheme="minorHAnsi" w:cstheme="minorHAnsi"/>
                <w:noProof/>
              </w:rPr>
              <w:t xml:space="preserve">simple and fully digital procedures for increasing capital and issuing shares </w:t>
            </w:r>
            <w:r w:rsidRPr="000448BA">
              <w:rPr>
                <w:rFonts w:asciiTheme="minorHAnsi" w:hAnsiTheme="minorHAnsi" w:cstheme="minorHAnsi"/>
                <w:bCs/>
                <w:noProof/>
              </w:rPr>
              <w:t>and enable</w:t>
            </w:r>
            <w:r w:rsidRPr="000448BA">
              <w:rPr>
                <w:rFonts w:asciiTheme="minorHAnsi" w:hAnsiTheme="minorHAnsi" w:cstheme="minorHAnsi"/>
                <w:noProof/>
              </w:rPr>
              <w:t xml:space="preserve"> the use of modern early-stage financing instruments like SAFEs</w:t>
            </w:r>
            <w:r w:rsidRPr="000448BA">
              <w:rPr>
                <w:rFonts w:asciiTheme="minorHAnsi" w:hAnsiTheme="minorHAnsi" w:cstheme="minorHAnsi"/>
                <w:bCs/>
                <w:noProof/>
              </w:rPr>
              <w:t>.</w:t>
            </w:r>
          </w:p>
          <w:p w14:paraId="628BD1CB" w14:textId="3BA34807" w:rsidR="00485073" w:rsidRPr="009C6C65" w:rsidRDefault="00485073">
            <w:pPr>
              <w:spacing w:after="0"/>
              <w:rPr>
                <w:rFonts w:ascii="Calibri" w:eastAsia="Times New Roman" w:hAnsi="Calibri" w:cs="Calibri"/>
                <w:noProof/>
                <w:color w:val="000000"/>
                <w:lang w:eastAsia="en-IE"/>
              </w:rPr>
            </w:pPr>
          </w:p>
        </w:tc>
        <w:tc>
          <w:tcPr>
            <w:tcW w:w="552" w:type="dxa"/>
            <w:gridSpan w:val="2"/>
            <w:tcBorders>
              <w:top w:val="nil"/>
              <w:left w:val="nil"/>
              <w:bottom w:val="nil"/>
              <w:right w:val="single" w:sz="4" w:space="0" w:color="auto"/>
            </w:tcBorders>
            <w:shd w:val="clear" w:color="auto" w:fill="969696"/>
            <w:vAlign w:val="center"/>
            <w:hideMark/>
          </w:tcPr>
          <w:p w14:paraId="28FC52A8"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72FBBECF" w14:textId="3A7CB95A" w:rsidR="00485073" w:rsidRPr="000E19A1" w:rsidRDefault="00485073">
            <w:pPr>
              <w:spacing w:after="0"/>
              <w:jc w:val="center"/>
              <w:rPr>
                <w:rFonts w:ascii="Calibri" w:eastAsia="Times New Roman" w:hAnsi="Calibri" w:cs="Calibri"/>
                <w:noProof/>
                <w:color w:val="000000"/>
                <w:lang w:val="en-IE" w:eastAsia="en-IE"/>
              </w:rPr>
            </w:pPr>
          </w:p>
        </w:tc>
        <w:tc>
          <w:tcPr>
            <w:tcW w:w="784"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ED40BDA"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w:t>
            </w:r>
          </w:p>
        </w:tc>
        <w:tc>
          <w:tcPr>
            <w:tcW w:w="1042" w:type="dxa"/>
            <w:vMerge w:val="restart"/>
            <w:tcBorders>
              <w:top w:val="single" w:sz="4" w:space="0" w:color="auto"/>
              <w:left w:val="single" w:sz="4" w:space="0" w:color="auto"/>
              <w:bottom w:val="single" w:sz="4" w:space="0" w:color="auto"/>
              <w:right w:val="single" w:sz="4" w:space="0" w:color="auto"/>
            </w:tcBorders>
            <w:vAlign w:val="center"/>
            <w:hideMark/>
          </w:tcPr>
          <w:p w14:paraId="67D77F63" w14:textId="77777777" w:rsidR="00485073" w:rsidRPr="000E19A1" w:rsidRDefault="00485073">
            <w:pPr>
              <w:spacing w:after="0"/>
              <w:jc w:val="right"/>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100%</w:t>
            </w:r>
          </w:p>
        </w:tc>
        <w:tc>
          <w:tcPr>
            <w:tcW w:w="845"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3EE6F5"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518" w:type="dxa"/>
            <w:gridSpan w:val="2"/>
            <w:tcBorders>
              <w:top w:val="nil"/>
              <w:left w:val="nil"/>
              <w:bottom w:val="nil"/>
              <w:right w:val="nil"/>
            </w:tcBorders>
            <w:shd w:val="clear" w:color="auto" w:fill="969696"/>
            <w:noWrap/>
            <w:vAlign w:val="center"/>
            <w:hideMark/>
          </w:tcPr>
          <w:p w14:paraId="752F37B7"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796B35"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40.00</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129051"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15.00</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3758E1"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500.00</w:t>
            </w:r>
          </w:p>
        </w:tc>
        <w:tc>
          <w:tcPr>
            <w:tcW w:w="1250" w:type="dxa"/>
            <w:vMerge w:val="restart"/>
            <w:tcBorders>
              <w:top w:val="single" w:sz="4" w:space="0" w:color="auto"/>
              <w:left w:val="single" w:sz="4" w:space="0" w:color="auto"/>
              <w:bottom w:val="single" w:sz="4" w:space="0" w:color="auto"/>
              <w:right w:val="single" w:sz="4" w:space="0" w:color="auto"/>
            </w:tcBorders>
            <w:vAlign w:val="center"/>
            <w:hideMark/>
          </w:tcPr>
          <w:p w14:paraId="3D598754" w14:textId="0D3B1AE2"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Time: 15 hours saving</w:t>
            </w:r>
            <w:r w:rsidR="00DE2291">
              <w:rPr>
                <w:rFonts w:ascii="Calibri" w:eastAsia="Times New Roman" w:hAnsi="Calibri" w:cs="Calibri"/>
                <w:noProof/>
                <w:color w:val="000000"/>
                <w:lang w:val="en-IE" w:eastAsia="en-IE"/>
              </w:rPr>
              <w:t xml:space="preserve"> per transaction</w:t>
            </w:r>
            <w:r w:rsidRPr="000E19A1">
              <w:rPr>
                <w:rFonts w:ascii="Calibri" w:eastAsia="Times New Roman" w:hAnsi="Calibri" w:cs="Calibri"/>
                <w:noProof/>
                <w:color w:val="000000"/>
                <w:lang w:val="en-IE" w:eastAsia="en-IE"/>
              </w:rPr>
              <w:br/>
              <w:t>Cost: 500 EUR savings</w:t>
            </w:r>
            <w:r w:rsidR="00DE2291">
              <w:rPr>
                <w:rFonts w:ascii="Calibri" w:eastAsia="Times New Roman" w:hAnsi="Calibri" w:cs="Calibri"/>
                <w:noProof/>
                <w:color w:val="000000"/>
                <w:lang w:val="en-IE" w:eastAsia="en-IE"/>
              </w:rPr>
              <w:t xml:space="preserve"> per transaction</w:t>
            </w:r>
          </w:p>
        </w:tc>
        <w:tc>
          <w:tcPr>
            <w:tcW w:w="451" w:type="dxa"/>
            <w:tcBorders>
              <w:top w:val="nil"/>
              <w:left w:val="nil"/>
              <w:bottom w:val="nil"/>
              <w:right w:val="nil"/>
            </w:tcBorders>
            <w:shd w:val="clear" w:color="auto" w:fill="969696"/>
            <w:noWrap/>
            <w:vAlign w:val="center"/>
            <w:hideMark/>
          </w:tcPr>
          <w:p w14:paraId="2EA98852"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27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8DF6D5C" w14:textId="4CE45A39"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w:t>
            </w:r>
            <w:r w:rsidR="003E0559">
              <w:rPr>
                <w:rFonts w:ascii="Calibri" w:eastAsia="Times New Roman" w:hAnsi="Calibri" w:cs="Calibri"/>
                <w:noProof/>
                <w:color w:val="000000"/>
                <w:lang w:val="en-IE" w:eastAsia="en-IE"/>
              </w:rPr>
              <w:t>,</w:t>
            </w:r>
            <w:r w:rsidRPr="000E19A1">
              <w:rPr>
                <w:rFonts w:ascii="Calibri" w:eastAsia="Times New Roman" w:hAnsi="Calibri" w:cs="Calibri"/>
                <w:noProof/>
                <w:color w:val="000000"/>
                <w:lang w:val="en-IE" w:eastAsia="en-IE"/>
              </w:rPr>
              <w:t>100.00</w:t>
            </w:r>
          </w:p>
        </w:tc>
        <w:tc>
          <w:tcPr>
            <w:tcW w:w="126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E732568"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1000" w:type="dxa"/>
            <w:vMerge w:val="restart"/>
            <w:tcBorders>
              <w:top w:val="single" w:sz="4" w:space="0" w:color="auto"/>
              <w:left w:val="single" w:sz="4" w:space="0" w:color="auto"/>
              <w:bottom w:val="single" w:sz="4" w:space="0" w:color="auto"/>
              <w:right w:val="single" w:sz="4" w:space="0" w:color="auto"/>
            </w:tcBorders>
            <w:vAlign w:val="center"/>
            <w:hideMark/>
          </w:tcPr>
          <w:p w14:paraId="526EEF75"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r>
      <w:tr w:rsidR="000978D8" w:rsidRPr="000E19A1" w14:paraId="358AC904" w14:textId="77777777" w:rsidTr="00B9546F">
        <w:trPr>
          <w:trHeight w:val="1118"/>
        </w:trPr>
        <w:tc>
          <w:tcPr>
            <w:tcW w:w="1839" w:type="dxa"/>
            <w:gridSpan w:val="4"/>
            <w:vMerge/>
            <w:vAlign w:val="center"/>
            <w:hideMark/>
          </w:tcPr>
          <w:p w14:paraId="66D212EF" w14:textId="77777777" w:rsidR="00485073" w:rsidRPr="000E19A1" w:rsidRDefault="00485073">
            <w:pPr>
              <w:spacing w:after="0"/>
              <w:rPr>
                <w:rFonts w:ascii="Calibri" w:eastAsia="Times New Roman" w:hAnsi="Calibri" w:cs="Calibri"/>
                <w:noProof/>
                <w:color w:val="000000"/>
                <w:lang w:val="en-IE" w:eastAsia="en-IE"/>
              </w:rPr>
            </w:pPr>
          </w:p>
        </w:tc>
        <w:tc>
          <w:tcPr>
            <w:tcW w:w="552" w:type="dxa"/>
            <w:gridSpan w:val="2"/>
            <w:tcBorders>
              <w:top w:val="nil"/>
              <w:left w:val="nil"/>
              <w:bottom w:val="nil"/>
              <w:right w:val="nil"/>
            </w:tcBorders>
            <w:shd w:val="clear" w:color="auto" w:fill="969696"/>
            <w:vAlign w:val="center"/>
            <w:hideMark/>
          </w:tcPr>
          <w:p w14:paraId="242D48BF"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vMerge/>
            <w:vAlign w:val="center"/>
            <w:hideMark/>
          </w:tcPr>
          <w:p w14:paraId="784C8CC4" w14:textId="77777777" w:rsidR="00485073" w:rsidRPr="000E19A1" w:rsidRDefault="00485073">
            <w:pPr>
              <w:spacing w:after="0"/>
              <w:rPr>
                <w:rFonts w:ascii="Calibri" w:eastAsia="Times New Roman" w:hAnsi="Calibri" w:cs="Calibri"/>
                <w:noProof/>
                <w:color w:val="000000"/>
                <w:lang w:val="en-IE" w:eastAsia="en-IE"/>
              </w:rPr>
            </w:pPr>
          </w:p>
        </w:tc>
        <w:tc>
          <w:tcPr>
            <w:tcW w:w="784" w:type="dxa"/>
            <w:gridSpan w:val="3"/>
            <w:vMerge/>
            <w:vAlign w:val="center"/>
            <w:hideMark/>
          </w:tcPr>
          <w:p w14:paraId="2BC1430D" w14:textId="77777777" w:rsidR="00485073" w:rsidRPr="000E19A1" w:rsidRDefault="00485073">
            <w:pPr>
              <w:spacing w:after="0"/>
              <w:rPr>
                <w:rFonts w:ascii="Calibri" w:eastAsia="Times New Roman" w:hAnsi="Calibri" w:cs="Calibri"/>
                <w:noProof/>
                <w:color w:val="000000"/>
                <w:lang w:val="en-IE" w:eastAsia="en-IE"/>
              </w:rPr>
            </w:pPr>
          </w:p>
        </w:tc>
        <w:tc>
          <w:tcPr>
            <w:tcW w:w="1042" w:type="dxa"/>
            <w:vMerge/>
            <w:vAlign w:val="center"/>
            <w:hideMark/>
          </w:tcPr>
          <w:p w14:paraId="30360957" w14:textId="77777777" w:rsidR="00485073" w:rsidRPr="000E19A1" w:rsidRDefault="00485073">
            <w:pPr>
              <w:spacing w:after="0"/>
              <w:rPr>
                <w:rFonts w:ascii="Calibri" w:eastAsia="Times New Roman" w:hAnsi="Calibri" w:cs="Calibri"/>
                <w:noProof/>
                <w:color w:val="000000"/>
                <w:lang w:val="en-IE" w:eastAsia="en-IE"/>
              </w:rPr>
            </w:pPr>
          </w:p>
        </w:tc>
        <w:tc>
          <w:tcPr>
            <w:tcW w:w="845" w:type="dxa"/>
            <w:gridSpan w:val="2"/>
            <w:vMerge/>
            <w:vAlign w:val="center"/>
            <w:hideMark/>
          </w:tcPr>
          <w:p w14:paraId="24110A40" w14:textId="77777777" w:rsidR="00485073" w:rsidRPr="000E19A1" w:rsidRDefault="00485073">
            <w:pPr>
              <w:spacing w:after="0"/>
              <w:rPr>
                <w:rFonts w:ascii="Calibri" w:eastAsia="Times New Roman" w:hAnsi="Calibri" w:cs="Calibri"/>
                <w:noProof/>
                <w:color w:val="000000"/>
                <w:lang w:val="en-IE" w:eastAsia="en-IE"/>
              </w:rPr>
            </w:pPr>
          </w:p>
        </w:tc>
        <w:tc>
          <w:tcPr>
            <w:tcW w:w="518" w:type="dxa"/>
            <w:gridSpan w:val="2"/>
            <w:tcBorders>
              <w:top w:val="nil"/>
              <w:left w:val="nil"/>
              <w:bottom w:val="nil"/>
              <w:right w:val="nil"/>
            </w:tcBorders>
            <w:shd w:val="clear" w:color="auto" w:fill="969696"/>
            <w:noWrap/>
            <w:vAlign w:val="center"/>
            <w:hideMark/>
          </w:tcPr>
          <w:p w14:paraId="3CC30334"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vMerge/>
            <w:vAlign w:val="center"/>
            <w:hideMark/>
          </w:tcPr>
          <w:p w14:paraId="205EC672" w14:textId="77777777" w:rsidR="00485073" w:rsidRPr="000E19A1" w:rsidRDefault="00485073">
            <w:pPr>
              <w:spacing w:after="0"/>
              <w:rPr>
                <w:rFonts w:ascii="Calibri" w:eastAsia="Times New Roman" w:hAnsi="Calibri" w:cs="Calibri"/>
                <w:noProof/>
                <w:color w:val="000000"/>
                <w:lang w:val="en-IE" w:eastAsia="en-IE"/>
              </w:rPr>
            </w:pPr>
          </w:p>
        </w:tc>
        <w:tc>
          <w:tcPr>
            <w:tcW w:w="709" w:type="dxa"/>
            <w:vMerge/>
            <w:vAlign w:val="center"/>
            <w:hideMark/>
          </w:tcPr>
          <w:p w14:paraId="6EEFD41C" w14:textId="77777777" w:rsidR="00485073" w:rsidRPr="000E19A1" w:rsidRDefault="00485073">
            <w:pPr>
              <w:spacing w:after="0"/>
              <w:rPr>
                <w:rFonts w:ascii="Calibri" w:eastAsia="Times New Roman" w:hAnsi="Calibri" w:cs="Calibri"/>
                <w:noProof/>
                <w:color w:val="000000"/>
                <w:lang w:val="en-IE" w:eastAsia="en-IE"/>
              </w:rPr>
            </w:pPr>
          </w:p>
        </w:tc>
        <w:tc>
          <w:tcPr>
            <w:tcW w:w="1134" w:type="dxa"/>
            <w:vMerge/>
            <w:vAlign w:val="center"/>
            <w:hideMark/>
          </w:tcPr>
          <w:p w14:paraId="01A92811" w14:textId="77777777" w:rsidR="00485073" w:rsidRPr="000E19A1" w:rsidRDefault="00485073">
            <w:pPr>
              <w:spacing w:after="0"/>
              <w:rPr>
                <w:rFonts w:ascii="Calibri" w:eastAsia="Times New Roman" w:hAnsi="Calibri" w:cs="Calibri"/>
                <w:noProof/>
                <w:color w:val="000000"/>
                <w:lang w:val="en-IE" w:eastAsia="en-IE"/>
              </w:rPr>
            </w:pPr>
          </w:p>
        </w:tc>
        <w:tc>
          <w:tcPr>
            <w:tcW w:w="1250" w:type="dxa"/>
            <w:vMerge/>
            <w:vAlign w:val="center"/>
            <w:hideMark/>
          </w:tcPr>
          <w:p w14:paraId="5172CB3F" w14:textId="77777777" w:rsidR="00485073" w:rsidRPr="000E19A1" w:rsidRDefault="00485073">
            <w:pPr>
              <w:spacing w:after="0"/>
              <w:rPr>
                <w:rFonts w:ascii="Calibri" w:eastAsia="Times New Roman" w:hAnsi="Calibri" w:cs="Calibri"/>
                <w:noProof/>
                <w:color w:val="000000"/>
                <w:lang w:val="en-IE" w:eastAsia="en-IE"/>
              </w:rPr>
            </w:pPr>
          </w:p>
        </w:tc>
        <w:tc>
          <w:tcPr>
            <w:tcW w:w="451" w:type="dxa"/>
            <w:tcBorders>
              <w:top w:val="nil"/>
              <w:left w:val="nil"/>
              <w:bottom w:val="nil"/>
              <w:right w:val="nil"/>
            </w:tcBorders>
            <w:shd w:val="clear" w:color="auto" w:fill="969696"/>
            <w:noWrap/>
            <w:vAlign w:val="center"/>
            <w:hideMark/>
          </w:tcPr>
          <w:p w14:paraId="3BEC1D22"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276" w:type="dxa"/>
            <w:gridSpan w:val="2"/>
            <w:vMerge/>
            <w:vAlign w:val="center"/>
            <w:hideMark/>
          </w:tcPr>
          <w:p w14:paraId="6C268035" w14:textId="77777777" w:rsidR="00485073" w:rsidRPr="000E19A1" w:rsidRDefault="00485073">
            <w:pPr>
              <w:spacing w:after="0"/>
              <w:rPr>
                <w:rFonts w:ascii="Calibri" w:eastAsia="Times New Roman" w:hAnsi="Calibri" w:cs="Calibri"/>
                <w:noProof/>
                <w:color w:val="000000"/>
                <w:lang w:val="en-IE" w:eastAsia="en-IE"/>
              </w:rPr>
            </w:pPr>
          </w:p>
        </w:tc>
        <w:tc>
          <w:tcPr>
            <w:tcW w:w="1268" w:type="dxa"/>
            <w:gridSpan w:val="2"/>
            <w:vMerge/>
            <w:vAlign w:val="center"/>
            <w:hideMark/>
          </w:tcPr>
          <w:p w14:paraId="1C116FCF" w14:textId="77777777" w:rsidR="00485073" w:rsidRPr="000E19A1" w:rsidRDefault="00485073">
            <w:pPr>
              <w:spacing w:after="0"/>
              <w:rPr>
                <w:rFonts w:ascii="Calibri" w:eastAsia="Times New Roman" w:hAnsi="Calibri" w:cs="Calibri"/>
                <w:noProof/>
                <w:color w:val="000000"/>
                <w:lang w:val="en-IE" w:eastAsia="en-IE"/>
              </w:rPr>
            </w:pPr>
          </w:p>
        </w:tc>
        <w:tc>
          <w:tcPr>
            <w:tcW w:w="1000" w:type="dxa"/>
            <w:vMerge/>
            <w:vAlign w:val="center"/>
            <w:hideMark/>
          </w:tcPr>
          <w:p w14:paraId="63FB2A18" w14:textId="77777777" w:rsidR="00485073" w:rsidRPr="000E19A1" w:rsidRDefault="00485073">
            <w:pPr>
              <w:spacing w:after="0"/>
              <w:rPr>
                <w:rFonts w:ascii="Calibri" w:eastAsia="Times New Roman" w:hAnsi="Calibri" w:cs="Calibri"/>
                <w:noProof/>
                <w:color w:val="000000"/>
                <w:lang w:val="en-IE" w:eastAsia="en-IE"/>
              </w:rPr>
            </w:pPr>
          </w:p>
        </w:tc>
      </w:tr>
      <w:tr w:rsidR="00783610" w:rsidRPr="000E19A1" w14:paraId="73C4E31D" w14:textId="77777777" w:rsidTr="00B9546F">
        <w:trPr>
          <w:trHeight w:val="300"/>
        </w:trPr>
        <w:tc>
          <w:tcPr>
            <w:tcW w:w="332" w:type="dxa"/>
            <w:tcBorders>
              <w:top w:val="nil"/>
              <w:left w:val="single" w:sz="8" w:space="0" w:color="auto"/>
              <w:bottom w:val="single" w:sz="8" w:space="0" w:color="auto"/>
              <w:right w:val="nil"/>
            </w:tcBorders>
            <w:shd w:val="clear" w:color="auto" w:fill="305496"/>
            <w:noWrap/>
            <w:vAlign w:val="center"/>
            <w:hideMark/>
          </w:tcPr>
          <w:p w14:paraId="284E6051"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333" w:type="dxa"/>
            <w:tcBorders>
              <w:top w:val="nil"/>
              <w:left w:val="nil"/>
              <w:bottom w:val="single" w:sz="8" w:space="0" w:color="auto"/>
              <w:right w:val="nil"/>
            </w:tcBorders>
            <w:shd w:val="clear" w:color="auto" w:fill="305496"/>
            <w:noWrap/>
            <w:vAlign w:val="center"/>
            <w:hideMark/>
          </w:tcPr>
          <w:p w14:paraId="61D1D04D"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174" w:type="dxa"/>
            <w:gridSpan w:val="2"/>
            <w:tcBorders>
              <w:top w:val="nil"/>
              <w:left w:val="nil"/>
              <w:bottom w:val="single" w:sz="8" w:space="0" w:color="auto"/>
              <w:right w:val="nil"/>
            </w:tcBorders>
            <w:shd w:val="clear" w:color="auto" w:fill="305496"/>
            <w:noWrap/>
            <w:vAlign w:val="center"/>
            <w:hideMark/>
          </w:tcPr>
          <w:p w14:paraId="493101C0"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552" w:type="dxa"/>
            <w:gridSpan w:val="2"/>
            <w:tcBorders>
              <w:top w:val="nil"/>
              <w:left w:val="nil"/>
              <w:bottom w:val="nil"/>
              <w:right w:val="nil"/>
            </w:tcBorders>
            <w:shd w:val="clear" w:color="auto" w:fill="969696"/>
            <w:vAlign w:val="center"/>
            <w:hideMark/>
          </w:tcPr>
          <w:p w14:paraId="781CEC2D"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tcBorders>
              <w:top w:val="nil"/>
              <w:left w:val="single" w:sz="4" w:space="0" w:color="auto"/>
              <w:bottom w:val="single" w:sz="8" w:space="0" w:color="auto"/>
              <w:right w:val="nil"/>
            </w:tcBorders>
            <w:shd w:val="clear" w:color="auto" w:fill="8EA9DB"/>
            <w:noWrap/>
            <w:vAlign w:val="center"/>
            <w:hideMark/>
          </w:tcPr>
          <w:p w14:paraId="089D7ADA"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784" w:type="dxa"/>
            <w:gridSpan w:val="3"/>
            <w:tcBorders>
              <w:top w:val="nil"/>
              <w:left w:val="single" w:sz="4" w:space="0" w:color="auto"/>
              <w:bottom w:val="single" w:sz="8" w:space="0" w:color="auto"/>
              <w:right w:val="nil"/>
            </w:tcBorders>
            <w:shd w:val="clear" w:color="auto" w:fill="8EA9DB"/>
            <w:noWrap/>
            <w:vAlign w:val="center"/>
            <w:hideMark/>
          </w:tcPr>
          <w:p w14:paraId="1C7EC474"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042" w:type="dxa"/>
            <w:tcBorders>
              <w:top w:val="nil"/>
              <w:left w:val="single" w:sz="4" w:space="0" w:color="auto"/>
              <w:bottom w:val="single" w:sz="8" w:space="0" w:color="auto"/>
              <w:right w:val="nil"/>
            </w:tcBorders>
            <w:shd w:val="clear" w:color="auto" w:fill="8EA9DB"/>
            <w:noWrap/>
            <w:vAlign w:val="center"/>
            <w:hideMark/>
          </w:tcPr>
          <w:p w14:paraId="46436604"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845" w:type="dxa"/>
            <w:gridSpan w:val="2"/>
            <w:tcBorders>
              <w:top w:val="nil"/>
              <w:left w:val="single" w:sz="4" w:space="0" w:color="auto"/>
              <w:bottom w:val="single" w:sz="8" w:space="0" w:color="auto"/>
              <w:right w:val="nil"/>
            </w:tcBorders>
            <w:shd w:val="clear" w:color="auto" w:fill="8EA9DB"/>
            <w:noWrap/>
            <w:vAlign w:val="center"/>
            <w:hideMark/>
          </w:tcPr>
          <w:p w14:paraId="22AD730F"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518" w:type="dxa"/>
            <w:gridSpan w:val="2"/>
            <w:tcBorders>
              <w:top w:val="nil"/>
              <w:left w:val="nil"/>
              <w:bottom w:val="nil"/>
              <w:right w:val="nil"/>
            </w:tcBorders>
            <w:shd w:val="clear" w:color="auto" w:fill="969696"/>
            <w:noWrap/>
            <w:vAlign w:val="center"/>
            <w:hideMark/>
          </w:tcPr>
          <w:p w14:paraId="7323C47D"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nil"/>
              <w:left w:val="single" w:sz="4" w:space="0" w:color="auto"/>
              <w:bottom w:val="single" w:sz="8" w:space="0" w:color="auto"/>
              <w:right w:val="nil"/>
            </w:tcBorders>
            <w:shd w:val="clear" w:color="auto" w:fill="C6E0B4"/>
            <w:noWrap/>
            <w:vAlign w:val="center"/>
            <w:hideMark/>
          </w:tcPr>
          <w:p w14:paraId="3E35D889"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709" w:type="dxa"/>
            <w:tcBorders>
              <w:top w:val="nil"/>
              <w:left w:val="single" w:sz="4" w:space="0" w:color="auto"/>
              <w:bottom w:val="single" w:sz="8" w:space="0" w:color="auto"/>
              <w:right w:val="nil"/>
            </w:tcBorders>
            <w:shd w:val="clear" w:color="auto" w:fill="C6E0B4"/>
            <w:noWrap/>
            <w:vAlign w:val="center"/>
            <w:hideMark/>
          </w:tcPr>
          <w:p w14:paraId="32C0D39E"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134" w:type="dxa"/>
            <w:tcBorders>
              <w:top w:val="nil"/>
              <w:left w:val="single" w:sz="4" w:space="0" w:color="auto"/>
              <w:bottom w:val="single" w:sz="8" w:space="0" w:color="auto"/>
              <w:right w:val="nil"/>
            </w:tcBorders>
            <w:shd w:val="clear" w:color="auto" w:fill="C6E0B4"/>
            <w:vAlign w:val="center"/>
            <w:hideMark/>
          </w:tcPr>
          <w:p w14:paraId="2A8311B1"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1250" w:type="dxa"/>
            <w:tcBorders>
              <w:top w:val="nil"/>
              <w:left w:val="single" w:sz="4" w:space="0" w:color="auto"/>
              <w:bottom w:val="single" w:sz="8" w:space="0" w:color="auto"/>
              <w:right w:val="nil"/>
            </w:tcBorders>
            <w:shd w:val="clear" w:color="auto" w:fill="C6E0B4"/>
            <w:vAlign w:val="center"/>
            <w:hideMark/>
          </w:tcPr>
          <w:p w14:paraId="014A7D1C"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451" w:type="dxa"/>
            <w:tcBorders>
              <w:top w:val="nil"/>
              <w:left w:val="nil"/>
              <w:bottom w:val="nil"/>
              <w:right w:val="nil"/>
            </w:tcBorders>
            <w:shd w:val="clear" w:color="auto" w:fill="969696"/>
            <w:noWrap/>
            <w:vAlign w:val="center"/>
            <w:hideMark/>
          </w:tcPr>
          <w:p w14:paraId="21AE4B6E"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2544" w:type="dxa"/>
            <w:gridSpan w:val="4"/>
            <w:tcBorders>
              <w:top w:val="nil"/>
              <w:left w:val="single" w:sz="8" w:space="0" w:color="auto"/>
              <w:bottom w:val="single" w:sz="8" w:space="0" w:color="auto"/>
              <w:right w:val="nil"/>
            </w:tcBorders>
            <w:shd w:val="clear" w:color="auto" w:fill="DBDBDB"/>
            <w:noWrap/>
            <w:vAlign w:val="center"/>
            <w:hideMark/>
          </w:tcPr>
          <w:p w14:paraId="36906D8A" w14:textId="77777777" w:rsidR="00485073" w:rsidRPr="000E19A1" w:rsidRDefault="00485073">
            <w:pPr>
              <w:spacing w:after="0"/>
              <w:jc w:val="center"/>
              <w:rPr>
                <w:rFonts w:ascii="Arial" w:eastAsia="Times New Roman" w:hAnsi="Arial" w:cs="Arial"/>
                <w:b/>
                <w:bCs/>
                <w:noProof/>
                <w:szCs w:val="20"/>
                <w:lang w:val="en-IE" w:eastAsia="en-IE"/>
              </w:rPr>
            </w:pPr>
            <w:r w:rsidRPr="000E19A1">
              <w:rPr>
                <w:rFonts w:ascii="Arial" w:eastAsia="Times New Roman" w:hAnsi="Arial" w:cs="Arial"/>
                <w:b/>
                <w:bCs/>
                <w:noProof/>
                <w:szCs w:val="20"/>
                <w:lang w:val="en-IE" w:eastAsia="en-IE"/>
              </w:rPr>
              <w:t>Admin burden reduction PO6a</w:t>
            </w:r>
          </w:p>
        </w:tc>
        <w:tc>
          <w:tcPr>
            <w:tcW w:w="1000" w:type="dxa"/>
            <w:tcBorders>
              <w:top w:val="nil"/>
              <w:left w:val="single" w:sz="8" w:space="0" w:color="auto"/>
              <w:bottom w:val="single" w:sz="8" w:space="0" w:color="auto"/>
              <w:right w:val="single" w:sz="8" w:space="0" w:color="auto"/>
            </w:tcBorders>
            <w:shd w:val="clear" w:color="auto" w:fill="DBDBDB"/>
            <w:noWrap/>
            <w:vAlign w:val="center"/>
            <w:hideMark/>
          </w:tcPr>
          <w:p w14:paraId="5DC71D69" w14:textId="774B508A" w:rsidR="00485073" w:rsidRPr="000E19A1" w:rsidRDefault="71F81F8C"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5FDCBF27"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   </w:t>
            </w:r>
          </w:p>
        </w:tc>
      </w:tr>
      <w:tr w:rsidR="00401FEA" w:rsidRPr="000E19A1" w14:paraId="19A63E18" w14:textId="77777777" w:rsidTr="00B9546F">
        <w:trPr>
          <w:trHeight w:val="300"/>
        </w:trPr>
        <w:tc>
          <w:tcPr>
            <w:tcW w:w="1839" w:type="dxa"/>
            <w:gridSpan w:val="4"/>
            <w:tcBorders>
              <w:top w:val="single" w:sz="8" w:space="0" w:color="auto"/>
              <w:left w:val="single" w:sz="8" w:space="0" w:color="auto"/>
              <w:bottom w:val="single" w:sz="8" w:space="0" w:color="auto"/>
              <w:right w:val="nil"/>
            </w:tcBorders>
            <w:shd w:val="clear" w:color="auto" w:fill="FFFF00"/>
            <w:noWrap/>
            <w:vAlign w:val="center"/>
            <w:hideMark/>
          </w:tcPr>
          <w:p w14:paraId="024251E4" w14:textId="3DA6BF0F" w:rsidR="00485073" w:rsidRPr="000E19A1" w:rsidRDefault="00215382">
            <w:pPr>
              <w:spacing w:after="0"/>
              <w:rPr>
                <w:rFonts w:ascii="Arial" w:eastAsia="Times New Roman" w:hAnsi="Arial" w:cs="Arial"/>
                <w:noProof/>
                <w:szCs w:val="20"/>
                <w:lang w:val="en-IE" w:eastAsia="en-IE"/>
              </w:rPr>
            </w:pPr>
            <w:r w:rsidRPr="000E19A1">
              <w:rPr>
                <w:rFonts w:ascii="Arial" w:eastAsia="Times New Roman" w:hAnsi="Arial" w:cs="Arial"/>
                <w:b/>
                <w:bCs/>
                <w:noProof/>
                <w:szCs w:val="20"/>
                <w:lang w:val="en-IE" w:eastAsia="en-IE"/>
              </w:rPr>
              <w:t>PO 6b</w:t>
            </w:r>
          </w:p>
        </w:tc>
        <w:tc>
          <w:tcPr>
            <w:tcW w:w="558" w:type="dxa"/>
            <w:gridSpan w:val="3"/>
            <w:tcBorders>
              <w:top w:val="nil"/>
              <w:left w:val="nil"/>
              <w:bottom w:val="nil"/>
              <w:right w:val="nil"/>
            </w:tcBorders>
            <w:shd w:val="clear" w:color="auto" w:fill="969696"/>
            <w:vAlign w:val="center"/>
            <w:hideMark/>
          </w:tcPr>
          <w:p w14:paraId="454C4B01"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39" w:type="dxa"/>
            <w:gridSpan w:val="2"/>
            <w:tcBorders>
              <w:top w:val="nil"/>
              <w:left w:val="single" w:sz="4" w:space="0" w:color="auto"/>
              <w:bottom w:val="nil"/>
              <w:right w:val="nil"/>
            </w:tcBorders>
            <w:noWrap/>
            <w:vAlign w:val="center"/>
            <w:hideMark/>
          </w:tcPr>
          <w:p w14:paraId="1AE64188"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794" w:type="dxa"/>
            <w:gridSpan w:val="4"/>
            <w:tcBorders>
              <w:top w:val="nil"/>
              <w:left w:val="single" w:sz="4" w:space="0" w:color="auto"/>
              <w:bottom w:val="nil"/>
              <w:right w:val="nil"/>
            </w:tcBorders>
            <w:noWrap/>
            <w:vAlign w:val="center"/>
            <w:hideMark/>
          </w:tcPr>
          <w:p w14:paraId="0E6CB28F"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042" w:type="dxa"/>
            <w:tcBorders>
              <w:top w:val="nil"/>
              <w:left w:val="single" w:sz="4" w:space="0" w:color="auto"/>
              <w:bottom w:val="nil"/>
              <w:right w:val="nil"/>
            </w:tcBorders>
            <w:noWrap/>
            <w:vAlign w:val="center"/>
            <w:hideMark/>
          </w:tcPr>
          <w:p w14:paraId="7B0ADB9B"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845" w:type="dxa"/>
            <w:gridSpan w:val="2"/>
            <w:tcBorders>
              <w:top w:val="nil"/>
              <w:left w:val="single" w:sz="4" w:space="0" w:color="auto"/>
              <w:bottom w:val="nil"/>
              <w:right w:val="nil"/>
            </w:tcBorders>
            <w:noWrap/>
            <w:vAlign w:val="center"/>
            <w:hideMark/>
          </w:tcPr>
          <w:p w14:paraId="6A97CA55"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518" w:type="dxa"/>
            <w:gridSpan w:val="2"/>
            <w:tcBorders>
              <w:top w:val="nil"/>
              <w:left w:val="nil"/>
              <w:bottom w:val="nil"/>
              <w:right w:val="nil"/>
            </w:tcBorders>
            <w:shd w:val="clear" w:color="auto" w:fill="969696"/>
            <w:noWrap/>
            <w:vAlign w:val="center"/>
            <w:hideMark/>
          </w:tcPr>
          <w:p w14:paraId="5C3A16FD"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nil"/>
              <w:left w:val="single" w:sz="4" w:space="0" w:color="auto"/>
              <w:bottom w:val="nil"/>
              <w:right w:val="nil"/>
            </w:tcBorders>
            <w:noWrap/>
            <w:vAlign w:val="center"/>
            <w:hideMark/>
          </w:tcPr>
          <w:p w14:paraId="3B90C845"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709" w:type="dxa"/>
            <w:tcBorders>
              <w:top w:val="nil"/>
              <w:left w:val="single" w:sz="4" w:space="0" w:color="auto"/>
              <w:bottom w:val="nil"/>
              <w:right w:val="nil"/>
            </w:tcBorders>
            <w:shd w:val="clear" w:color="auto" w:fill="FFFFFF" w:themeFill="background1"/>
            <w:noWrap/>
            <w:vAlign w:val="center"/>
            <w:hideMark/>
          </w:tcPr>
          <w:p w14:paraId="3C5FC92C"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134" w:type="dxa"/>
            <w:tcBorders>
              <w:top w:val="nil"/>
              <w:left w:val="single" w:sz="4" w:space="0" w:color="auto"/>
              <w:bottom w:val="nil"/>
              <w:right w:val="nil"/>
            </w:tcBorders>
            <w:noWrap/>
            <w:vAlign w:val="center"/>
            <w:hideMark/>
          </w:tcPr>
          <w:p w14:paraId="41B5691D"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250" w:type="dxa"/>
            <w:tcBorders>
              <w:top w:val="nil"/>
              <w:left w:val="single" w:sz="4" w:space="0" w:color="auto"/>
              <w:bottom w:val="nil"/>
              <w:right w:val="nil"/>
            </w:tcBorders>
            <w:noWrap/>
            <w:vAlign w:val="center"/>
            <w:hideMark/>
          </w:tcPr>
          <w:p w14:paraId="678E45FD"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451" w:type="dxa"/>
            <w:tcBorders>
              <w:top w:val="nil"/>
              <w:left w:val="nil"/>
              <w:bottom w:val="nil"/>
              <w:right w:val="single" w:sz="8" w:space="0" w:color="auto"/>
            </w:tcBorders>
            <w:shd w:val="clear" w:color="auto" w:fill="969696"/>
            <w:noWrap/>
            <w:vAlign w:val="center"/>
            <w:hideMark/>
          </w:tcPr>
          <w:p w14:paraId="581FED8D"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533" w:type="dxa"/>
            <w:tcBorders>
              <w:top w:val="nil"/>
              <w:left w:val="nil"/>
              <w:bottom w:val="nil"/>
              <w:right w:val="nil"/>
            </w:tcBorders>
            <w:noWrap/>
            <w:vAlign w:val="center"/>
            <w:hideMark/>
          </w:tcPr>
          <w:p w14:paraId="5BE9109D"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912" w:type="dxa"/>
            <w:gridSpan w:val="2"/>
            <w:tcBorders>
              <w:top w:val="nil"/>
              <w:left w:val="nil"/>
              <w:bottom w:val="nil"/>
              <w:right w:val="nil"/>
            </w:tcBorders>
            <w:noWrap/>
            <w:vAlign w:val="center"/>
            <w:hideMark/>
          </w:tcPr>
          <w:p w14:paraId="172F4170"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2099" w:type="dxa"/>
            <w:gridSpan w:val="2"/>
            <w:tcBorders>
              <w:top w:val="nil"/>
              <w:left w:val="nil"/>
              <w:bottom w:val="nil"/>
              <w:right w:val="single" w:sz="8" w:space="0" w:color="auto"/>
            </w:tcBorders>
            <w:noWrap/>
            <w:vAlign w:val="center"/>
            <w:hideMark/>
          </w:tcPr>
          <w:p w14:paraId="0AEE1678" w14:textId="77777777" w:rsidR="00485073" w:rsidRPr="000E19A1" w:rsidRDefault="00485073">
            <w:pPr>
              <w:spacing w:after="0"/>
              <w:jc w:val="center"/>
              <w:rPr>
                <w:rFonts w:ascii="Arial" w:eastAsia="Times New Roman" w:hAnsi="Arial" w:cs="Arial"/>
                <w:b/>
                <w:bCs/>
                <w:noProof/>
                <w:szCs w:val="20"/>
                <w:lang w:val="en-IE" w:eastAsia="en-IE"/>
              </w:rPr>
            </w:pPr>
            <w:r w:rsidRPr="000E19A1">
              <w:rPr>
                <w:rFonts w:ascii="Arial" w:eastAsia="Times New Roman" w:hAnsi="Arial" w:cs="Arial"/>
                <w:b/>
                <w:bCs/>
                <w:noProof/>
                <w:szCs w:val="20"/>
                <w:lang w:val="en-IE" w:eastAsia="en-IE"/>
              </w:rPr>
              <w:t> </w:t>
            </w:r>
          </w:p>
        </w:tc>
      </w:tr>
      <w:tr w:rsidR="00783610" w:rsidRPr="000E19A1" w14:paraId="5538CB19" w14:textId="77777777" w:rsidTr="00B9546F">
        <w:trPr>
          <w:trHeight w:val="1620"/>
        </w:trPr>
        <w:tc>
          <w:tcPr>
            <w:tcW w:w="1839" w:type="dxa"/>
            <w:gridSpan w:val="4"/>
            <w:tcBorders>
              <w:top w:val="single" w:sz="8" w:space="0" w:color="auto"/>
              <w:left w:val="single" w:sz="8" w:space="0" w:color="auto"/>
              <w:right w:val="nil"/>
            </w:tcBorders>
            <w:vAlign w:val="center"/>
            <w:hideMark/>
          </w:tcPr>
          <w:p w14:paraId="49C96CC9" w14:textId="7F7A90DB" w:rsidR="00485073" w:rsidRPr="000448BA" w:rsidRDefault="00215382" w:rsidP="6F00936E">
            <w:pPr>
              <w:spacing w:after="0"/>
              <w:rPr>
                <w:rFonts w:asciiTheme="minorHAnsi" w:eastAsia="Times New Roman" w:hAnsiTheme="minorHAnsi"/>
                <w:noProof/>
                <w:color w:val="000000"/>
                <w:lang w:val="en-IE" w:eastAsia="en-IE"/>
              </w:rPr>
            </w:pPr>
            <w:r w:rsidRPr="00215382">
              <w:rPr>
                <w:rFonts w:asciiTheme="minorHAnsi" w:hAnsiTheme="minorHAnsi"/>
                <w:noProof/>
              </w:rPr>
              <w:t>Option</w:t>
            </w:r>
            <w:r w:rsidR="00076565" w:rsidRPr="6F00936E">
              <w:rPr>
                <w:rFonts w:asciiTheme="minorHAnsi" w:hAnsiTheme="minorHAnsi"/>
                <w:noProof/>
              </w:rPr>
              <w:t xml:space="preserve"> 6a + 0</w:t>
            </w:r>
            <w:r w:rsidRPr="00215382">
              <w:rPr>
                <w:rFonts w:asciiTheme="minorHAnsi" w:hAnsiTheme="minorHAnsi"/>
                <w:noProof/>
              </w:rPr>
              <w:t>/</w:t>
            </w:r>
            <w:r w:rsidR="737C6EC8" w:rsidRPr="6F00936E">
              <w:rPr>
                <w:rFonts w:asciiTheme="minorHAnsi" w:hAnsiTheme="minorHAnsi"/>
                <w:noProof/>
              </w:rPr>
              <w:t>EUR</w:t>
            </w:r>
            <w:r w:rsidRPr="00215382">
              <w:rPr>
                <w:rFonts w:asciiTheme="minorHAnsi" w:hAnsiTheme="minorHAnsi"/>
                <w:noProof/>
              </w:rPr>
              <w:t xml:space="preserve"> </w:t>
            </w:r>
            <w:r w:rsidR="00076565" w:rsidRPr="6F00936E">
              <w:rPr>
                <w:rFonts w:asciiTheme="minorHAnsi" w:hAnsiTheme="minorHAnsi"/>
                <w:noProof/>
              </w:rPr>
              <w:t>1 minimum capital but no paid-in share capital for incorporation of 28</w:t>
            </w:r>
            <w:r w:rsidR="00076565" w:rsidRPr="00215382">
              <w:rPr>
                <w:rFonts w:asciiTheme="minorHAnsi" w:hAnsiTheme="minorHAnsi"/>
                <w:noProof/>
              </w:rPr>
              <w:t>th</w:t>
            </w:r>
            <w:r w:rsidR="00076565" w:rsidRPr="6F00936E">
              <w:rPr>
                <w:rFonts w:asciiTheme="minorHAnsi" w:hAnsiTheme="minorHAnsi"/>
                <w:noProof/>
              </w:rPr>
              <w:t xml:space="preserve"> regime companies and harmonised creditor protection safeguards in addition to capital maintenance rules</w:t>
            </w:r>
          </w:p>
        </w:tc>
        <w:tc>
          <w:tcPr>
            <w:tcW w:w="552" w:type="dxa"/>
            <w:gridSpan w:val="2"/>
            <w:tcBorders>
              <w:top w:val="nil"/>
              <w:left w:val="nil"/>
              <w:bottom w:val="nil"/>
              <w:right w:val="single" w:sz="4" w:space="0" w:color="auto"/>
            </w:tcBorders>
            <w:shd w:val="clear" w:color="auto" w:fill="969696"/>
            <w:vAlign w:val="center"/>
            <w:hideMark/>
          </w:tcPr>
          <w:p w14:paraId="4F5F4232"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tcBorders>
              <w:top w:val="single" w:sz="4" w:space="0" w:color="auto"/>
              <w:left w:val="single" w:sz="4" w:space="0" w:color="auto"/>
              <w:bottom w:val="single" w:sz="4" w:space="0" w:color="auto"/>
              <w:right w:val="single" w:sz="4" w:space="0" w:color="auto"/>
            </w:tcBorders>
            <w:vAlign w:val="center"/>
            <w:hideMark/>
          </w:tcPr>
          <w:p w14:paraId="147B5694" w14:textId="758374DB" w:rsidR="00485073" w:rsidRPr="000E19A1" w:rsidRDefault="00485073">
            <w:pPr>
              <w:spacing w:after="0"/>
              <w:jc w:val="center"/>
              <w:rPr>
                <w:rFonts w:ascii="Calibri" w:eastAsia="Times New Roman" w:hAnsi="Calibri" w:cs="Calibri"/>
                <w:noProof/>
                <w:color w:val="000000"/>
                <w:lang w:val="en-IE" w:eastAsia="en-IE"/>
              </w:rPr>
            </w:pPr>
          </w:p>
        </w:tc>
        <w:tc>
          <w:tcPr>
            <w:tcW w:w="784" w:type="dxa"/>
            <w:gridSpan w:val="3"/>
            <w:tcBorders>
              <w:top w:val="single" w:sz="4" w:space="0" w:color="auto"/>
              <w:left w:val="nil"/>
              <w:bottom w:val="single" w:sz="4" w:space="0" w:color="auto"/>
              <w:right w:val="single" w:sz="4" w:space="0" w:color="auto"/>
            </w:tcBorders>
            <w:vAlign w:val="center"/>
            <w:hideMark/>
          </w:tcPr>
          <w:p w14:paraId="5AB51A25"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w:t>
            </w:r>
          </w:p>
        </w:tc>
        <w:tc>
          <w:tcPr>
            <w:tcW w:w="1042" w:type="dxa"/>
            <w:tcBorders>
              <w:top w:val="single" w:sz="4" w:space="0" w:color="auto"/>
              <w:left w:val="nil"/>
              <w:bottom w:val="single" w:sz="4" w:space="0" w:color="auto"/>
              <w:right w:val="single" w:sz="4" w:space="0" w:color="auto"/>
            </w:tcBorders>
            <w:vAlign w:val="center"/>
            <w:hideMark/>
          </w:tcPr>
          <w:p w14:paraId="70B8E7FD" w14:textId="77777777" w:rsidR="00485073" w:rsidRPr="000E19A1" w:rsidRDefault="00485073">
            <w:pPr>
              <w:spacing w:after="0"/>
              <w:jc w:val="right"/>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100%</w:t>
            </w:r>
          </w:p>
        </w:tc>
        <w:tc>
          <w:tcPr>
            <w:tcW w:w="845"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00A8B9FE"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518" w:type="dxa"/>
            <w:gridSpan w:val="2"/>
            <w:tcBorders>
              <w:top w:val="nil"/>
              <w:left w:val="nil"/>
              <w:bottom w:val="nil"/>
              <w:right w:val="nil"/>
            </w:tcBorders>
            <w:shd w:val="clear" w:color="auto" w:fill="969696"/>
            <w:noWrap/>
            <w:vAlign w:val="center"/>
            <w:hideMark/>
          </w:tcPr>
          <w:p w14:paraId="63F3FA19"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CE6D19"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40.00</w:t>
            </w:r>
          </w:p>
        </w:tc>
        <w:tc>
          <w:tcPr>
            <w:tcW w:w="709" w:type="dxa"/>
            <w:tcBorders>
              <w:top w:val="single" w:sz="4" w:space="0" w:color="auto"/>
              <w:left w:val="nil"/>
              <w:bottom w:val="single" w:sz="4" w:space="0" w:color="auto"/>
              <w:right w:val="single" w:sz="4" w:space="0" w:color="auto"/>
            </w:tcBorders>
            <w:shd w:val="clear" w:color="auto" w:fill="FFFFFF" w:themeFill="background1"/>
            <w:vAlign w:val="center"/>
            <w:hideMark/>
          </w:tcPr>
          <w:p w14:paraId="073C1920" w14:textId="2E225666" w:rsidR="00485073" w:rsidRPr="000E19A1" w:rsidRDefault="00DE2291">
            <w:pPr>
              <w:spacing w:after="0"/>
              <w:jc w:val="center"/>
              <w:rPr>
                <w:rFonts w:ascii="Calibri" w:eastAsia="Times New Roman" w:hAnsi="Calibri" w:cs="Calibri"/>
                <w:noProof/>
                <w:color w:val="000000"/>
                <w:lang w:val="en-IE" w:eastAsia="en-IE"/>
              </w:rPr>
            </w:pPr>
            <w:r>
              <w:rPr>
                <w:rFonts w:ascii="Calibri" w:eastAsia="Times New Roman" w:hAnsi="Calibri" w:cs="Calibri"/>
                <w:noProof/>
                <w:color w:val="000000"/>
                <w:lang w:val="en-IE" w:eastAsia="en-IE"/>
              </w:rPr>
              <w:t>1</w:t>
            </w:r>
            <w:r w:rsidRPr="000E19A1">
              <w:rPr>
                <w:rFonts w:ascii="Calibri" w:eastAsia="Times New Roman" w:hAnsi="Calibri" w:cs="Calibri"/>
                <w:noProof/>
                <w:color w:val="000000"/>
                <w:lang w:val="en-IE" w:eastAsia="en-IE"/>
              </w:rPr>
              <w:t>5</w:t>
            </w:r>
            <w:r w:rsidR="00485073" w:rsidRPr="000E19A1">
              <w:rPr>
                <w:rFonts w:ascii="Calibri" w:eastAsia="Times New Roman" w:hAnsi="Calibri" w:cs="Calibri"/>
                <w:noProof/>
                <w:color w:val="000000"/>
                <w:lang w:val="en-IE" w:eastAsia="en-IE"/>
              </w:rPr>
              <w:t>.00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14:paraId="279C8737"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500.00</w:t>
            </w:r>
          </w:p>
        </w:tc>
        <w:tc>
          <w:tcPr>
            <w:tcW w:w="1250" w:type="dxa"/>
            <w:tcBorders>
              <w:top w:val="single" w:sz="4" w:space="0" w:color="auto"/>
              <w:left w:val="nil"/>
              <w:bottom w:val="single" w:sz="4" w:space="0" w:color="auto"/>
              <w:right w:val="single" w:sz="4" w:space="0" w:color="auto"/>
            </w:tcBorders>
            <w:vAlign w:val="center"/>
            <w:hideMark/>
          </w:tcPr>
          <w:p w14:paraId="3AFC115D" w14:textId="5C3A9992" w:rsidR="00485073" w:rsidRPr="000E19A1" w:rsidRDefault="00DE2291">
            <w:pPr>
              <w:spacing w:after="0"/>
              <w:rPr>
                <w:rFonts w:ascii="Calibri" w:eastAsia="Times New Roman" w:hAnsi="Calibri" w:cs="Calibri"/>
                <w:noProof/>
                <w:color w:val="000000"/>
                <w:lang w:val="en-IE" w:eastAsia="en-IE"/>
              </w:rPr>
            </w:pPr>
            <w:r>
              <w:rPr>
                <w:rFonts w:ascii="Calibri" w:eastAsia="Times New Roman" w:hAnsi="Calibri" w:cs="Calibri"/>
                <w:noProof/>
                <w:color w:val="000000"/>
                <w:lang w:val="en-IE" w:eastAsia="en-IE"/>
              </w:rPr>
              <w:t>Same as 6a</w:t>
            </w:r>
          </w:p>
        </w:tc>
        <w:tc>
          <w:tcPr>
            <w:tcW w:w="451" w:type="dxa"/>
            <w:tcBorders>
              <w:top w:val="nil"/>
              <w:left w:val="nil"/>
              <w:bottom w:val="nil"/>
              <w:right w:val="nil"/>
            </w:tcBorders>
            <w:shd w:val="clear" w:color="auto" w:fill="969696"/>
            <w:noWrap/>
            <w:vAlign w:val="center"/>
            <w:hideMark/>
          </w:tcPr>
          <w:p w14:paraId="7332E217"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02188D3C" w14:textId="35AE305D"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w:t>
            </w:r>
            <w:r w:rsidR="003E0559">
              <w:rPr>
                <w:rFonts w:ascii="Calibri" w:eastAsia="Times New Roman" w:hAnsi="Calibri" w:cs="Calibri"/>
                <w:noProof/>
                <w:color w:val="000000"/>
                <w:lang w:val="en-IE" w:eastAsia="en-IE"/>
              </w:rPr>
              <w:t>,</w:t>
            </w:r>
            <w:r w:rsidR="00DE2291">
              <w:rPr>
                <w:rFonts w:ascii="Calibri" w:eastAsia="Times New Roman" w:hAnsi="Calibri" w:cs="Calibri"/>
                <w:noProof/>
                <w:color w:val="000000"/>
                <w:lang w:val="en-IE" w:eastAsia="en-IE"/>
              </w:rPr>
              <w:t>1</w:t>
            </w:r>
            <w:r w:rsidR="00DE2291" w:rsidRPr="000E19A1">
              <w:rPr>
                <w:rFonts w:ascii="Calibri" w:eastAsia="Times New Roman" w:hAnsi="Calibri" w:cs="Calibri"/>
                <w:noProof/>
                <w:color w:val="000000"/>
                <w:lang w:val="en-IE" w:eastAsia="en-IE"/>
              </w:rPr>
              <w:t>00</w:t>
            </w:r>
            <w:r w:rsidRPr="000E19A1">
              <w:rPr>
                <w:rFonts w:ascii="Calibri" w:eastAsia="Times New Roman" w:hAnsi="Calibri" w:cs="Calibri"/>
                <w:noProof/>
                <w:color w:val="000000"/>
                <w:lang w:val="en-IE" w:eastAsia="en-IE"/>
              </w:rPr>
              <w:t>.00</w:t>
            </w:r>
          </w:p>
        </w:tc>
        <w:tc>
          <w:tcPr>
            <w:tcW w:w="1268" w:type="dxa"/>
            <w:gridSpan w:val="2"/>
            <w:tcBorders>
              <w:top w:val="single" w:sz="4" w:space="0" w:color="auto"/>
              <w:left w:val="nil"/>
              <w:bottom w:val="single" w:sz="4" w:space="0" w:color="auto"/>
              <w:right w:val="single" w:sz="4" w:space="0" w:color="auto"/>
            </w:tcBorders>
            <w:vAlign w:val="center"/>
            <w:hideMark/>
          </w:tcPr>
          <w:p w14:paraId="02EEFA76"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1000" w:type="dxa"/>
            <w:tcBorders>
              <w:top w:val="single" w:sz="4" w:space="0" w:color="auto"/>
              <w:left w:val="nil"/>
              <w:bottom w:val="single" w:sz="4" w:space="0" w:color="auto"/>
              <w:right w:val="single" w:sz="4" w:space="0" w:color="auto"/>
            </w:tcBorders>
            <w:vAlign w:val="center"/>
            <w:hideMark/>
          </w:tcPr>
          <w:p w14:paraId="250B352C"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r>
      <w:tr w:rsidR="00783610" w:rsidRPr="000E19A1" w14:paraId="62E10242" w14:textId="77777777" w:rsidTr="00B9546F">
        <w:trPr>
          <w:trHeight w:val="1620"/>
        </w:trPr>
        <w:tc>
          <w:tcPr>
            <w:tcW w:w="1839" w:type="dxa"/>
            <w:gridSpan w:val="4"/>
            <w:tcBorders>
              <w:left w:val="single" w:sz="8" w:space="0" w:color="auto"/>
              <w:bottom w:val="single" w:sz="8" w:space="0" w:color="auto"/>
              <w:right w:val="nil"/>
            </w:tcBorders>
            <w:vAlign w:val="center"/>
          </w:tcPr>
          <w:p w14:paraId="1BFC7491" w14:textId="77777777" w:rsidR="00DE2291" w:rsidRPr="6F00936E" w:rsidRDefault="00DE2291" w:rsidP="6F00936E">
            <w:pPr>
              <w:spacing w:after="0"/>
              <w:rPr>
                <w:rFonts w:asciiTheme="minorHAnsi" w:hAnsiTheme="minorHAnsi"/>
                <w:noProof/>
              </w:rPr>
            </w:pPr>
          </w:p>
        </w:tc>
        <w:tc>
          <w:tcPr>
            <w:tcW w:w="552" w:type="dxa"/>
            <w:gridSpan w:val="2"/>
            <w:tcBorders>
              <w:top w:val="nil"/>
              <w:left w:val="nil"/>
              <w:bottom w:val="nil"/>
              <w:right w:val="single" w:sz="4" w:space="0" w:color="auto"/>
            </w:tcBorders>
            <w:shd w:val="clear" w:color="auto" w:fill="969696"/>
            <w:vAlign w:val="center"/>
          </w:tcPr>
          <w:p w14:paraId="3F10A2A3" w14:textId="77777777" w:rsidR="00DE2291" w:rsidRPr="000E19A1" w:rsidRDefault="00DE2291">
            <w:pPr>
              <w:spacing w:after="0"/>
              <w:rPr>
                <w:rFonts w:ascii="Arial" w:eastAsia="Times New Roman" w:hAnsi="Arial" w:cs="Arial"/>
                <w:noProof/>
                <w:color w:val="808080"/>
                <w:szCs w:val="20"/>
                <w:lang w:val="en-IE" w:eastAsia="en-IE"/>
              </w:rPr>
            </w:pPr>
          </w:p>
        </w:tc>
        <w:tc>
          <w:tcPr>
            <w:tcW w:w="845" w:type="dxa"/>
            <w:gridSpan w:val="3"/>
            <w:tcBorders>
              <w:top w:val="single" w:sz="4" w:space="0" w:color="auto"/>
              <w:left w:val="single" w:sz="4" w:space="0" w:color="auto"/>
              <w:bottom w:val="single" w:sz="4" w:space="0" w:color="auto"/>
              <w:right w:val="single" w:sz="4" w:space="0" w:color="auto"/>
            </w:tcBorders>
            <w:vAlign w:val="center"/>
          </w:tcPr>
          <w:p w14:paraId="7C3C1763" w14:textId="2FD3F27C" w:rsidR="00DE2291" w:rsidRPr="000E19A1" w:rsidRDefault="00B41CC7">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302,666</w:t>
            </w:r>
          </w:p>
        </w:tc>
        <w:tc>
          <w:tcPr>
            <w:tcW w:w="784" w:type="dxa"/>
            <w:gridSpan w:val="3"/>
            <w:tcBorders>
              <w:top w:val="single" w:sz="4" w:space="0" w:color="auto"/>
              <w:left w:val="nil"/>
              <w:bottom w:val="single" w:sz="4" w:space="0" w:color="auto"/>
              <w:right w:val="single" w:sz="4" w:space="0" w:color="auto"/>
            </w:tcBorders>
            <w:vAlign w:val="center"/>
          </w:tcPr>
          <w:p w14:paraId="285A1871" w14:textId="710A451A" w:rsidR="00DE2291" w:rsidRPr="000E19A1" w:rsidRDefault="00B41CC7">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1</w:t>
            </w:r>
          </w:p>
        </w:tc>
        <w:tc>
          <w:tcPr>
            <w:tcW w:w="1052" w:type="dxa"/>
            <w:gridSpan w:val="2"/>
            <w:tcBorders>
              <w:top w:val="single" w:sz="4" w:space="0" w:color="auto"/>
              <w:left w:val="nil"/>
              <w:bottom w:val="single" w:sz="4" w:space="0" w:color="auto"/>
              <w:right w:val="single" w:sz="4" w:space="0" w:color="auto"/>
            </w:tcBorders>
            <w:vAlign w:val="center"/>
          </w:tcPr>
          <w:p w14:paraId="23687B0C" w14:textId="3209F048" w:rsidR="00DE2291" w:rsidRPr="000E19A1" w:rsidRDefault="00B41CC7">
            <w:pPr>
              <w:spacing w:after="0"/>
              <w:jc w:val="right"/>
              <w:rPr>
                <w:rFonts w:ascii="Calibri" w:eastAsia="Times New Roman" w:hAnsi="Calibri" w:cs="Calibri"/>
                <w:noProof/>
                <w:color w:val="000000"/>
                <w:lang w:val="en-IE" w:eastAsia="en-IE"/>
              </w:rPr>
            </w:pPr>
            <w:r>
              <w:rPr>
                <w:rFonts w:ascii="Calibri" w:hAnsi="Calibri" w:cs="Calibri"/>
                <w:noProof/>
                <w:color w:val="000000"/>
                <w:sz w:val="22"/>
              </w:rPr>
              <w:t>45.6%</w:t>
            </w:r>
          </w:p>
        </w:tc>
        <w:tc>
          <w:tcPr>
            <w:tcW w:w="826" w:type="dxa"/>
            <w:tcBorders>
              <w:top w:val="single" w:sz="4" w:space="0" w:color="auto"/>
              <w:left w:val="nil"/>
              <w:bottom w:val="single" w:sz="4" w:space="0" w:color="auto"/>
              <w:right w:val="single" w:sz="4" w:space="0" w:color="auto"/>
            </w:tcBorders>
            <w:shd w:val="clear" w:color="000000" w:fill="FFFFFF"/>
            <w:vAlign w:val="center"/>
          </w:tcPr>
          <w:p w14:paraId="7A454696" w14:textId="316D1761" w:rsidR="00DE2291" w:rsidRPr="000E19A1" w:rsidRDefault="00B41CC7">
            <w:pPr>
              <w:spacing w:after="0"/>
              <w:rPr>
                <w:rFonts w:ascii="Calibri" w:eastAsia="Times New Roman" w:hAnsi="Calibri" w:cs="Calibri"/>
                <w:noProof/>
                <w:color w:val="000000"/>
                <w:lang w:val="en-IE" w:eastAsia="en-IE"/>
              </w:rPr>
            </w:pPr>
            <w:r>
              <w:rPr>
                <w:rFonts w:ascii="Calibri" w:hAnsi="Calibri" w:cs="Calibri"/>
                <w:noProof/>
                <w:color w:val="000000"/>
                <w:sz w:val="22"/>
              </w:rPr>
              <w:t>28th regime companies founded by natural and legal persons in 13 MS.</w:t>
            </w:r>
          </w:p>
        </w:tc>
        <w:tc>
          <w:tcPr>
            <w:tcW w:w="517" w:type="dxa"/>
            <w:gridSpan w:val="2"/>
            <w:tcBorders>
              <w:top w:val="nil"/>
              <w:left w:val="nil"/>
              <w:bottom w:val="nil"/>
              <w:right w:val="nil"/>
            </w:tcBorders>
            <w:shd w:val="clear" w:color="auto" w:fill="969696"/>
            <w:noWrap/>
            <w:vAlign w:val="center"/>
          </w:tcPr>
          <w:p w14:paraId="4EB1D06B" w14:textId="77777777" w:rsidR="00DE2291" w:rsidRPr="000E19A1" w:rsidRDefault="00DE2291">
            <w:pPr>
              <w:spacing w:after="0"/>
              <w:rPr>
                <w:rFonts w:ascii="Calibri" w:eastAsia="Times New Roman" w:hAnsi="Calibri" w:cs="Calibri"/>
                <w:noProof/>
                <w:color w:val="000000"/>
                <w:lang w:val="en-IE" w:eastAsia="en-IE"/>
              </w:rPr>
            </w:pPr>
          </w:p>
        </w:tc>
        <w:tc>
          <w:tcPr>
            <w:tcW w:w="95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6957051" w14:textId="7C1D46A0" w:rsidR="00DE2291" w:rsidRPr="000E19A1" w:rsidRDefault="00A40C11">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40.00</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7E0285ED" w14:textId="0A2B675B" w:rsidR="00DE2291" w:rsidRDefault="00A40C11">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10.00</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41D8BF45" w14:textId="3E28D205" w:rsidR="00DE2291" w:rsidRPr="000E19A1" w:rsidRDefault="00A40C11">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 </w:t>
            </w:r>
          </w:p>
        </w:tc>
        <w:tc>
          <w:tcPr>
            <w:tcW w:w="1250" w:type="dxa"/>
            <w:tcBorders>
              <w:top w:val="single" w:sz="4" w:space="0" w:color="auto"/>
              <w:left w:val="nil"/>
              <w:bottom w:val="single" w:sz="4" w:space="0" w:color="auto"/>
              <w:right w:val="single" w:sz="4" w:space="0" w:color="auto"/>
            </w:tcBorders>
            <w:vAlign w:val="center"/>
          </w:tcPr>
          <w:p w14:paraId="332EA2BE" w14:textId="3F0DD9FD" w:rsidR="00DE2291" w:rsidRDefault="00A40C11">
            <w:pPr>
              <w:spacing w:after="0"/>
              <w:rPr>
                <w:rFonts w:ascii="Calibri" w:eastAsia="Times New Roman" w:hAnsi="Calibri" w:cs="Calibri"/>
                <w:noProof/>
                <w:color w:val="000000"/>
                <w:lang w:val="en-IE" w:eastAsia="en-IE"/>
              </w:rPr>
            </w:pPr>
            <w:r>
              <w:rPr>
                <w:rFonts w:ascii="Calibri" w:hAnsi="Calibri" w:cs="Calibri"/>
                <w:noProof/>
                <w:color w:val="000000"/>
                <w:sz w:val="22"/>
              </w:rPr>
              <w:t>Additional 10 hours time reduction per company.</w:t>
            </w:r>
          </w:p>
        </w:tc>
        <w:tc>
          <w:tcPr>
            <w:tcW w:w="451" w:type="dxa"/>
            <w:tcBorders>
              <w:top w:val="nil"/>
              <w:left w:val="nil"/>
              <w:bottom w:val="nil"/>
              <w:right w:val="nil"/>
            </w:tcBorders>
            <w:shd w:val="clear" w:color="auto" w:fill="969696"/>
            <w:noWrap/>
            <w:vAlign w:val="center"/>
          </w:tcPr>
          <w:p w14:paraId="1F262359" w14:textId="77777777" w:rsidR="00DE2291" w:rsidRPr="000E19A1" w:rsidRDefault="00DE2291">
            <w:pPr>
              <w:spacing w:after="0"/>
              <w:rPr>
                <w:rFonts w:ascii="Arial" w:eastAsia="Times New Roman" w:hAnsi="Arial" w:cs="Arial"/>
                <w:noProof/>
                <w:szCs w:val="20"/>
                <w:lang w:val="en-IE" w:eastAsia="en-IE"/>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526DC62" w14:textId="0B907615" w:rsidR="00DE2291" w:rsidRPr="000E19A1" w:rsidRDefault="00BC4972">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400.00</w:t>
            </w:r>
          </w:p>
        </w:tc>
        <w:tc>
          <w:tcPr>
            <w:tcW w:w="1268" w:type="dxa"/>
            <w:gridSpan w:val="2"/>
            <w:tcBorders>
              <w:top w:val="single" w:sz="4" w:space="0" w:color="auto"/>
              <w:left w:val="nil"/>
              <w:bottom w:val="single" w:sz="4" w:space="0" w:color="auto"/>
              <w:right w:val="single" w:sz="4" w:space="0" w:color="auto"/>
            </w:tcBorders>
            <w:vAlign w:val="center"/>
          </w:tcPr>
          <w:p w14:paraId="0EE16748" w14:textId="400EC770" w:rsidR="00DE2291" w:rsidRPr="000E19A1" w:rsidRDefault="00BC4972">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138,016</w:t>
            </w:r>
          </w:p>
        </w:tc>
        <w:tc>
          <w:tcPr>
            <w:tcW w:w="1000" w:type="dxa"/>
            <w:tcBorders>
              <w:top w:val="single" w:sz="4" w:space="0" w:color="auto"/>
              <w:left w:val="nil"/>
              <w:bottom w:val="single" w:sz="4" w:space="0" w:color="auto"/>
              <w:right w:val="single" w:sz="4" w:space="0" w:color="auto"/>
            </w:tcBorders>
            <w:vAlign w:val="center"/>
          </w:tcPr>
          <w:p w14:paraId="7843FA29" w14:textId="716B4845" w:rsidR="00DE2291" w:rsidRPr="000E19A1" w:rsidRDefault="00BC4972">
            <w:pPr>
              <w:spacing w:after="0"/>
              <w:jc w:val="center"/>
              <w:rPr>
                <w:rFonts w:ascii="Calibri" w:eastAsia="Times New Roman" w:hAnsi="Calibri" w:cs="Calibri"/>
                <w:noProof/>
                <w:color w:val="000000"/>
                <w:lang w:val="en-IE" w:eastAsia="en-IE"/>
              </w:rPr>
            </w:pPr>
            <w:r>
              <w:rPr>
                <w:rFonts w:ascii="Calibri" w:hAnsi="Calibri" w:cs="Calibri"/>
                <w:noProof/>
                <w:color w:val="000000"/>
                <w:sz w:val="22"/>
              </w:rPr>
              <w:t xml:space="preserve"> </w:t>
            </w:r>
            <w:r w:rsidR="000A65B4">
              <w:rPr>
                <w:rFonts w:ascii="Calibri" w:hAnsi="Calibri" w:cs="Calibri"/>
                <w:noProof/>
                <w:color w:val="000000"/>
                <w:sz w:val="22"/>
              </w:rPr>
              <w:t>EUR</w:t>
            </w:r>
            <w:r>
              <w:rPr>
                <w:rFonts w:ascii="Calibri" w:hAnsi="Calibri" w:cs="Calibri"/>
                <w:noProof/>
                <w:color w:val="000000"/>
                <w:sz w:val="22"/>
              </w:rPr>
              <w:t xml:space="preserve"> 55,206,278 </w:t>
            </w:r>
          </w:p>
        </w:tc>
      </w:tr>
      <w:tr w:rsidR="00783610" w:rsidRPr="000E19A1" w14:paraId="50C789CD" w14:textId="77777777" w:rsidTr="00B9546F">
        <w:trPr>
          <w:trHeight w:val="300"/>
        </w:trPr>
        <w:tc>
          <w:tcPr>
            <w:tcW w:w="332" w:type="dxa"/>
            <w:tcBorders>
              <w:top w:val="nil"/>
              <w:left w:val="single" w:sz="8" w:space="0" w:color="auto"/>
              <w:bottom w:val="single" w:sz="8" w:space="0" w:color="auto"/>
              <w:right w:val="nil"/>
            </w:tcBorders>
            <w:shd w:val="clear" w:color="auto" w:fill="305496"/>
            <w:noWrap/>
            <w:vAlign w:val="center"/>
            <w:hideMark/>
          </w:tcPr>
          <w:p w14:paraId="3766750F"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333" w:type="dxa"/>
            <w:tcBorders>
              <w:top w:val="nil"/>
              <w:left w:val="nil"/>
              <w:bottom w:val="single" w:sz="8" w:space="0" w:color="auto"/>
              <w:right w:val="nil"/>
            </w:tcBorders>
            <w:shd w:val="clear" w:color="auto" w:fill="305496"/>
            <w:noWrap/>
            <w:vAlign w:val="center"/>
            <w:hideMark/>
          </w:tcPr>
          <w:p w14:paraId="70A57F63"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174" w:type="dxa"/>
            <w:gridSpan w:val="2"/>
            <w:tcBorders>
              <w:top w:val="nil"/>
              <w:left w:val="nil"/>
              <w:bottom w:val="single" w:sz="8" w:space="0" w:color="auto"/>
              <w:right w:val="nil"/>
            </w:tcBorders>
            <w:shd w:val="clear" w:color="auto" w:fill="305496"/>
            <w:noWrap/>
            <w:vAlign w:val="center"/>
            <w:hideMark/>
          </w:tcPr>
          <w:p w14:paraId="1814E8FC"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552" w:type="dxa"/>
            <w:gridSpan w:val="2"/>
            <w:tcBorders>
              <w:top w:val="nil"/>
              <w:left w:val="nil"/>
              <w:bottom w:val="nil"/>
              <w:right w:val="nil"/>
            </w:tcBorders>
            <w:shd w:val="clear" w:color="auto" w:fill="969696"/>
            <w:vAlign w:val="center"/>
            <w:hideMark/>
          </w:tcPr>
          <w:p w14:paraId="753AD44D"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tcBorders>
              <w:top w:val="nil"/>
              <w:left w:val="single" w:sz="4" w:space="0" w:color="auto"/>
              <w:bottom w:val="single" w:sz="8" w:space="0" w:color="auto"/>
              <w:right w:val="nil"/>
            </w:tcBorders>
            <w:shd w:val="clear" w:color="auto" w:fill="8EA9DB"/>
            <w:noWrap/>
            <w:vAlign w:val="center"/>
            <w:hideMark/>
          </w:tcPr>
          <w:p w14:paraId="6CEF761F"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784" w:type="dxa"/>
            <w:gridSpan w:val="3"/>
            <w:tcBorders>
              <w:top w:val="nil"/>
              <w:left w:val="single" w:sz="4" w:space="0" w:color="auto"/>
              <w:bottom w:val="single" w:sz="8" w:space="0" w:color="auto"/>
              <w:right w:val="nil"/>
            </w:tcBorders>
            <w:shd w:val="clear" w:color="auto" w:fill="8EA9DB"/>
            <w:noWrap/>
            <w:vAlign w:val="center"/>
            <w:hideMark/>
          </w:tcPr>
          <w:p w14:paraId="39936FAF"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042" w:type="dxa"/>
            <w:tcBorders>
              <w:top w:val="nil"/>
              <w:left w:val="single" w:sz="4" w:space="0" w:color="auto"/>
              <w:bottom w:val="single" w:sz="8" w:space="0" w:color="auto"/>
              <w:right w:val="nil"/>
            </w:tcBorders>
            <w:shd w:val="clear" w:color="auto" w:fill="8EA9DB"/>
            <w:noWrap/>
            <w:vAlign w:val="center"/>
            <w:hideMark/>
          </w:tcPr>
          <w:p w14:paraId="6830601E"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845" w:type="dxa"/>
            <w:gridSpan w:val="2"/>
            <w:tcBorders>
              <w:top w:val="nil"/>
              <w:left w:val="single" w:sz="4" w:space="0" w:color="auto"/>
              <w:bottom w:val="single" w:sz="8" w:space="0" w:color="auto"/>
              <w:right w:val="nil"/>
            </w:tcBorders>
            <w:shd w:val="clear" w:color="auto" w:fill="8EA9DB"/>
            <w:noWrap/>
            <w:vAlign w:val="center"/>
            <w:hideMark/>
          </w:tcPr>
          <w:p w14:paraId="22E44D0C"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518" w:type="dxa"/>
            <w:gridSpan w:val="2"/>
            <w:tcBorders>
              <w:top w:val="nil"/>
              <w:left w:val="nil"/>
              <w:bottom w:val="nil"/>
              <w:right w:val="nil"/>
            </w:tcBorders>
            <w:shd w:val="clear" w:color="auto" w:fill="969696"/>
            <w:noWrap/>
            <w:vAlign w:val="center"/>
            <w:hideMark/>
          </w:tcPr>
          <w:p w14:paraId="2B6C7949"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nil"/>
              <w:left w:val="single" w:sz="4" w:space="0" w:color="auto"/>
              <w:bottom w:val="single" w:sz="8" w:space="0" w:color="auto"/>
              <w:right w:val="nil"/>
            </w:tcBorders>
            <w:shd w:val="clear" w:color="auto" w:fill="C6E0B4"/>
            <w:noWrap/>
            <w:vAlign w:val="center"/>
            <w:hideMark/>
          </w:tcPr>
          <w:p w14:paraId="7B75BAA3"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709" w:type="dxa"/>
            <w:tcBorders>
              <w:top w:val="nil"/>
              <w:left w:val="single" w:sz="4" w:space="0" w:color="auto"/>
              <w:bottom w:val="single" w:sz="8" w:space="0" w:color="auto"/>
              <w:right w:val="nil"/>
            </w:tcBorders>
            <w:shd w:val="clear" w:color="auto" w:fill="C6E0B4"/>
            <w:noWrap/>
            <w:vAlign w:val="center"/>
            <w:hideMark/>
          </w:tcPr>
          <w:p w14:paraId="6E85E63D"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134" w:type="dxa"/>
            <w:tcBorders>
              <w:top w:val="nil"/>
              <w:left w:val="single" w:sz="4" w:space="0" w:color="auto"/>
              <w:bottom w:val="single" w:sz="8" w:space="0" w:color="auto"/>
              <w:right w:val="nil"/>
            </w:tcBorders>
            <w:shd w:val="clear" w:color="auto" w:fill="C6E0B4"/>
            <w:vAlign w:val="center"/>
            <w:hideMark/>
          </w:tcPr>
          <w:p w14:paraId="21DEA913"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1250" w:type="dxa"/>
            <w:tcBorders>
              <w:top w:val="nil"/>
              <w:left w:val="single" w:sz="4" w:space="0" w:color="auto"/>
              <w:bottom w:val="single" w:sz="8" w:space="0" w:color="auto"/>
              <w:right w:val="nil"/>
            </w:tcBorders>
            <w:shd w:val="clear" w:color="auto" w:fill="C6E0B4"/>
            <w:vAlign w:val="center"/>
            <w:hideMark/>
          </w:tcPr>
          <w:p w14:paraId="7608FB91"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451" w:type="dxa"/>
            <w:tcBorders>
              <w:top w:val="nil"/>
              <w:left w:val="nil"/>
              <w:bottom w:val="nil"/>
              <w:right w:val="nil"/>
            </w:tcBorders>
            <w:shd w:val="clear" w:color="auto" w:fill="969696"/>
            <w:noWrap/>
            <w:vAlign w:val="center"/>
            <w:hideMark/>
          </w:tcPr>
          <w:p w14:paraId="51A7D652"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2544" w:type="dxa"/>
            <w:gridSpan w:val="4"/>
            <w:tcBorders>
              <w:top w:val="nil"/>
              <w:left w:val="single" w:sz="8" w:space="0" w:color="auto"/>
              <w:bottom w:val="single" w:sz="8" w:space="0" w:color="auto"/>
              <w:right w:val="nil"/>
            </w:tcBorders>
            <w:shd w:val="clear" w:color="auto" w:fill="DBDBDB"/>
            <w:noWrap/>
            <w:vAlign w:val="center"/>
            <w:hideMark/>
          </w:tcPr>
          <w:p w14:paraId="2ED5F051" w14:textId="77777777" w:rsidR="00485073" w:rsidRPr="000E19A1" w:rsidRDefault="00485073">
            <w:pPr>
              <w:spacing w:after="0"/>
              <w:jc w:val="center"/>
              <w:rPr>
                <w:rFonts w:ascii="Arial" w:eastAsia="Times New Roman" w:hAnsi="Arial" w:cs="Arial"/>
                <w:b/>
                <w:bCs/>
                <w:noProof/>
                <w:szCs w:val="20"/>
                <w:lang w:val="en-IE" w:eastAsia="en-IE"/>
              </w:rPr>
            </w:pPr>
            <w:r w:rsidRPr="000E19A1">
              <w:rPr>
                <w:rFonts w:ascii="Arial" w:eastAsia="Times New Roman" w:hAnsi="Arial" w:cs="Arial"/>
                <w:b/>
                <w:bCs/>
                <w:noProof/>
                <w:szCs w:val="20"/>
                <w:lang w:val="en-IE" w:eastAsia="en-IE"/>
              </w:rPr>
              <w:t>Admin burden reduction PO6b</w:t>
            </w:r>
          </w:p>
        </w:tc>
        <w:tc>
          <w:tcPr>
            <w:tcW w:w="1000" w:type="dxa"/>
            <w:tcBorders>
              <w:top w:val="nil"/>
              <w:left w:val="single" w:sz="8" w:space="0" w:color="auto"/>
              <w:bottom w:val="single" w:sz="8" w:space="0" w:color="auto"/>
              <w:right w:val="single" w:sz="8" w:space="0" w:color="auto"/>
            </w:tcBorders>
            <w:shd w:val="clear" w:color="auto" w:fill="DBDBDB"/>
            <w:noWrap/>
            <w:vAlign w:val="center"/>
            <w:hideMark/>
          </w:tcPr>
          <w:p w14:paraId="607115D0" w14:textId="5C15A486" w:rsidR="00485073" w:rsidRPr="000E19A1" w:rsidRDefault="71F81F8C"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737C6EC8"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w:t>
            </w:r>
            <w:r w:rsidR="00BC4972" w:rsidRPr="00BC4972">
              <w:rPr>
                <w:rFonts w:ascii="Calibri" w:hAnsi="Calibri" w:cs="Calibri"/>
                <w:b/>
                <w:bCs/>
                <w:noProof/>
                <w:color w:val="000000"/>
                <w:sz w:val="22"/>
              </w:rPr>
              <w:t>55,206,278</w:t>
            </w:r>
          </w:p>
        </w:tc>
      </w:tr>
      <w:tr w:rsidR="00401FEA" w:rsidRPr="000E19A1" w14:paraId="43961A86" w14:textId="77777777" w:rsidTr="00B9546F">
        <w:trPr>
          <w:trHeight w:val="300"/>
        </w:trPr>
        <w:tc>
          <w:tcPr>
            <w:tcW w:w="1813" w:type="dxa"/>
            <w:gridSpan w:val="3"/>
            <w:tcBorders>
              <w:top w:val="single" w:sz="8" w:space="0" w:color="auto"/>
              <w:left w:val="single" w:sz="8" w:space="0" w:color="auto"/>
              <w:bottom w:val="single" w:sz="8" w:space="0" w:color="auto"/>
              <w:right w:val="nil"/>
            </w:tcBorders>
            <w:shd w:val="clear" w:color="auto" w:fill="FFFF00"/>
            <w:noWrap/>
            <w:vAlign w:val="center"/>
            <w:hideMark/>
          </w:tcPr>
          <w:p w14:paraId="1A7E2E77" w14:textId="3A6DB121" w:rsidR="00485073" w:rsidRPr="000E19A1" w:rsidRDefault="0062066A">
            <w:pPr>
              <w:spacing w:after="0"/>
              <w:rPr>
                <w:rFonts w:ascii="Arial" w:eastAsia="Times New Roman" w:hAnsi="Arial" w:cs="Arial"/>
                <w:noProof/>
                <w:szCs w:val="20"/>
                <w:lang w:val="en-IE" w:eastAsia="en-IE"/>
              </w:rPr>
            </w:pPr>
            <w:r w:rsidRPr="000E19A1">
              <w:rPr>
                <w:rFonts w:ascii="Arial" w:eastAsia="Times New Roman" w:hAnsi="Arial" w:cs="Arial"/>
                <w:b/>
                <w:bCs/>
                <w:noProof/>
                <w:szCs w:val="20"/>
                <w:lang w:val="en-IE" w:eastAsia="en-IE"/>
              </w:rPr>
              <w:t>PO 6c</w:t>
            </w:r>
            <w:r w:rsidRPr="000E19A1">
              <w:rPr>
                <w:rFonts w:ascii="Arial" w:eastAsia="Times New Roman" w:hAnsi="Arial" w:cs="Arial"/>
                <w:noProof/>
                <w:szCs w:val="20"/>
                <w:lang w:val="en-IE" w:eastAsia="en-IE"/>
              </w:rPr>
              <w:t> </w:t>
            </w:r>
          </w:p>
        </w:tc>
        <w:tc>
          <w:tcPr>
            <w:tcW w:w="597" w:type="dxa"/>
            <w:gridSpan w:val="5"/>
            <w:tcBorders>
              <w:top w:val="nil"/>
              <w:left w:val="nil"/>
              <w:bottom w:val="nil"/>
              <w:right w:val="nil"/>
            </w:tcBorders>
            <w:shd w:val="clear" w:color="auto" w:fill="969696"/>
            <w:vAlign w:val="center"/>
            <w:hideMark/>
          </w:tcPr>
          <w:p w14:paraId="75C94CB7"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1" w:type="dxa"/>
            <w:gridSpan w:val="3"/>
            <w:tcBorders>
              <w:top w:val="nil"/>
              <w:left w:val="single" w:sz="4" w:space="0" w:color="auto"/>
              <w:bottom w:val="nil"/>
              <w:right w:val="nil"/>
            </w:tcBorders>
            <w:vAlign w:val="center"/>
            <w:hideMark/>
          </w:tcPr>
          <w:p w14:paraId="4690FF3E"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769" w:type="dxa"/>
            <w:gridSpan w:val="2"/>
            <w:tcBorders>
              <w:top w:val="nil"/>
              <w:left w:val="single" w:sz="4" w:space="0" w:color="auto"/>
              <w:bottom w:val="nil"/>
              <w:right w:val="nil"/>
            </w:tcBorders>
            <w:noWrap/>
            <w:vAlign w:val="center"/>
            <w:hideMark/>
          </w:tcPr>
          <w:p w14:paraId="439CC39E"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042" w:type="dxa"/>
            <w:tcBorders>
              <w:top w:val="nil"/>
              <w:left w:val="single" w:sz="4" w:space="0" w:color="auto"/>
              <w:bottom w:val="nil"/>
              <w:right w:val="nil"/>
            </w:tcBorders>
            <w:noWrap/>
            <w:vAlign w:val="center"/>
            <w:hideMark/>
          </w:tcPr>
          <w:p w14:paraId="700952EC"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845" w:type="dxa"/>
            <w:gridSpan w:val="2"/>
            <w:tcBorders>
              <w:top w:val="nil"/>
              <w:left w:val="single" w:sz="4" w:space="0" w:color="auto"/>
              <w:bottom w:val="nil"/>
              <w:right w:val="nil"/>
            </w:tcBorders>
            <w:noWrap/>
            <w:vAlign w:val="center"/>
            <w:hideMark/>
          </w:tcPr>
          <w:p w14:paraId="30BF0F5D"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518" w:type="dxa"/>
            <w:gridSpan w:val="2"/>
            <w:tcBorders>
              <w:top w:val="nil"/>
              <w:left w:val="nil"/>
              <w:bottom w:val="nil"/>
              <w:right w:val="nil"/>
            </w:tcBorders>
            <w:shd w:val="clear" w:color="auto" w:fill="969696"/>
            <w:noWrap/>
            <w:vAlign w:val="center"/>
            <w:hideMark/>
          </w:tcPr>
          <w:p w14:paraId="2CBD1E5B"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nil"/>
              <w:left w:val="single" w:sz="4" w:space="0" w:color="auto"/>
              <w:bottom w:val="nil"/>
              <w:right w:val="nil"/>
            </w:tcBorders>
            <w:noWrap/>
            <w:vAlign w:val="center"/>
            <w:hideMark/>
          </w:tcPr>
          <w:p w14:paraId="6E424C0B"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709" w:type="dxa"/>
            <w:tcBorders>
              <w:top w:val="nil"/>
              <w:left w:val="single" w:sz="4" w:space="0" w:color="auto"/>
              <w:bottom w:val="nil"/>
              <w:right w:val="nil"/>
            </w:tcBorders>
            <w:shd w:val="clear" w:color="auto" w:fill="FFFFFF" w:themeFill="background1"/>
            <w:noWrap/>
            <w:vAlign w:val="center"/>
            <w:hideMark/>
          </w:tcPr>
          <w:p w14:paraId="006C2AAD"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134" w:type="dxa"/>
            <w:tcBorders>
              <w:top w:val="nil"/>
              <w:left w:val="single" w:sz="4" w:space="0" w:color="auto"/>
              <w:bottom w:val="nil"/>
              <w:right w:val="nil"/>
            </w:tcBorders>
            <w:noWrap/>
            <w:vAlign w:val="center"/>
            <w:hideMark/>
          </w:tcPr>
          <w:p w14:paraId="50ADD8E2"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250" w:type="dxa"/>
            <w:tcBorders>
              <w:top w:val="nil"/>
              <w:left w:val="single" w:sz="4" w:space="0" w:color="auto"/>
              <w:bottom w:val="nil"/>
              <w:right w:val="nil"/>
            </w:tcBorders>
            <w:noWrap/>
            <w:vAlign w:val="center"/>
            <w:hideMark/>
          </w:tcPr>
          <w:p w14:paraId="38662C1F"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451" w:type="dxa"/>
            <w:tcBorders>
              <w:top w:val="nil"/>
              <w:left w:val="nil"/>
              <w:bottom w:val="nil"/>
              <w:right w:val="single" w:sz="8" w:space="0" w:color="auto"/>
            </w:tcBorders>
            <w:shd w:val="clear" w:color="auto" w:fill="969696"/>
            <w:noWrap/>
            <w:vAlign w:val="center"/>
            <w:hideMark/>
          </w:tcPr>
          <w:p w14:paraId="42B77448"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533" w:type="dxa"/>
            <w:tcBorders>
              <w:top w:val="nil"/>
              <w:left w:val="nil"/>
              <w:bottom w:val="nil"/>
              <w:right w:val="nil"/>
            </w:tcBorders>
            <w:noWrap/>
            <w:vAlign w:val="center"/>
            <w:hideMark/>
          </w:tcPr>
          <w:p w14:paraId="12F4D1E4"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912" w:type="dxa"/>
            <w:gridSpan w:val="2"/>
            <w:tcBorders>
              <w:top w:val="nil"/>
              <w:left w:val="nil"/>
              <w:bottom w:val="nil"/>
              <w:right w:val="nil"/>
            </w:tcBorders>
            <w:noWrap/>
            <w:vAlign w:val="center"/>
            <w:hideMark/>
          </w:tcPr>
          <w:p w14:paraId="5524C23D" w14:textId="77777777" w:rsidR="00485073" w:rsidRPr="000E19A1" w:rsidRDefault="00485073">
            <w:pPr>
              <w:spacing w:after="0"/>
              <w:jc w:val="center"/>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2099" w:type="dxa"/>
            <w:gridSpan w:val="2"/>
            <w:tcBorders>
              <w:top w:val="nil"/>
              <w:left w:val="nil"/>
              <w:bottom w:val="nil"/>
              <w:right w:val="single" w:sz="8" w:space="0" w:color="auto"/>
            </w:tcBorders>
            <w:noWrap/>
            <w:vAlign w:val="center"/>
            <w:hideMark/>
          </w:tcPr>
          <w:p w14:paraId="7E3C70A7" w14:textId="77777777" w:rsidR="00485073" w:rsidRPr="000E19A1" w:rsidRDefault="00485073">
            <w:pPr>
              <w:spacing w:after="0"/>
              <w:jc w:val="center"/>
              <w:rPr>
                <w:rFonts w:ascii="Arial" w:eastAsia="Times New Roman" w:hAnsi="Arial" w:cs="Arial"/>
                <w:b/>
                <w:bCs/>
                <w:noProof/>
                <w:szCs w:val="20"/>
                <w:lang w:val="en-IE" w:eastAsia="en-IE"/>
              </w:rPr>
            </w:pPr>
            <w:r w:rsidRPr="000E19A1">
              <w:rPr>
                <w:rFonts w:ascii="Arial" w:eastAsia="Times New Roman" w:hAnsi="Arial" w:cs="Arial"/>
                <w:b/>
                <w:bCs/>
                <w:noProof/>
                <w:szCs w:val="20"/>
                <w:lang w:val="en-IE" w:eastAsia="en-IE"/>
              </w:rPr>
              <w:t> </w:t>
            </w:r>
          </w:p>
        </w:tc>
      </w:tr>
      <w:tr w:rsidR="00783610" w:rsidRPr="000E19A1" w14:paraId="750A3B45" w14:textId="77777777" w:rsidTr="00B9546F">
        <w:trPr>
          <w:trHeight w:val="1343"/>
        </w:trPr>
        <w:tc>
          <w:tcPr>
            <w:tcW w:w="1839" w:type="dxa"/>
            <w:gridSpan w:val="4"/>
            <w:tcBorders>
              <w:top w:val="single" w:sz="8" w:space="0" w:color="auto"/>
              <w:left w:val="single" w:sz="8" w:space="0" w:color="auto"/>
              <w:bottom w:val="single" w:sz="8" w:space="0" w:color="auto"/>
              <w:right w:val="nil"/>
            </w:tcBorders>
            <w:vAlign w:val="center"/>
            <w:hideMark/>
          </w:tcPr>
          <w:p w14:paraId="68F23B96" w14:textId="0E4D5E6B" w:rsidR="00485073" w:rsidRPr="000E19A1" w:rsidRDefault="0062066A">
            <w:pPr>
              <w:spacing w:after="0"/>
              <w:rPr>
                <w:rFonts w:ascii="Calibri" w:eastAsia="Times New Roman" w:hAnsi="Calibri" w:cs="Calibri"/>
                <w:noProof/>
                <w:color w:val="000000"/>
                <w:lang w:val="en-IE" w:eastAsia="en-IE"/>
              </w:rPr>
            </w:pPr>
            <w:r w:rsidRPr="0062066A">
              <w:rPr>
                <w:rFonts w:asciiTheme="minorHAnsi" w:eastAsia="Times New Roman" w:hAnsiTheme="minorHAnsi" w:cstheme="minorHAnsi"/>
                <w:noProof/>
                <w:color w:val="000000"/>
                <w:lang w:val="en-IE" w:eastAsia="en-IE"/>
              </w:rPr>
              <w:t>Option</w:t>
            </w:r>
            <w:r w:rsidR="00485073" w:rsidRPr="000448BA">
              <w:rPr>
                <w:rFonts w:asciiTheme="minorHAnsi" w:eastAsia="Times New Roman" w:hAnsiTheme="minorHAnsi" w:cstheme="minorHAnsi"/>
                <w:noProof/>
                <w:color w:val="000000"/>
                <w:lang w:val="en-IE" w:eastAsia="en-IE"/>
              </w:rPr>
              <w:t xml:space="preserve"> 6</w:t>
            </w:r>
            <w:r w:rsidR="000448BA" w:rsidRPr="000448BA">
              <w:rPr>
                <w:rFonts w:asciiTheme="minorHAnsi" w:eastAsia="Times New Roman" w:hAnsiTheme="minorHAnsi" w:cstheme="minorHAnsi"/>
                <w:noProof/>
                <w:color w:val="000000"/>
                <w:lang w:val="en-IE" w:eastAsia="en-IE"/>
              </w:rPr>
              <w:t>a</w:t>
            </w:r>
            <w:r w:rsidR="00485073" w:rsidRPr="000448BA">
              <w:rPr>
                <w:rFonts w:asciiTheme="minorHAnsi" w:eastAsia="Times New Roman" w:hAnsiTheme="minorHAnsi" w:cstheme="minorHAnsi"/>
                <w:noProof/>
                <w:color w:val="000000"/>
                <w:lang w:val="en-IE" w:eastAsia="en-IE"/>
              </w:rPr>
              <w:t xml:space="preserve"> </w:t>
            </w:r>
            <w:r w:rsidRPr="0062066A">
              <w:rPr>
                <w:rFonts w:asciiTheme="minorHAnsi" w:eastAsia="Times New Roman" w:hAnsiTheme="minorHAnsi" w:cstheme="minorHAnsi"/>
                <w:noProof/>
                <w:color w:val="000000"/>
                <w:lang w:val="en-IE" w:eastAsia="en-IE"/>
              </w:rPr>
              <w:t>+</w:t>
            </w:r>
            <w:r w:rsidR="000448BA" w:rsidRPr="0062066A">
              <w:rPr>
                <w:rFonts w:asciiTheme="minorHAnsi" w:eastAsia="Times New Roman" w:hAnsiTheme="minorHAnsi" w:cstheme="minorHAnsi"/>
                <w:noProof/>
                <w:color w:val="000000"/>
                <w:lang w:val="en-IE" w:eastAsia="en-IE"/>
              </w:rPr>
              <w:t xml:space="preserve"> common minimum share capital of EUR</w:t>
            </w:r>
            <w:r w:rsidRPr="0062066A">
              <w:rPr>
                <w:rFonts w:asciiTheme="minorHAnsi" w:eastAsia="Times New Roman" w:hAnsiTheme="minorHAnsi" w:cstheme="minorHAnsi"/>
                <w:noProof/>
                <w:color w:val="000000"/>
                <w:lang w:val="en-IE" w:eastAsia="en-IE"/>
              </w:rPr>
              <w:t xml:space="preserve"> 5 000</w:t>
            </w:r>
            <w:r w:rsidR="000448BA" w:rsidRPr="0062066A">
              <w:rPr>
                <w:rFonts w:asciiTheme="minorHAnsi" w:eastAsia="Times New Roman" w:hAnsiTheme="minorHAnsi" w:cstheme="minorHAnsi"/>
                <w:noProof/>
                <w:color w:val="000000"/>
                <w:lang w:val="en-IE" w:eastAsia="en-IE"/>
              </w:rPr>
              <w:t xml:space="preserve"> for incorporation of 28th regime companies with harmonised creditor protection safeguards based primarily on capital maintenance</w:t>
            </w:r>
            <w:r w:rsidRPr="0062066A">
              <w:rPr>
                <w:rFonts w:asciiTheme="minorHAnsi" w:eastAsia="Times New Roman" w:hAnsiTheme="minorHAnsi" w:cstheme="minorHAnsi"/>
                <w:noProof/>
                <w:color w:val="000000"/>
                <w:lang w:val="en-IE" w:eastAsia="en-IE"/>
              </w:rPr>
              <w:t>.</w:t>
            </w:r>
            <w:r w:rsidR="00485073" w:rsidRPr="000E19A1">
              <w:rPr>
                <w:rFonts w:ascii="Calibri" w:eastAsia="Times New Roman" w:hAnsi="Calibri" w:cs="Calibri"/>
                <w:noProof/>
                <w:color w:val="000000"/>
                <w:lang w:val="en-IE" w:eastAsia="en-IE"/>
              </w:rPr>
              <w:br/>
            </w:r>
          </w:p>
        </w:tc>
        <w:tc>
          <w:tcPr>
            <w:tcW w:w="552" w:type="dxa"/>
            <w:gridSpan w:val="2"/>
            <w:tcBorders>
              <w:top w:val="nil"/>
              <w:left w:val="nil"/>
              <w:bottom w:val="nil"/>
              <w:right w:val="single" w:sz="4" w:space="0" w:color="auto"/>
            </w:tcBorders>
            <w:shd w:val="clear" w:color="auto" w:fill="969696"/>
            <w:vAlign w:val="center"/>
            <w:hideMark/>
          </w:tcPr>
          <w:p w14:paraId="2FE4DFCE"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tcBorders>
              <w:top w:val="single" w:sz="4" w:space="0" w:color="auto"/>
              <w:left w:val="single" w:sz="4" w:space="0" w:color="auto"/>
              <w:bottom w:val="single" w:sz="4" w:space="0" w:color="auto"/>
              <w:right w:val="single" w:sz="4" w:space="0" w:color="auto"/>
            </w:tcBorders>
            <w:vAlign w:val="center"/>
            <w:hideMark/>
          </w:tcPr>
          <w:p w14:paraId="7A6AB467"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308,843</w:t>
            </w:r>
          </w:p>
        </w:tc>
        <w:tc>
          <w:tcPr>
            <w:tcW w:w="784" w:type="dxa"/>
            <w:gridSpan w:val="3"/>
            <w:tcBorders>
              <w:top w:val="single" w:sz="4" w:space="0" w:color="auto"/>
              <w:left w:val="nil"/>
              <w:bottom w:val="single" w:sz="4" w:space="0" w:color="auto"/>
              <w:right w:val="single" w:sz="4" w:space="0" w:color="auto"/>
            </w:tcBorders>
            <w:vAlign w:val="center"/>
            <w:hideMark/>
          </w:tcPr>
          <w:p w14:paraId="6A97DA10"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w:t>
            </w:r>
          </w:p>
        </w:tc>
        <w:tc>
          <w:tcPr>
            <w:tcW w:w="1042" w:type="dxa"/>
            <w:tcBorders>
              <w:top w:val="single" w:sz="4" w:space="0" w:color="auto"/>
              <w:left w:val="nil"/>
              <w:bottom w:val="single" w:sz="4" w:space="0" w:color="auto"/>
              <w:right w:val="single" w:sz="4" w:space="0" w:color="auto"/>
            </w:tcBorders>
            <w:vAlign w:val="center"/>
            <w:hideMark/>
          </w:tcPr>
          <w:p w14:paraId="5E958163" w14:textId="77777777" w:rsidR="00485073" w:rsidRPr="000E19A1" w:rsidRDefault="00485073">
            <w:pPr>
              <w:spacing w:after="0"/>
              <w:jc w:val="right"/>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100%</w:t>
            </w:r>
          </w:p>
        </w:tc>
        <w:tc>
          <w:tcPr>
            <w:tcW w:w="845"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28918A2F"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518" w:type="dxa"/>
            <w:gridSpan w:val="2"/>
            <w:tcBorders>
              <w:top w:val="nil"/>
              <w:left w:val="nil"/>
              <w:bottom w:val="nil"/>
              <w:right w:val="nil"/>
            </w:tcBorders>
            <w:shd w:val="clear" w:color="auto" w:fill="969696"/>
            <w:noWrap/>
            <w:vAlign w:val="center"/>
            <w:hideMark/>
          </w:tcPr>
          <w:p w14:paraId="726EF108"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21B672"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40.00</w:t>
            </w:r>
          </w:p>
        </w:tc>
        <w:tc>
          <w:tcPr>
            <w:tcW w:w="709" w:type="dxa"/>
            <w:tcBorders>
              <w:top w:val="single" w:sz="4" w:space="0" w:color="auto"/>
              <w:left w:val="nil"/>
              <w:bottom w:val="single" w:sz="4" w:space="0" w:color="auto"/>
              <w:right w:val="single" w:sz="4" w:space="0" w:color="auto"/>
            </w:tcBorders>
            <w:shd w:val="clear" w:color="auto" w:fill="FFFFFF" w:themeFill="background1"/>
            <w:vAlign w:val="center"/>
            <w:hideMark/>
          </w:tcPr>
          <w:p w14:paraId="1960F4AE" w14:textId="342C47CC" w:rsidR="00485073" w:rsidRPr="000E19A1" w:rsidRDefault="0062066A">
            <w:pPr>
              <w:spacing w:after="0"/>
              <w:jc w:val="center"/>
              <w:rPr>
                <w:rFonts w:ascii="Calibri" w:eastAsia="Times New Roman" w:hAnsi="Calibri" w:cs="Calibri"/>
                <w:noProof/>
                <w:color w:val="000000"/>
                <w:lang w:val="en-IE" w:eastAsia="en-IE"/>
              </w:rPr>
            </w:pPr>
            <w:r>
              <w:rPr>
                <w:rFonts w:ascii="Calibri" w:eastAsia="Times New Roman" w:hAnsi="Calibri" w:cs="Calibri"/>
                <w:noProof/>
                <w:color w:val="000000"/>
                <w:lang w:val="en-IE" w:eastAsia="en-IE"/>
              </w:rPr>
              <w:t>1</w:t>
            </w:r>
            <w:r w:rsidR="00BC4972" w:rsidRPr="000E19A1">
              <w:rPr>
                <w:rFonts w:ascii="Calibri" w:eastAsia="Times New Roman" w:hAnsi="Calibri" w:cs="Calibri"/>
                <w:noProof/>
                <w:color w:val="000000"/>
                <w:lang w:val="en-IE" w:eastAsia="en-IE"/>
              </w:rPr>
              <w:t>5</w:t>
            </w:r>
            <w:r w:rsidR="00485073" w:rsidRPr="000E19A1">
              <w:rPr>
                <w:rFonts w:ascii="Calibri" w:eastAsia="Times New Roman" w:hAnsi="Calibri" w:cs="Calibri"/>
                <w:noProof/>
                <w:color w:val="000000"/>
                <w:lang w:val="en-IE" w:eastAsia="en-IE"/>
              </w:rPr>
              <w:t>.00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hideMark/>
          </w:tcPr>
          <w:p w14:paraId="379772B4"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500.00</w:t>
            </w:r>
          </w:p>
        </w:tc>
        <w:tc>
          <w:tcPr>
            <w:tcW w:w="1250" w:type="dxa"/>
            <w:tcBorders>
              <w:top w:val="single" w:sz="4" w:space="0" w:color="auto"/>
              <w:left w:val="nil"/>
              <w:bottom w:val="single" w:sz="4" w:space="0" w:color="auto"/>
              <w:right w:val="single" w:sz="4" w:space="0" w:color="auto"/>
            </w:tcBorders>
            <w:shd w:val="clear" w:color="auto" w:fill="FFFFFF" w:themeFill="background1"/>
            <w:vAlign w:val="center"/>
            <w:hideMark/>
          </w:tcPr>
          <w:p w14:paraId="481845C5" w14:textId="4B40B0B1" w:rsidR="00485073" w:rsidRPr="000E19A1" w:rsidRDefault="00FE64E4">
            <w:pPr>
              <w:spacing w:after="0"/>
              <w:rPr>
                <w:rFonts w:ascii="Calibri" w:eastAsia="Times New Roman" w:hAnsi="Calibri" w:cs="Calibri"/>
                <w:noProof/>
                <w:color w:val="000000"/>
                <w:lang w:val="en-IE" w:eastAsia="en-IE"/>
              </w:rPr>
            </w:pPr>
            <w:r>
              <w:rPr>
                <w:rFonts w:ascii="Calibri" w:eastAsia="Times New Roman" w:hAnsi="Calibri" w:cs="Calibri"/>
                <w:noProof/>
                <w:color w:val="000000"/>
                <w:lang w:val="en-IE" w:eastAsia="en-IE"/>
              </w:rPr>
              <w:t>S</w:t>
            </w:r>
            <w:r w:rsidR="00485073" w:rsidRPr="000E19A1">
              <w:rPr>
                <w:rFonts w:ascii="Calibri" w:eastAsia="Times New Roman" w:hAnsi="Calibri" w:cs="Calibri"/>
                <w:noProof/>
                <w:color w:val="000000"/>
                <w:lang w:val="en-IE" w:eastAsia="en-IE"/>
              </w:rPr>
              <w:t xml:space="preserve">ame as </w:t>
            </w:r>
            <w:r w:rsidR="00BC4972" w:rsidRPr="000E19A1">
              <w:rPr>
                <w:rFonts w:ascii="Calibri" w:eastAsia="Times New Roman" w:hAnsi="Calibri" w:cs="Calibri"/>
                <w:noProof/>
                <w:color w:val="000000"/>
                <w:lang w:val="en-IE" w:eastAsia="en-IE"/>
              </w:rPr>
              <w:t>6</w:t>
            </w:r>
            <w:r w:rsidR="0062066A">
              <w:rPr>
                <w:rFonts w:ascii="Calibri" w:eastAsia="Times New Roman" w:hAnsi="Calibri" w:cs="Calibri"/>
                <w:noProof/>
                <w:color w:val="000000"/>
                <w:lang w:val="en-IE" w:eastAsia="en-IE"/>
              </w:rPr>
              <w:t>a</w:t>
            </w:r>
          </w:p>
        </w:tc>
        <w:tc>
          <w:tcPr>
            <w:tcW w:w="451" w:type="dxa"/>
            <w:tcBorders>
              <w:top w:val="nil"/>
              <w:left w:val="nil"/>
              <w:bottom w:val="nil"/>
              <w:right w:val="nil"/>
            </w:tcBorders>
            <w:shd w:val="clear" w:color="auto" w:fill="969696"/>
            <w:noWrap/>
            <w:vAlign w:val="center"/>
            <w:hideMark/>
          </w:tcPr>
          <w:p w14:paraId="6639835C"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477156BC" w14:textId="63B766D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1</w:t>
            </w:r>
            <w:r w:rsidR="003E0559">
              <w:rPr>
                <w:rFonts w:ascii="Calibri" w:eastAsia="Times New Roman" w:hAnsi="Calibri" w:cs="Calibri"/>
                <w:noProof/>
                <w:color w:val="000000"/>
                <w:lang w:val="en-IE" w:eastAsia="en-IE"/>
              </w:rPr>
              <w:t>,</w:t>
            </w:r>
            <w:r w:rsidR="0062066A">
              <w:rPr>
                <w:rFonts w:ascii="Calibri" w:eastAsia="Times New Roman" w:hAnsi="Calibri" w:cs="Calibri"/>
                <w:noProof/>
                <w:color w:val="000000"/>
                <w:lang w:val="en-IE" w:eastAsia="en-IE"/>
              </w:rPr>
              <w:t>1</w:t>
            </w:r>
            <w:r w:rsidR="00BC4972" w:rsidRPr="000E19A1">
              <w:rPr>
                <w:rFonts w:ascii="Calibri" w:eastAsia="Times New Roman" w:hAnsi="Calibri" w:cs="Calibri"/>
                <w:noProof/>
                <w:color w:val="000000"/>
                <w:lang w:val="en-IE" w:eastAsia="en-IE"/>
              </w:rPr>
              <w:t>00</w:t>
            </w:r>
            <w:r w:rsidRPr="000E19A1">
              <w:rPr>
                <w:rFonts w:ascii="Calibri" w:eastAsia="Times New Roman" w:hAnsi="Calibri" w:cs="Calibri"/>
                <w:noProof/>
                <w:color w:val="000000"/>
                <w:lang w:val="en-IE" w:eastAsia="en-IE"/>
              </w:rPr>
              <w:t>.00</w:t>
            </w:r>
          </w:p>
        </w:tc>
        <w:tc>
          <w:tcPr>
            <w:tcW w:w="1268" w:type="dxa"/>
            <w:gridSpan w:val="2"/>
            <w:tcBorders>
              <w:top w:val="single" w:sz="4" w:space="0" w:color="auto"/>
              <w:left w:val="nil"/>
              <w:bottom w:val="single" w:sz="4" w:space="0" w:color="auto"/>
              <w:right w:val="single" w:sz="4" w:space="0" w:color="auto"/>
            </w:tcBorders>
            <w:vAlign w:val="center"/>
            <w:hideMark/>
          </w:tcPr>
          <w:p w14:paraId="62193CDE"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1000" w:type="dxa"/>
            <w:tcBorders>
              <w:top w:val="single" w:sz="4" w:space="0" w:color="auto"/>
              <w:left w:val="nil"/>
              <w:bottom w:val="single" w:sz="4" w:space="0" w:color="auto"/>
              <w:right w:val="single" w:sz="4" w:space="0" w:color="auto"/>
            </w:tcBorders>
            <w:vAlign w:val="center"/>
            <w:hideMark/>
          </w:tcPr>
          <w:p w14:paraId="7D40F0EE" w14:textId="77777777" w:rsidR="00485073" w:rsidRPr="000E19A1" w:rsidRDefault="00485073">
            <w:pPr>
              <w:spacing w:after="0"/>
              <w:jc w:val="center"/>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r>
      <w:tr w:rsidR="00783610" w:rsidRPr="000E19A1" w14:paraId="307C09F5" w14:textId="77777777" w:rsidTr="00B9546F">
        <w:trPr>
          <w:trHeight w:val="300"/>
        </w:trPr>
        <w:tc>
          <w:tcPr>
            <w:tcW w:w="332" w:type="dxa"/>
            <w:tcBorders>
              <w:top w:val="nil"/>
              <w:left w:val="single" w:sz="8" w:space="0" w:color="auto"/>
              <w:bottom w:val="single" w:sz="8" w:space="0" w:color="auto"/>
              <w:right w:val="nil"/>
            </w:tcBorders>
            <w:shd w:val="clear" w:color="auto" w:fill="305496"/>
            <w:noWrap/>
            <w:vAlign w:val="center"/>
            <w:hideMark/>
          </w:tcPr>
          <w:p w14:paraId="0AD5849E"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333" w:type="dxa"/>
            <w:tcBorders>
              <w:top w:val="nil"/>
              <w:left w:val="nil"/>
              <w:bottom w:val="single" w:sz="8" w:space="0" w:color="auto"/>
              <w:right w:val="nil"/>
            </w:tcBorders>
            <w:shd w:val="clear" w:color="auto" w:fill="305496"/>
            <w:noWrap/>
            <w:vAlign w:val="center"/>
            <w:hideMark/>
          </w:tcPr>
          <w:p w14:paraId="3C4D697B"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174" w:type="dxa"/>
            <w:gridSpan w:val="2"/>
            <w:tcBorders>
              <w:top w:val="nil"/>
              <w:left w:val="nil"/>
              <w:bottom w:val="single" w:sz="8" w:space="0" w:color="auto"/>
              <w:right w:val="nil"/>
            </w:tcBorders>
            <w:shd w:val="clear" w:color="auto" w:fill="305496"/>
            <w:noWrap/>
            <w:vAlign w:val="center"/>
            <w:hideMark/>
          </w:tcPr>
          <w:p w14:paraId="00D4637D"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552" w:type="dxa"/>
            <w:gridSpan w:val="2"/>
            <w:tcBorders>
              <w:top w:val="nil"/>
              <w:left w:val="nil"/>
              <w:bottom w:val="nil"/>
              <w:right w:val="nil"/>
            </w:tcBorders>
            <w:shd w:val="clear" w:color="auto" w:fill="969696"/>
            <w:vAlign w:val="center"/>
            <w:hideMark/>
          </w:tcPr>
          <w:p w14:paraId="6EF950AE" w14:textId="77777777" w:rsidR="00485073" w:rsidRPr="000E19A1" w:rsidRDefault="00485073">
            <w:pPr>
              <w:spacing w:after="0"/>
              <w:rPr>
                <w:rFonts w:ascii="Arial" w:eastAsia="Times New Roman" w:hAnsi="Arial" w:cs="Arial"/>
                <w:noProof/>
                <w:color w:val="808080"/>
                <w:szCs w:val="20"/>
                <w:lang w:val="en-IE" w:eastAsia="en-IE"/>
              </w:rPr>
            </w:pPr>
            <w:r w:rsidRPr="000E19A1">
              <w:rPr>
                <w:rFonts w:ascii="Arial" w:eastAsia="Times New Roman" w:hAnsi="Arial" w:cs="Arial"/>
                <w:noProof/>
                <w:color w:val="808080"/>
                <w:szCs w:val="20"/>
                <w:lang w:val="en-IE" w:eastAsia="en-IE"/>
              </w:rPr>
              <w:t> </w:t>
            </w:r>
          </w:p>
        </w:tc>
        <w:tc>
          <w:tcPr>
            <w:tcW w:w="855" w:type="dxa"/>
            <w:gridSpan w:val="4"/>
            <w:tcBorders>
              <w:top w:val="nil"/>
              <w:left w:val="single" w:sz="4" w:space="0" w:color="auto"/>
              <w:bottom w:val="single" w:sz="8" w:space="0" w:color="auto"/>
              <w:right w:val="nil"/>
            </w:tcBorders>
            <w:shd w:val="clear" w:color="auto" w:fill="8EA9DB"/>
            <w:noWrap/>
            <w:vAlign w:val="center"/>
            <w:hideMark/>
          </w:tcPr>
          <w:p w14:paraId="6D990BBC"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784" w:type="dxa"/>
            <w:gridSpan w:val="3"/>
            <w:tcBorders>
              <w:top w:val="nil"/>
              <w:left w:val="single" w:sz="4" w:space="0" w:color="auto"/>
              <w:bottom w:val="single" w:sz="8" w:space="0" w:color="auto"/>
              <w:right w:val="nil"/>
            </w:tcBorders>
            <w:shd w:val="clear" w:color="auto" w:fill="8EA9DB"/>
            <w:noWrap/>
            <w:vAlign w:val="center"/>
            <w:hideMark/>
          </w:tcPr>
          <w:p w14:paraId="23641FAA"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042" w:type="dxa"/>
            <w:tcBorders>
              <w:top w:val="nil"/>
              <w:left w:val="single" w:sz="4" w:space="0" w:color="auto"/>
              <w:bottom w:val="single" w:sz="8" w:space="0" w:color="auto"/>
              <w:right w:val="nil"/>
            </w:tcBorders>
            <w:shd w:val="clear" w:color="auto" w:fill="8EA9DB"/>
            <w:noWrap/>
            <w:vAlign w:val="center"/>
            <w:hideMark/>
          </w:tcPr>
          <w:p w14:paraId="531F73AE"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845" w:type="dxa"/>
            <w:gridSpan w:val="2"/>
            <w:tcBorders>
              <w:top w:val="nil"/>
              <w:left w:val="single" w:sz="4" w:space="0" w:color="auto"/>
              <w:bottom w:val="single" w:sz="8" w:space="0" w:color="auto"/>
              <w:right w:val="nil"/>
            </w:tcBorders>
            <w:shd w:val="clear" w:color="auto" w:fill="8EA9DB"/>
            <w:noWrap/>
            <w:vAlign w:val="center"/>
            <w:hideMark/>
          </w:tcPr>
          <w:p w14:paraId="78A5B984" w14:textId="77777777" w:rsidR="00485073" w:rsidRPr="000E19A1" w:rsidRDefault="00485073">
            <w:pPr>
              <w:spacing w:after="0"/>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518" w:type="dxa"/>
            <w:gridSpan w:val="2"/>
            <w:tcBorders>
              <w:top w:val="nil"/>
              <w:left w:val="nil"/>
              <w:bottom w:val="nil"/>
              <w:right w:val="nil"/>
            </w:tcBorders>
            <w:shd w:val="clear" w:color="auto" w:fill="969696"/>
            <w:noWrap/>
            <w:vAlign w:val="center"/>
            <w:hideMark/>
          </w:tcPr>
          <w:p w14:paraId="08CAFEF5"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936" w:type="dxa"/>
            <w:tcBorders>
              <w:top w:val="nil"/>
              <w:left w:val="single" w:sz="4" w:space="0" w:color="auto"/>
              <w:bottom w:val="single" w:sz="8" w:space="0" w:color="auto"/>
              <w:right w:val="nil"/>
            </w:tcBorders>
            <w:shd w:val="clear" w:color="auto" w:fill="C6E0B4"/>
            <w:noWrap/>
            <w:vAlign w:val="center"/>
            <w:hideMark/>
          </w:tcPr>
          <w:p w14:paraId="6EA3B62C"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709" w:type="dxa"/>
            <w:tcBorders>
              <w:top w:val="nil"/>
              <w:left w:val="single" w:sz="4" w:space="0" w:color="auto"/>
              <w:bottom w:val="single" w:sz="8" w:space="0" w:color="auto"/>
              <w:right w:val="nil"/>
            </w:tcBorders>
            <w:shd w:val="clear" w:color="auto" w:fill="C6E0B4"/>
            <w:noWrap/>
            <w:vAlign w:val="center"/>
            <w:hideMark/>
          </w:tcPr>
          <w:p w14:paraId="1990A688" w14:textId="77777777" w:rsidR="00485073" w:rsidRPr="000E19A1" w:rsidRDefault="00485073">
            <w:pPr>
              <w:spacing w:after="0"/>
              <w:jc w:val="center"/>
              <w:rPr>
                <w:rFonts w:ascii="Arial" w:eastAsia="Times New Roman" w:hAnsi="Arial" w:cs="Arial"/>
                <w:b/>
                <w:bCs/>
                <w:noProof/>
                <w:color w:val="FFFFFF"/>
                <w:szCs w:val="20"/>
                <w:lang w:val="en-IE" w:eastAsia="en-IE"/>
              </w:rPr>
            </w:pPr>
            <w:r w:rsidRPr="000E19A1">
              <w:rPr>
                <w:rFonts w:ascii="Arial" w:eastAsia="Times New Roman" w:hAnsi="Arial" w:cs="Arial"/>
                <w:b/>
                <w:bCs/>
                <w:noProof/>
                <w:color w:val="FFFFFF"/>
                <w:szCs w:val="20"/>
                <w:lang w:val="en-IE" w:eastAsia="en-IE"/>
              </w:rPr>
              <w:t> </w:t>
            </w:r>
          </w:p>
        </w:tc>
        <w:tc>
          <w:tcPr>
            <w:tcW w:w="1134" w:type="dxa"/>
            <w:tcBorders>
              <w:top w:val="nil"/>
              <w:left w:val="single" w:sz="4" w:space="0" w:color="auto"/>
              <w:bottom w:val="single" w:sz="8" w:space="0" w:color="auto"/>
              <w:right w:val="nil"/>
            </w:tcBorders>
            <w:shd w:val="clear" w:color="auto" w:fill="C6E0B4"/>
            <w:vAlign w:val="center"/>
            <w:hideMark/>
          </w:tcPr>
          <w:p w14:paraId="5D515C49"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1250" w:type="dxa"/>
            <w:tcBorders>
              <w:top w:val="nil"/>
              <w:left w:val="single" w:sz="4" w:space="0" w:color="auto"/>
              <w:bottom w:val="single" w:sz="8" w:space="0" w:color="auto"/>
              <w:right w:val="nil"/>
            </w:tcBorders>
            <w:shd w:val="clear" w:color="auto" w:fill="C6E0B4"/>
            <w:vAlign w:val="center"/>
            <w:hideMark/>
          </w:tcPr>
          <w:p w14:paraId="154E5528" w14:textId="77777777" w:rsidR="00485073" w:rsidRPr="000E19A1" w:rsidRDefault="00485073">
            <w:pPr>
              <w:spacing w:after="0"/>
              <w:rPr>
                <w:rFonts w:ascii="Calibri" w:eastAsia="Times New Roman" w:hAnsi="Calibri" w:cs="Calibri"/>
                <w:noProof/>
                <w:color w:val="000000"/>
                <w:lang w:val="en-IE" w:eastAsia="en-IE"/>
              </w:rPr>
            </w:pPr>
            <w:r w:rsidRPr="000E19A1">
              <w:rPr>
                <w:rFonts w:ascii="Calibri" w:eastAsia="Times New Roman" w:hAnsi="Calibri" w:cs="Calibri"/>
                <w:noProof/>
                <w:color w:val="000000"/>
                <w:lang w:val="en-IE" w:eastAsia="en-IE"/>
              </w:rPr>
              <w:t> </w:t>
            </w:r>
          </w:p>
        </w:tc>
        <w:tc>
          <w:tcPr>
            <w:tcW w:w="451" w:type="dxa"/>
            <w:tcBorders>
              <w:top w:val="nil"/>
              <w:left w:val="nil"/>
              <w:bottom w:val="nil"/>
              <w:right w:val="nil"/>
            </w:tcBorders>
            <w:shd w:val="clear" w:color="auto" w:fill="969696"/>
            <w:noWrap/>
            <w:vAlign w:val="center"/>
            <w:hideMark/>
          </w:tcPr>
          <w:p w14:paraId="7925A3F0" w14:textId="77777777" w:rsidR="00485073" w:rsidRPr="000E19A1" w:rsidRDefault="00485073">
            <w:pPr>
              <w:spacing w:after="0"/>
              <w:rPr>
                <w:rFonts w:ascii="Arial" w:eastAsia="Times New Roman" w:hAnsi="Arial" w:cs="Arial"/>
                <w:noProof/>
                <w:szCs w:val="20"/>
                <w:lang w:val="en-IE" w:eastAsia="en-IE"/>
              </w:rPr>
            </w:pPr>
            <w:r w:rsidRPr="000E19A1">
              <w:rPr>
                <w:rFonts w:ascii="Arial" w:eastAsia="Times New Roman" w:hAnsi="Arial" w:cs="Arial"/>
                <w:noProof/>
                <w:szCs w:val="20"/>
                <w:lang w:val="en-IE" w:eastAsia="en-IE"/>
              </w:rPr>
              <w:t> </w:t>
            </w:r>
          </w:p>
        </w:tc>
        <w:tc>
          <w:tcPr>
            <w:tcW w:w="2544" w:type="dxa"/>
            <w:gridSpan w:val="4"/>
            <w:tcBorders>
              <w:top w:val="nil"/>
              <w:left w:val="single" w:sz="8" w:space="0" w:color="auto"/>
              <w:bottom w:val="single" w:sz="8" w:space="0" w:color="auto"/>
              <w:right w:val="nil"/>
            </w:tcBorders>
            <w:shd w:val="clear" w:color="auto" w:fill="DBDBDB"/>
            <w:noWrap/>
            <w:vAlign w:val="center"/>
            <w:hideMark/>
          </w:tcPr>
          <w:p w14:paraId="340F282C" w14:textId="77777777" w:rsidR="00485073" w:rsidRPr="000E19A1" w:rsidRDefault="00485073">
            <w:pPr>
              <w:spacing w:after="0"/>
              <w:jc w:val="center"/>
              <w:rPr>
                <w:rFonts w:ascii="Arial" w:eastAsia="Times New Roman" w:hAnsi="Arial" w:cs="Arial"/>
                <w:b/>
                <w:bCs/>
                <w:noProof/>
                <w:szCs w:val="20"/>
                <w:lang w:val="en-IE" w:eastAsia="en-IE"/>
              </w:rPr>
            </w:pPr>
            <w:r w:rsidRPr="000E19A1">
              <w:rPr>
                <w:rFonts w:ascii="Arial" w:eastAsia="Times New Roman" w:hAnsi="Arial" w:cs="Arial"/>
                <w:b/>
                <w:bCs/>
                <w:noProof/>
                <w:szCs w:val="20"/>
                <w:lang w:val="en-IE" w:eastAsia="en-IE"/>
              </w:rPr>
              <w:t>Admin burden reduction PO6c</w:t>
            </w:r>
          </w:p>
        </w:tc>
        <w:tc>
          <w:tcPr>
            <w:tcW w:w="1000" w:type="dxa"/>
            <w:tcBorders>
              <w:top w:val="nil"/>
              <w:left w:val="single" w:sz="8" w:space="0" w:color="auto"/>
              <w:bottom w:val="single" w:sz="8" w:space="0" w:color="auto"/>
              <w:right w:val="single" w:sz="8" w:space="0" w:color="auto"/>
            </w:tcBorders>
            <w:shd w:val="clear" w:color="auto" w:fill="DBDBDB"/>
            <w:noWrap/>
            <w:vAlign w:val="center"/>
            <w:hideMark/>
          </w:tcPr>
          <w:p w14:paraId="4484EEBC" w14:textId="610867F5" w:rsidR="00485073" w:rsidRPr="000E19A1" w:rsidRDefault="71F81F8C"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6E8E0598"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   </w:t>
            </w:r>
          </w:p>
        </w:tc>
      </w:tr>
    </w:tbl>
    <w:p w14:paraId="1DAAE23A" w14:textId="011D5AB8" w:rsidR="00574D98" w:rsidRDefault="00574D98" w:rsidP="004F2887">
      <w:pPr>
        <w:jc w:val="both"/>
        <w:rPr>
          <w:rFonts w:eastAsia="Times New Roman" w:cs="Times New Roman"/>
          <w:noProof/>
          <w:color w:val="auto"/>
          <w:sz w:val="22"/>
          <w:lang w:val="en-IE" w:eastAsia="en-IE"/>
        </w:rPr>
      </w:pPr>
    </w:p>
    <w:p w14:paraId="67D7E426" w14:textId="79D5DAF1" w:rsidR="00574D98" w:rsidRDefault="00574D98" w:rsidP="00AB04C3">
      <w:pPr>
        <w:rPr>
          <w:rFonts w:eastAsia="Times New Roman" w:cs="Times New Roman"/>
          <w:noProof/>
          <w:color w:val="auto"/>
          <w:sz w:val="22"/>
          <w:lang w:val="en-IE" w:eastAsia="en-IE"/>
        </w:rPr>
      </w:pPr>
      <w:r>
        <w:rPr>
          <w:rFonts w:eastAsia="Times New Roman" w:cs="Times New Roman"/>
          <w:noProof/>
          <w:color w:val="auto"/>
          <w:sz w:val="22"/>
          <w:lang w:val="en-IE" w:eastAsia="en-IE"/>
        </w:rPr>
        <w:t xml:space="preserve">Policy </w:t>
      </w:r>
      <w:r w:rsidR="00F9109D">
        <w:rPr>
          <w:rFonts w:eastAsia="Times New Roman" w:cs="Times New Roman"/>
          <w:noProof/>
          <w:color w:val="auto"/>
          <w:sz w:val="22"/>
          <w:lang w:val="en-IE" w:eastAsia="en-IE"/>
        </w:rPr>
        <w:t>O</w:t>
      </w:r>
      <w:r>
        <w:rPr>
          <w:rFonts w:eastAsia="Times New Roman" w:cs="Times New Roman"/>
          <w:noProof/>
          <w:color w:val="auto"/>
          <w:sz w:val="22"/>
          <w:lang w:val="en-IE" w:eastAsia="en-IE"/>
        </w:rPr>
        <w:t>ptions 7</w:t>
      </w:r>
    </w:p>
    <w:tbl>
      <w:tblPr>
        <w:tblW w:w="15436" w:type="dxa"/>
        <w:tblInd w:w="-577" w:type="dxa"/>
        <w:tblLook w:val="04A0" w:firstRow="1" w:lastRow="0" w:firstColumn="1" w:lastColumn="0" w:noHBand="0" w:noVBand="1"/>
      </w:tblPr>
      <w:tblGrid>
        <w:gridCol w:w="428"/>
        <w:gridCol w:w="413"/>
        <w:gridCol w:w="1559"/>
        <w:gridCol w:w="272"/>
        <w:gridCol w:w="928"/>
        <w:gridCol w:w="1161"/>
        <w:gridCol w:w="708"/>
        <w:gridCol w:w="22"/>
        <w:gridCol w:w="1240"/>
        <w:gridCol w:w="402"/>
        <w:gridCol w:w="795"/>
        <w:gridCol w:w="850"/>
        <w:gridCol w:w="1295"/>
        <w:gridCol w:w="1592"/>
        <w:gridCol w:w="402"/>
        <w:gridCol w:w="1028"/>
        <w:gridCol w:w="1184"/>
        <w:gridCol w:w="1157"/>
      </w:tblGrid>
      <w:tr w:rsidR="00783610" w:rsidRPr="001E44F2" w14:paraId="375C8DCE" w14:textId="77777777" w:rsidTr="6F00936E">
        <w:trPr>
          <w:trHeight w:val="300"/>
        </w:trPr>
        <w:tc>
          <w:tcPr>
            <w:tcW w:w="2400" w:type="dxa"/>
            <w:gridSpan w:val="3"/>
            <w:tcBorders>
              <w:top w:val="single" w:sz="8" w:space="0" w:color="auto"/>
              <w:left w:val="single" w:sz="8" w:space="0" w:color="auto"/>
              <w:bottom w:val="single" w:sz="8" w:space="0" w:color="auto"/>
              <w:right w:val="nil"/>
            </w:tcBorders>
            <w:shd w:val="clear" w:color="auto" w:fill="305496"/>
            <w:noWrap/>
            <w:vAlign w:val="center"/>
            <w:hideMark/>
          </w:tcPr>
          <w:p w14:paraId="5A96CAF1"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272" w:type="dxa"/>
            <w:tcBorders>
              <w:top w:val="single" w:sz="8" w:space="0" w:color="auto"/>
              <w:left w:val="nil"/>
              <w:bottom w:val="nil"/>
              <w:right w:val="nil"/>
            </w:tcBorders>
            <w:shd w:val="clear" w:color="auto" w:fill="969696"/>
            <w:vAlign w:val="center"/>
            <w:hideMark/>
          </w:tcPr>
          <w:p w14:paraId="65F46EAB" w14:textId="77777777" w:rsidR="002F5CAB" w:rsidRPr="001E44F2" w:rsidRDefault="002F5CAB">
            <w:pPr>
              <w:spacing w:after="0"/>
              <w:jc w:val="center"/>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2819" w:type="dxa"/>
            <w:gridSpan w:val="4"/>
            <w:tcBorders>
              <w:top w:val="single" w:sz="8" w:space="0" w:color="auto"/>
              <w:left w:val="nil"/>
              <w:bottom w:val="single" w:sz="8" w:space="0" w:color="auto"/>
              <w:right w:val="nil"/>
            </w:tcBorders>
            <w:shd w:val="clear" w:color="auto" w:fill="8EA9DB"/>
            <w:noWrap/>
            <w:vAlign w:val="center"/>
            <w:hideMark/>
          </w:tcPr>
          <w:p w14:paraId="6D467E45"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240" w:type="dxa"/>
            <w:tcBorders>
              <w:top w:val="single" w:sz="8" w:space="0" w:color="auto"/>
              <w:left w:val="nil"/>
              <w:bottom w:val="nil"/>
              <w:right w:val="nil"/>
            </w:tcBorders>
            <w:shd w:val="clear" w:color="auto" w:fill="8EA9DB"/>
            <w:noWrap/>
            <w:vAlign w:val="center"/>
            <w:hideMark/>
          </w:tcPr>
          <w:p w14:paraId="44670956"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402" w:type="dxa"/>
            <w:tcBorders>
              <w:top w:val="single" w:sz="8" w:space="0" w:color="auto"/>
              <w:left w:val="nil"/>
              <w:bottom w:val="nil"/>
              <w:right w:val="nil"/>
            </w:tcBorders>
            <w:shd w:val="clear" w:color="auto" w:fill="969696"/>
            <w:vAlign w:val="center"/>
            <w:hideMark/>
          </w:tcPr>
          <w:p w14:paraId="3FDE1437" w14:textId="77777777" w:rsidR="002F5CAB" w:rsidRPr="001E44F2" w:rsidRDefault="002F5CAB">
            <w:pPr>
              <w:spacing w:after="0"/>
              <w:jc w:val="center"/>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2940" w:type="dxa"/>
            <w:gridSpan w:val="3"/>
            <w:tcBorders>
              <w:top w:val="single" w:sz="8" w:space="0" w:color="auto"/>
              <w:left w:val="nil"/>
              <w:bottom w:val="single" w:sz="8" w:space="0" w:color="auto"/>
              <w:right w:val="nil"/>
            </w:tcBorders>
            <w:shd w:val="clear" w:color="auto" w:fill="C6E0B4"/>
            <w:noWrap/>
            <w:vAlign w:val="center"/>
            <w:hideMark/>
          </w:tcPr>
          <w:p w14:paraId="45BA5201"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592" w:type="dxa"/>
            <w:tcBorders>
              <w:top w:val="single" w:sz="8" w:space="0" w:color="auto"/>
              <w:left w:val="nil"/>
              <w:bottom w:val="nil"/>
              <w:right w:val="nil"/>
            </w:tcBorders>
            <w:shd w:val="clear" w:color="auto" w:fill="C6E0B4"/>
            <w:noWrap/>
            <w:vAlign w:val="center"/>
            <w:hideMark/>
          </w:tcPr>
          <w:p w14:paraId="17E8C9E8"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402" w:type="dxa"/>
            <w:tcBorders>
              <w:top w:val="single" w:sz="8" w:space="0" w:color="auto"/>
              <w:left w:val="nil"/>
              <w:bottom w:val="nil"/>
              <w:right w:val="single" w:sz="8" w:space="0" w:color="auto"/>
            </w:tcBorders>
            <w:shd w:val="clear" w:color="auto" w:fill="969696"/>
            <w:vAlign w:val="center"/>
            <w:hideMark/>
          </w:tcPr>
          <w:p w14:paraId="58967F14" w14:textId="77777777" w:rsidR="002F5CAB" w:rsidRPr="001E44F2" w:rsidRDefault="002F5CAB">
            <w:pPr>
              <w:spacing w:after="0"/>
              <w:jc w:val="center"/>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3369" w:type="dxa"/>
            <w:gridSpan w:val="3"/>
            <w:tcBorders>
              <w:top w:val="single" w:sz="8" w:space="0" w:color="auto"/>
              <w:left w:val="nil"/>
              <w:bottom w:val="nil"/>
              <w:right w:val="single" w:sz="8" w:space="0" w:color="000000" w:themeColor="text1"/>
            </w:tcBorders>
            <w:shd w:val="clear" w:color="auto" w:fill="DBDBDB"/>
            <w:noWrap/>
            <w:vAlign w:val="center"/>
            <w:hideMark/>
          </w:tcPr>
          <w:p w14:paraId="20960C24"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r>
      <w:tr w:rsidR="00783610" w:rsidRPr="001E44F2" w14:paraId="61BC5EB8" w14:textId="77777777" w:rsidTr="6F00936E">
        <w:trPr>
          <w:trHeight w:val="289"/>
        </w:trPr>
        <w:tc>
          <w:tcPr>
            <w:tcW w:w="841" w:type="dxa"/>
            <w:gridSpan w:val="2"/>
            <w:tcBorders>
              <w:top w:val="nil"/>
              <w:left w:val="single" w:sz="8" w:space="0" w:color="auto"/>
              <w:right w:val="nil"/>
            </w:tcBorders>
            <w:noWrap/>
            <w:vAlign w:val="center"/>
            <w:hideMark/>
          </w:tcPr>
          <w:p w14:paraId="74B8F1AC"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No.</w:t>
            </w:r>
          </w:p>
        </w:tc>
        <w:tc>
          <w:tcPr>
            <w:tcW w:w="1559" w:type="dxa"/>
            <w:tcBorders>
              <w:top w:val="nil"/>
              <w:left w:val="nil"/>
              <w:bottom w:val="single" w:sz="8" w:space="0" w:color="000000" w:themeColor="text1"/>
              <w:right w:val="nil"/>
            </w:tcBorders>
            <w:noWrap/>
            <w:vAlign w:val="center"/>
            <w:hideMark/>
          </w:tcPr>
          <w:p w14:paraId="761C4B84"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Description</w:t>
            </w:r>
          </w:p>
        </w:tc>
        <w:tc>
          <w:tcPr>
            <w:tcW w:w="272" w:type="dxa"/>
            <w:tcBorders>
              <w:top w:val="nil"/>
              <w:left w:val="nil"/>
              <w:bottom w:val="nil"/>
              <w:right w:val="nil"/>
            </w:tcBorders>
            <w:shd w:val="clear" w:color="auto" w:fill="969696"/>
            <w:vAlign w:val="center"/>
            <w:hideMark/>
          </w:tcPr>
          <w:p w14:paraId="368A06DB" w14:textId="77777777" w:rsidR="002F5CAB" w:rsidRPr="001E44F2" w:rsidRDefault="002F5CAB">
            <w:pPr>
              <w:spacing w:after="0"/>
              <w:jc w:val="center"/>
              <w:rPr>
                <w:rFonts w:ascii="Arial" w:eastAsia="Times New Roman" w:hAnsi="Arial" w:cs="Arial"/>
                <w:noProof/>
                <w:color w:val="808080"/>
                <w:szCs w:val="20"/>
                <w:lang w:val="en-IE" w:eastAsia="en-IE"/>
              </w:rPr>
            </w:pPr>
          </w:p>
        </w:tc>
        <w:tc>
          <w:tcPr>
            <w:tcW w:w="928" w:type="dxa"/>
            <w:tcBorders>
              <w:top w:val="nil"/>
              <w:left w:val="single" w:sz="4" w:space="0" w:color="auto"/>
              <w:bottom w:val="single" w:sz="8" w:space="0" w:color="000000" w:themeColor="text1"/>
              <w:right w:val="single" w:sz="4" w:space="0" w:color="auto"/>
            </w:tcBorders>
            <w:noWrap/>
            <w:vAlign w:val="center"/>
            <w:hideMark/>
          </w:tcPr>
          <w:p w14:paraId="6835DBCB"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Number (Q)</w:t>
            </w:r>
          </w:p>
        </w:tc>
        <w:tc>
          <w:tcPr>
            <w:tcW w:w="1161" w:type="dxa"/>
            <w:tcBorders>
              <w:top w:val="nil"/>
              <w:left w:val="single" w:sz="4" w:space="0" w:color="auto"/>
              <w:bottom w:val="single" w:sz="8" w:space="0" w:color="000000" w:themeColor="text1"/>
              <w:right w:val="single" w:sz="4" w:space="0" w:color="auto"/>
            </w:tcBorders>
            <w:noWrap/>
            <w:vAlign w:val="center"/>
            <w:hideMark/>
          </w:tcPr>
          <w:p w14:paraId="753DEB96"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Frequency</w:t>
            </w:r>
          </w:p>
        </w:tc>
        <w:tc>
          <w:tcPr>
            <w:tcW w:w="708" w:type="dxa"/>
            <w:tcBorders>
              <w:top w:val="nil"/>
              <w:left w:val="single" w:sz="4" w:space="0" w:color="auto"/>
              <w:bottom w:val="single" w:sz="8" w:space="0" w:color="000000" w:themeColor="text1"/>
              <w:right w:val="nil"/>
            </w:tcBorders>
            <w:noWrap/>
            <w:vAlign w:val="center"/>
            <w:hideMark/>
          </w:tcPr>
          <w:p w14:paraId="6383C876"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w:t>
            </w:r>
          </w:p>
        </w:tc>
        <w:tc>
          <w:tcPr>
            <w:tcW w:w="1262" w:type="dxa"/>
            <w:gridSpan w:val="2"/>
            <w:tcBorders>
              <w:top w:val="single" w:sz="8" w:space="0" w:color="auto"/>
              <w:left w:val="single" w:sz="4" w:space="0" w:color="auto"/>
              <w:bottom w:val="single" w:sz="8" w:space="0" w:color="000000" w:themeColor="text1"/>
              <w:right w:val="nil"/>
            </w:tcBorders>
            <w:noWrap/>
            <w:vAlign w:val="center"/>
            <w:hideMark/>
          </w:tcPr>
          <w:p w14:paraId="51AE3128"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Explanation</w:t>
            </w:r>
          </w:p>
        </w:tc>
        <w:tc>
          <w:tcPr>
            <w:tcW w:w="402" w:type="dxa"/>
            <w:tcBorders>
              <w:top w:val="nil"/>
              <w:left w:val="nil"/>
              <w:bottom w:val="nil"/>
              <w:right w:val="nil"/>
            </w:tcBorders>
            <w:shd w:val="clear" w:color="auto" w:fill="969696"/>
            <w:noWrap/>
            <w:vAlign w:val="center"/>
            <w:hideMark/>
          </w:tcPr>
          <w:p w14:paraId="22A0A0A7" w14:textId="77777777" w:rsidR="002F5CAB" w:rsidRPr="001E44F2" w:rsidRDefault="002F5CAB">
            <w:pPr>
              <w:spacing w:after="0"/>
              <w:jc w:val="center"/>
              <w:rPr>
                <w:rFonts w:ascii="Calibri" w:eastAsia="Times New Roman" w:hAnsi="Calibri" w:cs="Calibri"/>
                <w:noProof/>
                <w:color w:val="000000"/>
                <w:lang w:val="en-IE" w:eastAsia="en-IE"/>
              </w:rPr>
            </w:pPr>
          </w:p>
        </w:tc>
        <w:tc>
          <w:tcPr>
            <w:tcW w:w="795" w:type="dxa"/>
            <w:tcBorders>
              <w:top w:val="nil"/>
              <w:left w:val="single" w:sz="4" w:space="0" w:color="auto"/>
              <w:bottom w:val="single" w:sz="8" w:space="0" w:color="000000" w:themeColor="text1"/>
              <w:right w:val="single" w:sz="4" w:space="0" w:color="auto"/>
            </w:tcBorders>
            <w:vAlign w:val="center"/>
            <w:hideMark/>
          </w:tcPr>
          <w:p w14:paraId="073FE756"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Hourly rate</w:t>
            </w:r>
            <w:r w:rsidRPr="001E44F2">
              <w:rPr>
                <w:rFonts w:ascii="Arial" w:eastAsia="Times New Roman" w:hAnsi="Arial" w:cs="Arial"/>
                <w:noProof/>
                <w:szCs w:val="20"/>
                <w:lang w:val="en-IE" w:eastAsia="en-IE"/>
              </w:rPr>
              <w:br/>
              <w:t>(euro)</w:t>
            </w:r>
          </w:p>
        </w:tc>
        <w:tc>
          <w:tcPr>
            <w:tcW w:w="850" w:type="dxa"/>
            <w:tcBorders>
              <w:top w:val="nil"/>
              <w:left w:val="single" w:sz="4" w:space="0" w:color="auto"/>
              <w:bottom w:val="single" w:sz="8" w:space="0" w:color="000000" w:themeColor="text1"/>
              <w:right w:val="single" w:sz="4" w:space="0" w:color="auto"/>
            </w:tcBorders>
            <w:vAlign w:val="center"/>
            <w:hideMark/>
          </w:tcPr>
          <w:p w14:paraId="399A785A"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xml:space="preserve">Time spent </w:t>
            </w:r>
            <w:r w:rsidRPr="001E44F2">
              <w:rPr>
                <w:rFonts w:ascii="Arial" w:eastAsia="Times New Roman" w:hAnsi="Arial" w:cs="Arial"/>
                <w:noProof/>
                <w:szCs w:val="20"/>
                <w:lang w:val="en-IE" w:eastAsia="en-IE"/>
              </w:rPr>
              <w:br/>
              <w:t>(hours)</w:t>
            </w:r>
          </w:p>
        </w:tc>
        <w:tc>
          <w:tcPr>
            <w:tcW w:w="1295" w:type="dxa"/>
            <w:tcBorders>
              <w:top w:val="nil"/>
              <w:left w:val="single" w:sz="4" w:space="0" w:color="auto"/>
              <w:bottom w:val="single" w:sz="8" w:space="0" w:color="000000" w:themeColor="text1"/>
              <w:right w:val="nil"/>
            </w:tcBorders>
            <w:vAlign w:val="center"/>
            <w:hideMark/>
          </w:tcPr>
          <w:p w14:paraId="7607F1AE"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Notary and professional adviser costs (euro)</w:t>
            </w:r>
          </w:p>
        </w:tc>
        <w:tc>
          <w:tcPr>
            <w:tcW w:w="1592" w:type="dxa"/>
            <w:vMerge w:val="restart"/>
            <w:tcBorders>
              <w:top w:val="single" w:sz="8" w:space="0" w:color="auto"/>
              <w:left w:val="single" w:sz="4" w:space="0" w:color="auto"/>
              <w:bottom w:val="single" w:sz="8" w:space="0" w:color="000000" w:themeColor="text1"/>
              <w:right w:val="nil"/>
            </w:tcBorders>
            <w:vAlign w:val="center"/>
            <w:hideMark/>
          </w:tcPr>
          <w:p w14:paraId="29CF8A03"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Explanation</w:t>
            </w:r>
          </w:p>
        </w:tc>
        <w:tc>
          <w:tcPr>
            <w:tcW w:w="402" w:type="dxa"/>
            <w:tcBorders>
              <w:top w:val="nil"/>
              <w:left w:val="nil"/>
              <w:bottom w:val="nil"/>
              <w:right w:val="nil"/>
            </w:tcBorders>
            <w:shd w:val="clear" w:color="auto" w:fill="969696"/>
            <w:noWrap/>
            <w:vAlign w:val="center"/>
            <w:hideMark/>
          </w:tcPr>
          <w:p w14:paraId="19EE5ADA" w14:textId="77777777" w:rsidR="002F5CAB" w:rsidRPr="001E44F2" w:rsidRDefault="002F5CAB">
            <w:pPr>
              <w:spacing w:after="0"/>
              <w:jc w:val="center"/>
              <w:rPr>
                <w:rFonts w:ascii="Arial" w:eastAsia="Times New Roman" w:hAnsi="Arial" w:cs="Arial"/>
                <w:noProof/>
                <w:szCs w:val="20"/>
                <w:lang w:val="en-IE" w:eastAsia="en-IE"/>
              </w:rPr>
            </w:pPr>
          </w:p>
        </w:tc>
        <w:tc>
          <w:tcPr>
            <w:tcW w:w="3369" w:type="dxa"/>
            <w:gridSpan w:val="3"/>
            <w:tcBorders>
              <w:top w:val="single" w:sz="4" w:space="0" w:color="auto"/>
              <w:left w:val="single" w:sz="4" w:space="0" w:color="auto"/>
              <w:bottom w:val="nil"/>
              <w:right w:val="single" w:sz="4" w:space="0" w:color="auto"/>
            </w:tcBorders>
            <w:noWrap/>
            <w:vAlign w:val="center"/>
            <w:hideMark/>
          </w:tcPr>
          <w:p w14:paraId="682014CA"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Administrative burden reduction</w:t>
            </w:r>
          </w:p>
        </w:tc>
      </w:tr>
      <w:tr w:rsidR="00783610" w:rsidRPr="001E44F2" w14:paraId="499B1DA3" w14:textId="77777777" w:rsidTr="6F00936E">
        <w:trPr>
          <w:trHeight w:val="529"/>
        </w:trPr>
        <w:tc>
          <w:tcPr>
            <w:tcW w:w="841" w:type="dxa"/>
            <w:gridSpan w:val="2"/>
            <w:tcBorders>
              <w:left w:val="single" w:sz="8" w:space="0" w:color="auto"/>
              <w:bottom w:val="single" w:sz="8" w:space="0" w:color="auto"/>
              <w:right w:val="nil"/>
            </w:tcBorders>
            <w:noWrap/>
            <w:vAlign w:val="center"/>
            <w:hideMark/>
          </w:tcPr>
          <w:p w14:paraId="40C55FE8" w14:textId="77777777" w:rsidR="002F5CAB" w:rsidRPr="001E44F2" w:rsidRDefault="002F5CAB">
            <w:pPr>
              <w:spacing w:after="0"/>
              <w:jc w:val="center"/>
              <w:rPr>
                <w:rFonts w:ascii="Arial" w:eastAsia="Times New Roman" w:hAnsi="Arial" w:cs="Arial"/>
                <w:noProof/>
                <w:szCs w:val="20"/>
                <w:lang w:val="en-IE" w:eastAsia="en-IE"/>
              </w:rPr>
            </w:pPr>
          </w:p>
        </w:tc>
        <w:tc>
          <w:tcPr>
            <w:tcW w:w="1559" w:type="dxa"/>
            <w:tcBorders>
              <w:top w:val="nil"/>
              <w:left w:val="nil"/>
              <w:bottom w:val="single" w:sz="8" w:space="0" w:color="000000" w:themeColor="text1"/>
              <w:right w:val="nil"/>
            </w:tcBorders>
            <w:vAlign w:val="center"/>
            <w:hideMark/>
          </w:tcPr>
          <w:p w14:paraId="6EFD2A1C" w14:textId="77777777" w:rsidR="002F5CAB" w:rsidRPr="001E44F2" w:rsidRDefault="002F5CAB">
            <w:pPr>
              <w:spacing w:after="0"/>
              <w:rPr>
                <w:rFonts w:ascii="Arial" w:eastAsia="Times New Roman" w:hAnsi="Arial" w:cs="Arial"/>
                <w:noProof/>
                <w:szCs w:val="20"/>
                <w:lang w:val="en-IE" w:eastAsia="en-IE"/>
              </w:rPr>
            </w:pPr>
          </w:p>
        </w:tc>
        <w:tc>
          <w:tcPr>
            <w:tcW w:w="272" w:type="dxa"/>
            <w:tcBorders>
              <w:top w:val="nil"/>
              <w:left w:val="nil"/>
              <w:bottom w:val="nil"/>
              <w:right w:val="nil"/>
            </w:tcBorders>
            <w:shd w:val="clear" w:color="auto" w:fill="969696"/>
            <w:vAlign w:val="center"/>
            <w:hideMark/>
          </w:tcPr>
          <w:p w14:paraId="0145646B" w14:textId="77777777" w:rsidR="002F5CAB" w:rsidRPr="001E44F2" w:rsidRDefault="002F5CAB">
            <w:pPr>
              <w:spacing w:after="0"/>
              <w:jc w:val="center"/>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000000" w:themeColor="text1"/>
              <w:right w:val="single" w:sz="4" w:space="0" w:color="auto"/>
            </w:tcBorders>
            <w:vAlign w:val="center"/>
            <w:hideMark/>
          </w:tcPr>
          <w:p w14:paraId="5E2A143E" w14:textId="77777777" w:rsidR="002F5CAB" w:rsidRPr="001E44F2" w:rsidRDefault="002F5CAB">
            <w:pPr>
              <w:spacing w:after="0"/>
              <w:rPr>
                <w:rFonts w:ascii="Arial" w:eastAsia="Times New Roman" w:hAnsi="Arial" w:cs="Arial"/>
                <w:noProof/>
                <w:szCs w:val="20"/>
                <w:lang w:val="en-IE" w:eastAsia="en-IE"/>
              </w:rPr>
            </w:pPr>
          </w:p>
        </w:tc>
        <w:tc>
          <w:tcPr>
            <w:tcW w:w="1161" w:type="dxa"/>
            <w:tcBorders>
              <w:top w:val="nil"/>
              <w:left w:val="single" w:sz="4" w:space="0" w:color="auto"/>
              <w:bottom w:val="single" w:sz="8" w:space="0" w:color="000000" w:themeColor="text1"/>
              <w:right w:val="single" w:sz="4" w:space="0" w:color="auto"/>
            </w:tcBorders>
            <w:vAlign w:val="center"/>
            <w:hideMark/>
          </w:tcPr>
          <w:p w14:paraId="0F577149" w14:textId="77777777" w:rsidR="002F5CAB" w:rsidRPr="001E44F2" w:rsidRDefault="002F5CAB">
            <w:pPr>
              <w:spacing w:after="0"/>
              <w:rPr>
                <w:rFonts w:ascii="Arial" w:eastAsia="Times New Roman" w:hAnsi="Arial" w:cs="Arial"/>
                <w:noProof/>
                <w:szCs w:val="20"/>
                <w:lang w:val="en-IE" w:eastAsia="en-IE"/>
              </w:rPr>
            </w:pPr>
          </w:p>
        </w:tc>
        <w:tc>
          <w:tcPr>
            <w:tcW w:w="708" w:type="dxa"/>
            <w:tcBorders>
              <w:top w:val="nil"/>
              <w:left w:val="single" w:sz="4" w:space="0" w:color="auto"/>
              <w:bottom w:val="single" w:sz="8" w:space="0" w:color="000000" w:themeColor="text1"/>
              <w:right w:val="nil"/>
            </w:tcBorders>
            <w:vAlign w:val="center"/>
            <w:hideMark/>
          </w:tcPr>
          <w:p w14:paraId="28A1A588" w14:textId="77777777" w:rsidR="002F5CAB" w:rsidRPr="001E44F2" w:rsidRDefault="002F5CAB">
            <w:pPr>
              <w:spacing w:after="0"/>
              <w:rPr>
                <w:rFonts w:ascii="Arial" w:eastAsia="Times New Roman" w:hAnsi="Arial" w:cs="Arial"/>
                <w:noProof/>
                <w:szCs w:val="20"/>
                <w:lang w:val="en-IE" w:eastAsia="en-IE"/>
              </w:rPr>
            </w:pPr>
          </w:p>
        </w:tc>
        <w:tc>
          <w:tcPr>
            <w:tcW w:w="1262" w:type="dxa"/>
            <w:gridSpan w:val="2"/>
            <w:tcBorders>
              <w:top w:val="single" w:sz="8" w:space="0" w:color="auto"/>
              <w:left w:val="single" w:sz="4" w:space="0" w:color="auto"/>
              <w:bottom w:val="single" w:sz="8" w:space="0" w:color="000000" w:themeColor="text1"/>
              <w:right w:val="nil"/>
            </w:tcBorders>
            <w:vAlign w:val="center"/>
            <w:hideMark/>
          </w:tcPr>
          <w:p w14:paraId="5C582C18" w14:textId="77777777" w:rsidR="002F5CAB" w:rsidRPr="001E44F2" w:rsidRDefault="002F5CAB">
            <w:pPr>
              <w:spacing w:after="0"/>
              <w:rPr>
                <w:rFonts w:ascii="Arial" w:eastAsia="Times New Roman" w:hAnsi="Arial" w:cs="Arial"/>
                <w:noProof/>
                <w:szCs w:val="20"/>
                <w:lang w:val="en-IE" w:eastAsia="en-IE"/>
              </w:rPr>
            </w:pPr>
          </w:p>
        </w:tc>
        <w:tc>
          <w:tcPr>
            <w:tcW w:w="402" w:type="dxa"/>
            <w:tcBorders>
              <w:top w:val="nil"/>
              <w:left w:val="nil"/>
              <w:bottom w:val="nil"/>
              <w:right w:val="nil"/>
            </w:tcBorders>
            <w:shd w:val="clear" w:color="auto" w:fill="969696"/>
            <w:vAlign w:val="center"/>
            <w:hideMark/>
          </w:tcPr>
          <w:p w14:paraId="3DA07ED1"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tcBorders>
              <w:top w:val="nil"/>
              <w:left w:val="single" w:sz="4" w:space="0" w:color="auto"/>
              <w:bottom w:val="single" w:sz="8" w:space="0" w:color="000000" w:themeColor="text1"/>
              <w:right w:val="single" w:sz="4" w:space="0" w:color="auto"/>
            </w:tcBorders>
            <w:vAlign w:val="center"/>
            <w:hideMark/>
          </w:tcPr>
          <w:p w14:paraId="512DF98E" w14:textId="77777777" w:rsidR="002F5CAB" w:rsidRPr="001E44F2" w:rsidRDefault="002F5CAB">
            <w:pPr>
              <w:spacing w:after="0"/>
              <w:rPr>
                <w:rFonts w:ascii="Arial" w:eastAsia="Times New Roman" w:hAnsi="Arial" w:cs="Arial"/>
                <w:noProof/>
                <w:szCs w:val="20"/>
                <w:lang w:val="en-IE" w:eastAsia="en-IE"/>
              </w:rPr>
            </w:pPr>
          </w:p>
        </w:tc>
        <w:tc>
          <w:tcPr>
            <w:tcW w:w="850" w:type="dxa"/>
            <w:tcBorders>
              <w:top w:val="nil"/>
              <w:left w:val="single" w:sz="4" w:space="0" w:color="auto"/>
              <w:bottom w:val="single" w:sz="8" w:space="0" w:color="000000" w:themeColor="text1"/>
              <w:right w:val="single" w:sz="4" w:space="0" w:color="auto"/>
            </w:tcBorders>
            <w:vAlign w:val="center"/>
            <w:hideMark/>
          </w:tcPr>
          <w:p w14:paraId="6BCBB06C" w14:textId="77777777" w:rsidR="002F5CAB" w:rsidRPr="001E44F2" w:rsidRDefault="002F5CAB">
            <w:pPr>
              <w:spacing w:after="0"/>
              <w:rPr>
                <w:rFonts w:ascii="Arial" w:eastAsia="Times New Roman" w:hAnsi="Arial" w:cs="Arial"/>
                <w:noProof/>
                <w:szCs w:val="20"/>
                <w:lang w:val="en-IE" w:eastAsia="en-IE"/>
              </w:rPr>
            </w:pPr>
          </w:p>
        </w:tc>
        <w:tc>
          <w:tcPr>
            <w:tcW w:w="1295" w:type="dxa"/>
            <w:tcBorders>
              <w:top w:val="nil"/>
              <w:left w:val="single" w:sz="4" w:space="0" w:color="auto"/>
              <w:bottom w:val="single" w:sz="8" w:space="0" w:color="000000" w:themeColor="text1"/>
              <w:right w:val="nil"/>
            </w:tcBorders>
            <w:vAlign w:val="center"/>
            <w:hideMark/>
          </w:tcPr>
          <w:p w14:paraId="003C1866" w14:textId="77777777" w:rsidR="002F5CAB" w:rsidRPr="001E44F2" w:rsidRDefault="002F5CAB">
            <w:pPr>
              <w:spacing w:after="0"/>
              <w:rPr>
                <w:rFonts w:ascii="Arial" w:eastAsia="Times New Roman" w:hAnsi="Arial" w:cs="Arial"/>
                <w:noProof/>
                <w:szCs w:val="20"/>
                <w:lang w:val="en-IE" w:eastAsia="en-IE"/>
              </w:rPr>
            </w:pPr>
          </w:p>
        </w:tc>
        <w:tc>
          <w:tcPr>
            <w:tcW w:w="1592" w:type="dxa"/>
            <w:vMerge/>
            <w:vAlign w:val="center"/>
            <w:hideMark/>
          </w:tcPr>
          <w:p w14:paraId="1C80A998" w14:textId="77777777" w:rsidR="002F5CAB" w:rsidRPr="001E44F2" w:rsidRDefault="002F5CAB">
            <w:pPr>
              <w:spacing w:after="0"/>
              <w:rPr>
                <w:rFonts w:ascii="Arial" w:eastAsia="Times New Roman" w:hAnsi="Arial" w:cs="Arial"/>
                <w:noProof/>
                <w:szCs w:val="20"/>
                <w:lang w:val="en-IE" w:eastAsia="en-IE"/>
              </w:rPr>
            </w:pPr>
          </w:p>
        </w:tc>
        <w:tc>
          <w:tcPr>
            <w:tcW w:w="402" w:type="dxa"/>
            <w:tcBorders>
              <w:top w:val="nil"/>
              <w:left w:val="nil"/>
              <w:bottom w:val="nil"/>
              <w:right w:val="nil"/>
            </w:tcBorders>
            <w:shd w:val="clear" w:color="auto" w:fill="969696"/>
            <w:noWrap/>
            <w:vAlign w:val="center"/>
            <w:hideMark/>
          </w:tcPr>
          <w:p w14:paraId="0EF6E9F7"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028" w:type="dxa"/>
            <w:tcBorders>
              <w:top w:val="single" w:sz="4" w:space="0" w:color="auto"/>
              <w:left w:val="single" w:sz="4" w:space="0" w:color="auto"/>
              <w:bottom w:val="single" w:sz="4" w:space="0" w:color="auto"/>
              <w:right w:val="single" w:sz="4" w:space="0" w:color="auto"/>
            </w:tcBorders>
            <w:noWrap/>
            <w:vAlign w:val="center"/>
            <w:hideMark/>
          </w:tcPr>
          <w:p w14:paraId="317A5E01"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Cost savings per company</w:t>
            </w:r>
          </w:p>
        </w:tc>
        <w:tc>
          <w:tcPr>
            <w:tcW w:w="1184" w:type="dxa"/>
            <w:tcBorders>
              <w:top w:val="single" w:sz="4" w:space="0" w:color="auto"/>
              <w:left w:val="nil"/>
              <w:bottom w:val="single" w:sz="4" w:space="0" w:color="auto"/>
              <w:right w:val="single" w:sz="4" w:space="0" w:color="auto"/>
            </w:tcBorders>
            <w:noWrap/>
            <w:vAlign w:val="center"/>
            <w:hideMark/>
          </w:tcPr>
          <w:p w14:paraId="3E752BD3"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Number of companies</w:t>
            </w:r>
          </w:p>
        </w:tc>
        <w:tc>
          <w:tcPr>
            <w:tcW w:w="1157" w:type="dxa"/>
            <w:tcBorders>
              <w:top w:val="single" w:sz="4" w:space="0" w:color="auto"/>
              <w:left w:val="nil"/>
              <w:bottom w:val="single" w:sz="4" w:space="0" w:color="auto"/>
              <w:right w:val="single" w:sz="4" w:space="0" w:color="auto"/>
            </w:tcBorders>
            <w:noWrap/>
            <w:vAlign w:val="center"/>
            <w:hideMark/>
          </w:tcPr>
          <w:p w14:paraId="301F00DD"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Total benefit</w:t>
            </w:r>
          </w:p>
        </w:tc>
      </w:tr>
      <w:tr w:rsidR="00783610" w:rsidRPr="001E44F2" w14:paraId="12065AED" w14:textId="77777777" w:rsidTr="6F00936E">
        <w:trPr>
          <w:trHeight w:val="300"/>
        </w:trPr>
        <w:tc>
          <w:tcPr>
            <w:tcW w:w="428" w:type="dxa"/>
            <w:tcBorders>
              <w:top w:val="nil"/>
              <w:left w:val="single" w:sz="8" w:space="0" w:color="auto"/>
              <w:bottom w:val="single" w:sz="8" w:space="0" w:color="auto"/>
              <w:right w:val="nil"/>
            </w:tcBorders>
            <w:shd w:val="clear" w:color="auto" w:fill="305496"/>
            <w:noWrap/>
            <w:vAlign w:val="center"/>
            <w:hideMark/>
          </w:tcPr>
          <w:p w14:paraId="788719D2"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413" w:type="dxa"/>
            <w:tcBorders>
              <w:top w:val="nil"/>
              <w:left w:val="nil"/>
              <w:bottom w:val="single" w:sz="8" w:space="0" w:color="auto"/>
              <w:right w:val="nil"/>
            </w:tcBorders>
            <w:shd w:val="clear" w:color="auto" w:fill="305496"/>
            <w:noWrap/>
            <w:vAlign w:val="center"/>
            <w:hideMark/>
          </w:tcPr>
          <w:p w14:paraId="71F683D3"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559" w:type="dxa"/>
            <w:tcBorders>
              <w:top w:val="nil"/>
              <w:left w:val="nil"/>
              <w:bottom w:val="single" w:sz="8" w:space="0" w:color="auto"/>
              <w:right w:val="nil"/>
            </w:tcBorders>
            <w:shd w:val="clear" w:color="auto" w:fill="305496"/>
            <w:noWrap/>
            <w:vAlign w:val="center"/>
            <w:hideMark/>
          </w:tcPr>
          <w:p w14:paraId="192C1D48"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4C6C0EB9"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auto"/>
              <w:right w:val="nil"/>
            </w:tcBorders>
            <w:shd w:val="clear" w:color="auto" w:fill="8EA9DB"/>
            <w:noWrap/>
            <w:vAlign w:val="center"/>
            <w:hideMark/>
          </w:tcPr>
          <w:p w14:paraId="687DB88E"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3A1E0843"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708" w:type="dxa"/>
            <w:tcBorders>
              <w:top w:val="nil"/>
              <w:left w:val="single" w:sz="4" w:space="0" w:color="auto"/>
              <w:bottom w:val="single" w:sz="8" w:space="0" w:color="auto"/>
              <w:right w:val="nil"/>
            </w:tcBorders>
            <w:shd w:val="clear" w:color="auto" w:fill="8EA9DB"/>
            <w:noWrap/>
            <w:vAlign w:val="center"/>
            <w:hideMark/>
          </w:tcPr>
          <w:p w14:paraId="2D2FC2AA"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262" w:type="dxa"/>
            <w:gridSpan w:val="2"/>
            <w:tcBorders>
              <w:top w:val="nil"/>
              <w:left w:val="single" w:sz="4" w:space="0" w:color="auto"/>
              <w:bottom w:val="single" w:sz="8" w:space="0" w:color="auto"/>
              <w:right w:val="nil"/>
            </w:tcBorders>
            <w:shd w:val="clear" w:color="auto" w:fill="8EA9DB"/>
            <w:noWrap/>
            <w:vAlign w:val="center"/>
            <w:hideMark/>
          </w:tcPr>
          <w:p w14:paraId="1C4BC2CF"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402" w:type="dxa"/>
            <w:tcBorders>
              <w:top w:val="nil"/>
              <w:left w:val="nil"/>
              <w:bottom w:val="nil"/>
              <w:right w:val="nil"/>
            </w:tcBorders>
            <w:shd w:val="clear" w:color="auto" w:fill="969696"/>
            <w:noWrap/>
            <w:vAlign w:val="center"/>
            <w:hideMark/>
          </w:tcPr>
          <w:p w14:paraId="217D4AE1"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tcBorders>
              <w:top w:val="nil"/>
              <w:left w:val="single" w:sz="4" w:space="0" w:color="auto"/>
              <w:bottom w:val="single" w:sz="8" w:space="0" w:color="auto"/>
              <w:right w:val="nil"/>
            </w:tcBorders>
            <w:shd w:val="clear" w:color="auto" w:fill="C6E0B4"/>
            <w:noWrap/>
            <w:vAlign w:val="center"/>
            <w:hideMark/>
          </w:tcPr>
          <w:p w14:paraId="5EAE5EBF"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6275AA63"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57169279"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592" w:type="dxa"/>
            <w:tcBorders>
              <w:top w:val="nil"/>
              <w:left w:val="single" w:sz="4" w:space="0" w:color="auto"/>
              <w:bottom w:val="single" w:sz="8" w:space="0" w:color="auto"/>
              <w:right w:val="nil"/>
            </w:tcBorders>
            <w:shd w:val="clear" w:color="auto" w:fill="C6E0B4"/>
            <w:vAlign w:val="center"/>
            <w:hideMark/>
          </w:tcPr>
          <w:p w14:paraId="17FE0520"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402" w:type="dxa"/>
            <w:tcBorders>
              <w:top w:val="nil"/>
              <w:left w:val="nil"/>
              <w:bottom w:val="nil"/>
              <w:right w:val="nil"/>
            </w:tcBorders>
            <w:shd w:val="clear" w:color="auto" w:fill="969696"/>
            <w:noWrap/>
            <w:vAlign w:val="center"/>
            <w:hideMark/>
          </w:tcPr>
          <w:p w14:paraId="071755F3"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2548FD08" w14:textId="77777777" w:rsidR="002F5CAB" w:rsidRPr="001E44F2" w:rsidRDefault="002F5CAB">
            <w:pPr>
              <w:spacing w:after="0"/>
              <w:jc w:val="center"/>
              <w:rPr>
                <w:rFonts w:ascii="Arial" w:eastAsia="Times New Roman" w:hAnsi="Arial" w:cs="Arial"/>
                <w:b/>
                <w:bCs/>
                <w:noProof/>
                <w:szCs w:val="20"/>
                <w:lang w:val="en-IE" w:eastAsia="en-IE"/>
              </w:rPr>
            </w:pPr>
            <w:r w:rsidRPr="001E44F2">
              <w:rPr>
                <w:rFonts w:ascii="Arial" w:eastAsia="Times New Roman" w:hAnsi="Arial" w:cs="Arial"/>
                <w:b/>
                <w:bCs/>
                <w:noProof/>
                <w:szCs w:val="20"/>
                <w:lang w:val="en-IE" w:eastAsia="en-IE"/>
              </w:rPr>
              <w:t> </w:t>
            </w:r>
          </w:p>
        </w:tc>
        <w:tc>
          <w:tcPr>
            <w:tcW w:w="1157" w:type="dxa"/>
            <w:tcBorders>
              <w:top w:val="nil"/>
              <w:left w:val="single" w:sz="8" w:space="0" w:color="auto"/>
              <w:bottom w:val="single" w:sz="8" w:space="0" w:color="auto"/>
              <w:right w:val="single" w:sz="8" w:space="0" w:color="auto"/>
            </w:tcBorders>
            <w:shd w:val="clear" w:color="auto" w:fill="DBDBDB"/>
            <w:noWrap/>
            <w:vAlign w:val="center"/>
            <w:hideMark/>
          </w:tcPr>
          <w:p w14:paraId="7C1FE6C2" w14:textId="77777777" w:rsidR="002F5CAB" w:rsidRPr="001E44F2" w:rsidRDefault="002F5CAB">
            <w:pPr>
              <w:spacing w:after="0"/>
              <w:jc w:val="center"/>
              <w:rPr>
                <w:rFonts w:ascii="Arial" w:eastAsia="Times New Roman" w:hAnsi="Arial" w:cs="Arial"/>
                <w:b/>
                <w:bCs/>
                <w:noProof/>
                <w:szCs w:val="20"/>
                <w:lang w:val="en-IE" w:eastAsia="en-IE"/>
              </w:rPr>
            </w:pPr>
            <w:r w:rsidRPr="001E44F2">
              <w:rPr>
                <w:rFonts w:ascii="Arial" w:eastAsia="Times New Roman" w:hAnsi="Arial" w:cs="Arial"/>
                <w:b/>
                <w:bCs/>
                <w:noProof/>
                <w:szCs w:val="20"/>
                <w:lang w:val="en-IE" w:eastAsia="en-IE"/>
              </w:rPr>
              <w:t> </w:t>
            </w:r>
          </w:p>
        </w:tc>
      </w:tr>
      <w:tr w:rsidR="00401FEA" w:rsidRPr="001E44F2" w14:paraId="5D234875" w14:textId="77777777">
        <w:trPr>
          <w:trHeight w:val="300"/>
        </w:trPr>
        <w:tc>
          <w:tcPr>
            <w:tcW w:w="2400" w:type="dxa"/>
            <w:gridSpan w:val="3"/>
            <w:tcBorders>
              <w:top w:val="single" w:sz="8" w:space="0" w:color="auto"/>
              <w:left w:val="single" w:sz="8" w:space="0" w:color="auto"/>
              <w:bottom w:val="single" w:sz="8" w:space="0" w:color="auto"/>
              <w:right w:val="nil"/>
            </w:tcBorders>
            <w:shd w:val="clear" w:color="auto" w:fill="FFFF00"/>
            <w:noWrap/>
            <w:vAlign w:val="center"/>
            <w:hideMark/>
          </w:tcPr>
          <w:p w14:paraId="279E5798" w14:textId="5C125AF5" w:rsidR="002F5CAB" w:rsidRPr="001E44F2" w:rsidRDefault="00F1688C">
            <w:pPr>
              <w:spacing w:after="0"/>
              <w:rPr>
                <w:rFonts w:ascii="Arial" w:eastAsia="Times New Roman" w:hAnsi="Arial" w:cs="Arial"/>
                <w:noProof/>
                <w:szCs w:val="20"/>
                <w:lang w:val="en-IE" w:eastAsia="en-IE"/>
              </w:rPr>
            </w:pPr>
            <w:r w:rsidRPr="001E44F2">
              <w:rPr>
                <w:rFonts w:ascii="Arial" w:eastAsia="Times New Roman" w:hAnsi="Arial" w:cs="Arial"/>
                <w:b/>
                <w:bCs/>
                <w:noProof/>
                <w:szCs w:val="20"/>
                <w:lang w:val="en-IE" w:eastAsia="en-IE"/>
              </w:rPr>
              <w:t>PO 7a</w:t>
            </w:r>
            <w:r w:rsidRPr="001E44F2">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00933A7D"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tcBorders>
              <w:top w:val="nil"/>
              <w:left w:val="single" w:sz="4" w:space="0" w:color="auto"/>
              <w:bottom w:val="nil"/>
              <w:right w:val="nil"/>
            </w:tcBorders>
            <w:noWrap/>
            <w:vAlign w:val="center"/>
            <w:hideMark/>
          </w:tcPr>
          <w:p w14:paraId="2B377FD7"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161" w:type="dxa"/>
            <w:tcBorders>
              <w:top w:val="nil"/>
              <w:left w:val="single" w:sz="4" w:space="0" w:color="auto"/>
              <w:bottom w:val="nil"/>
              <w:right w:val="nil"/>
            </w:tcBorders>
            <w:noWrap/>
            <w:vAlign w:val="center"/>
            <w:hideMark/>
          </w:tcPr>
          <w:p w14:paraId="0B3017F4"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708" w:type="dxa"/>
            <w:tcBorders>
              <w:top w:val="nil"/>
              <w:left w:val="single" w:sz="4" w:space="0" w:color="auto"/>
              <w:bottom w:val="nil"/>
              <w:right w:val="nil"/>
            </w:tcBorders>
            <w:noWrap/>
            <w:vAlign w:val="center"/>
            <w:hideMark/>
          </w:tcPr>
          <w:p w14:paraId="4F139723"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262" w:type="dxa"/>
            <w:gridSpan w:val="2"/>
            <w:tcBorders>
              <w:top w:val="nil"/>
              <w:left w:val="single" w:sz="4" w:space="0" w:color="auto"/>
              <w:bottom w:val="nil"/>
              <w:right w:val="nil"/>
            </w:tcBorders>
            <w:noWrap/>
            <w:vAlign w:val="center"/>
            <w:hideMark/>
          </w:tcPr>
          <w:p w14:paraId="3D99F158"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402" w:type="dxa"/>
            <w:tcBorders>
              <w:top w:val="nil"/>
              <w:left w:val="nil"/>
              <w:bottom w:val="nil"/>
              <w:right w:val="nil"/>
            </w:tcBorders>
            <w:shd w:val="clear" w:color="auto" w:fill="969696"/>
            <w:noWrap/>
            <w:vAlign w:val="center"/>
            <w:hideMark/>
          </w:tcPr>
          <w:p w14:paraId="55CC9409"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tcBorders>
              <w:top w:val="nil"/>
              <w:left w:val="single" w:sz="4" w:space="0" w:color="auto"/>
              <w:bottom w:val="nil"/>
              <w:right w:val="nil"/>
            </w:tcBorders>
            <w:noWrap/>
            <w:vAlign w:val="center"/>
            <w:hideMark/>
          </w:tcPr>
          <w:p w14:paraId="2457F9A8"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5E117A72"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5F934E24"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592" w:type="dxa"/>
            <w:tcBorders>
              <w:top w:val="nil"/>
              <w:left w:val="single" w:sz="4" w:space="0" w:color="auto"/>
              <w:bottom w:val="nil"/>
              <w:right w:val="nil"/>
            </w:tcBorders>
            <w:noWrap/>
            <w:vAlign w:val="center"/>
            <w:hideMark/>
          </w:tcPr>
          <w:p w14:paraId="3129960B"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402" w:type="dxa"/>
            <w:tcBorders>
              <w:top w:val="nil"/>
              <w:left w:val="nil"/>
              <w:bottom w:val="nil"/>
              <w:right w:val="single" w:sz="8" w:space="0" w:color="auto"/>
            </w:tcBorders>
            <w:shd w:val="clear" w:color="auto" w:fill="969696"/>
            <w:noWrap/>
            <w:vAlign w:val="center"/>
            <w:hideMark/>
          </w:tcPr>
          <w:p w14:paraId="236DEB1B"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028" w:type="dxa"/>
            <w:tcBorders>
              <w:top w:val="nil"/>
              <w:left w:val="nil"/>
              <w:bottom w:val="nil"/>
              <w:right w:val="nil"/>
            </w:tcBorders>
            <w:noWrap/>
            <w:vAlign w:val="center"/>
            <w:hideMark/>
          </w:tcPr>
          <w:p w14:paraId="4AE12CBF"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3B7E6F3B"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157" w:type="dxa"/>
            <w:tcBorders>
              <w:top w:val="nil"/>
              <w:left w:val="nil"/>
              <w:bottom w:val="nil"/>
              <w:right w:val="single" w:sz="8" w:space="0" w:color="auto"/>
            </w:tcBorders>
            <w:noWrap/>
            <w:vAlign w:val="center"/>
            <w:hideMark/>
          </w:tcPr>
          <w:p w14:paraId="7C7E0E16" w14:textId="77777777" w:rsidR="002F5CAB" w:rsidRPr="001E44F2" w:rsidRDefault="002F5CAB">
            <w:pPr>
              <w:spacing w:after="0"/>
              <w:jc w:val="center"/>
              <w:rPr>
                <w:rFonts w:ascii="Arial" w:eastAsia="Times New Roman" w:hAnsi="Arial" w:cs="Arial"/>
                <w:b/>
                <w:bCs/>
                <w:noProof/>
                <w:szCs w:val="20"/>
                <w:lang w:val="en-IE" w:eastAsia="en-IE"/>
              </w:rPr>
            </w:pPr>
            <w:r w:rsidRPr="001E44F2">
              <w:rPr>
                <w:rFonts w:ascii="Arial" w:eastAsia="Times New Roman" w:hAnsi="Arial" w:cs="Arial"/>
                <w:b/>
                <w:bCs/>
                <w:noProof/>
                <w:szCs w:val="20"/>
                <w:lang w:val="en-IE" w:eastAsia="en-IE"/>
              </w:rPr>
              <w:t> </w:t>
            </w:r>
          </w:p>
        </w:tc>
      </w:tr>
      <w:tr w:rsidR="00637669" w:rsidRPr="001E44F2" w14:paraId="71D97CE4" w14:textId="77777777" w:rsidTr="6F00936E">
        <w:trPr>
          <w:trHeight w:val="1140"/>
        </w:trPr>
        <w:tc>
          <w:tcPr>
            <w:tcW w:w="2400" w:type="dxa"/>
            <w:gridSpan w:val="3"/>
            <w:vMerge w:val="restart"/>
            <w:tcBorders>
              <w:top w:val="single" w:sz="8" w:space="0" w:color="auto"/>
              <w:left w:val="single" w:sz="8" w:space="0" w:color="auto"/>
              <w:right w:val="nil"/>
            </w:tcBorders>
            <w:vAlign w:val="center"/>
            <w:hideMark/>
          </w:tcPr>
          <w:p w14:paraId="6FBABC3F" w14:textId="29271053" w:rsidR="0089026A" w:rsidRPr="0089026A" w:rsidRDefault="0089026A" w:rsidP="0089026A">
            <w:pPr>
              <w:spacing w:after="0"/>
              <w:jc w:val="both"/>
              <w:rPr>
                <w:rFonts w:asciiTheme="minorHAnsi" w:hAnsiTheme="minorHAnsi" w:cstheme="minorHAnsi"/>
                <w:bCs/>
                <w:noProof/>
                <w:szCs w:val="20"/>
              </w:rPr>
            </w:pPr>
            <w:r w:rsidRPr="0089026A">
              <w:rPr>
                <w:rFonts w:asciiTheme="minorHAnsi" w:hAnsiTheme="minorHAnsi" w:cstheme="minorHAnsi"/>
                <w:bCs/>
                <w:noProof/>
                <w:szCs w:val="20"/>
              </w:rPr>
              <w:t>Ensure that</w:t>
            </w:r>
            <w:r w:rsidRPr="0089026A">
              <w:rPr>
                <w:rFonts w:asciiTheme="minorHAnsi" w:hAnsiTheme="minorHAnsi" w:cstheme="minorHAnsi"/>
                <w:noProof/>
                <w:szCs w:val="20"/>
              </w:rPr>
              <w:t xml:space="preserve"> transfers of shares of 28</w:t>
            </w:r>
            <w:r w:rsidRPr="0089026A">
              <w:rPr>
                <w:rFonts w:asciiTheme="minorHAnsi" w:hAnsiTheme="minorHAnsi" w:cstheme="minorHAnsi"/>
                <w:noProof/>
                <w:szCs w:val="20"/>
                <w:vertAlign w:val="superscript"/>
              </w:rPr>
              <w:t>th</w:t>
            </w:r>
            <w:r w:rsidRPr="0089026A">
              <w:rPr>
                <w:rFonts w:asciiTheme="minorHAnsi" w:hAnsiTheme="minorHAnsi" w:cstheme="minorHAnsi"/>
                <w:noProof/>
                <w:szCs w:val="20"/>
              </w:rPr>
              <w:t xml:space="preserve"> regime companies </w:t>
            </w:r>
            <w:r w:rsidRPr="0089026A">
              <w:rPr>
                <w:rFonts w:asciiTheme="minorHAnsi" w:hAnsiTheme="minorHAnsi" w:cstheme="minorHAnsi"/>
                <w:bCs/>
                <w:noProof/>
                <w:szCs w:val="20"/>
              </w:rPr>
              <w:t>can</w:t>
            </w:r>
            <w:r w:rsidRPr="0089026A">
              <w:rPr>
                <w:rFonts w:asciiTheme="minorHAnsi" w:hAnsiTheme="minorHAnsi" w:cstheme="minorHAnsi"/>
                <w:noProof/>
                <w:szCs w:val="20"/>
              </w:rPr>
              <w:t xml:space="preserve"> be carried out fully digitally</w:t>
            </w:r>
            <w:r w:rsidR="00385640">
              <w:rPr>
                <w:rFonts w:asciiTheme="minorHAnsi" w:hAnsiTheme="minorHAnsi" w:cstheme="minorHAnsi"/>
                <w:noProof/>
                <w:szCs w:val="20"/>
              </w:rPr>
              <w:t>.</w:t>
            </w:r>
          </w:p>
          <w:p w14:paraId="1A2FC597" w14:textId="10321021" w:rsidR="002F5CAB" w:rsidRPr="00BA1889" w:rsidRDefault="002F5CAB">
            <w:pPr>
              <w:spacing w:after="0"/>
              <w:rPr>
                <w:rFonts w:ascii="Calibri" w:eastAsia="Times New Roman" w:hAnsi="Calibri" w:cs="Calibri"/>
                <w:noProof/>
                <w:color w:val="000000"/>
                <w:lang w:eastAsia="en-IE"/>
              </w:rPr>
            </w:pPr>
          </w:p>
        </w:tc>
        <w:tc>
          <w:tcPr>
            <w:tcW w:w="272" w:type="dxa"/>
            <w:tcBorders>
              <w:top w:val="nil"/>
              <w:left w:val="nil"/>
              <w:bottom w:val="nil"/>
              <w:right w:val="single" w:sz="4" w:space="0" w:color="auto"/>
            </w:tcBorders>
            <w:shd w:val="clear" w:color="auto" w:fill="969696"/>
            <w:vAlign w:val="center"/>
            <w:hideMark/>
          </w:tcPr>
          <w:p w14:paraId="35BBEB67"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vMerge w:val="restart"/>
            <w:tcBorders>
              <w:top w:val="single" w:sz="4" w:space="0" w:color="auto"/>
              <w:left w:val="single" w:sz="4" w:space="0" w:color="auto"/>
              <w:right w:val="single" w:sz="4" w:space="0" w:color="auto"/>
            </w:tcBorders>
            <w:vAlign w:val="center"/>
            <w:hideMark/>
          </w:tcPr>
          <w:p w14:paraId="05429514"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161" w:type="dxa"/>
            <w:vMerge w:val="restart"/>
            <w:tcBorders>
              <w:top w:val="single" w:sz="4" w:space="0" w:color="auto"/>
              <w:left w:val="single" w:sz="4" w:space="0" w:color="auto"/>
              <w:right w:val="single" w:sz="4" w:space="0" w:color="auto"/>
            </w:tcBorders>
            <w:vAlign w:val="center"/>
            <w:hideMark/>
          </w:tcPr>
          <w:p w14:paraId="665DDEC1"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1</w:t>
            </w:r>
          </w:p>
        </w:tc>
        <w:tc>
          <w:tcPr>
            <w:tcW w:w="708" w:type="dxa"/>
            <w:vMerge w:val="restart"/>
            <w:tcBorders>
              <w:top w:val="single" w:sz="4" w:space="0" w:color="auto"/>
              <w:left w:val="single" w:sz="4" w:space="0" w:color="auto"/>
              <w:right w:val="single" w:sz="4" w:space="0" w:color="auto"/>
            </w:tcBorders>
            <w:vAlign w:val="center"/>
            <w:hideMark/>
          </w:tcPr>
          <w:p w14:paraId="3A377EAF" w14:textId="77777777" w:rsidR="002F5CAB" w:rsidRPr="001E44F2" w:rsidRDefault="002F5CAB">
            <w:pPr>
              <w:spacing w:after="0"/>
              <w:jc w:val="right"/>
              <w:rPr>
                <w:rFonts w:ascii="Calibri" w:eastAsia="Times New Roman" w:hAnsi="Calibri" w:cs="Calibri"/>
                <w:noProof/>
                <w:lang w:val="en-IE" w:eastAsia="en-IE"/>
              </w:rPr>
            </w:pPr>
            <w:r w:rsidRPr="001E44F2">
              <w:rPr>
                <w:rFonts w:ascii="Calibri" w:eastAsia="Times New Roman" w:hAnsi="Calibri" w:cs="Calibri"/>
                <w:noProof/>
                <w:lang w:val="en-IE" w:eastAsia="en-IE"/>
              </w:rPr>
              <w:t>100%</w:t>
            </w:r>
          </w:p>
        </w:tc>
        <w:tc>
          <w:tcPr>
            <w:tcW w:w="1262" w:type="dxa"/>
            <w:gridSpan w:val="2"/>
            <w:vMerge w:val="restart"/>
            <w:tcBorders>
              <w:top w:val="single" w:sz="4" w:space="0" w:color="auto"/>
              <w:left w:val="single" w:sz="4" w:space="0" w:color="auto"/>
              <w:right w:val="single" w:sz="4" w:space="0" w:color="auto"/>
            </w:tcBorders>
            <w:shd w:val="clear" w:color="auto" w:fill="FFFFFF" w:themeFill="background1"/>
            <w:vAlign w:val="center"/>
            <w:hideMark/>
          </w:tcPr>
          <w:p w14:paraId="7E03E0FA"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402" w:type="dxa"/>
            <w:tcBorders>
              <w:top w:val="nil"/>
              <w:left w:val="nil"/>
              <w:bottom w:val="nil"/>
              <w:right w:val="nil"/>
            </w:tcBorders>
            <w:shd w:val="clear" w:color="auto" w:fill="969696"/>
            <w:noWrap/>
            <w:vAlign w:val="center"/>
            <w:hideMark/>
          </w:tcPr>
          <w:p w14:paraId="75DADC1D"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683B4A21"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40.00</w:t>
            </w:r>
          </w:p>
        </w:tc>
        <w:tc>
          <w:tcPr>
            <w:tcW w:w="850"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4597CF18" w14:textId="1BFEC296" w:rsidR="002F5CAB" w:rsidRPr="001E44F2" w:rsidRDefault="00A20F11">
            <w:pPr>
              <w:spacing w:after="0"/>
              <w:jc w:val="center"/>
              <w:rPr>
                <w:rFonts w:ascii="Calibri" w:eastAsia="Times New Roman" w:hAnsi="Calibri" w:cs="Calibri"/>
                <w:noProof/>
                <w:color w:val="000000"/>
                <w:lang w:val="en-IE" w:eastAsia="en-IE"/>
              </w:rPr>
            </w:pPr>
            <w:r>
              <w:rPr>
                <w:rFonts w:ascii="Calibri" w:eastAsia="Times New Roman" w:hAnsi="Calibri" w:cs="Calibri"/>
                <w:noProof/>
                <w:color w:val="000000"/>
                <w:lang w:val="en-IE" w:eastAsia="en-IE"/>
              </w:rPr>
              <w:t>5</w:t>
            </w:r>
            <w:r w:rsidR="002F5CAB" w:rsidRPr="001E44F2">
              <w:rPr>
                <w:rFonts w:ascii="Calibri" w:eastAsia="Times New Roman" w:hAnsi="Calibri" w:cs="Calibri"/>
                <w:noProof/>
                <w:color w:val="000000"/>
                <w:lang w:val="en-IE" w:eastAsia="en-IE"/>
              </w:rPr>
              <w:t>.00</w:t>
            </w:r>
          </w:p>
        </w:tc>
        <w:tc>
          <w:tcPr>
            <w:tcW w:w="1295"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6BF0B644" w14:textId="1B6762BB" w:rsidR="002F5CAB" w:rsidRPr="001E44F2" w:rsidRDefault="00431A67">
            <w:pPr>
              <w:spacing w:after="0"/>
              <w:jc w:val="center"/>
              <w:rPr>
                <w:rFonts w:ascii="Calibri" w:eastAsia="Times New Roman" w:hAnsi="Calibri" w:cs="Calibri"/>
                <w:noProof/>
                <w:color w:val="000000"/>
                <w:lang w:val="en-IE" w:eastAsia="en-IE"/>
              </w:rPr>
            </w:pPr>
            <w:r>
              <w:rPr>
                <w:rFonts w:ascii="Calibri" w:eastAsia="Times New Roman" w:hAnsi="Calibri" w:cs="Calibri"/>
                <w:noProof/>
                <w:color w:val="000000"/>
                <w:lang w:val="en-IE" w:eastAsia="en-IE"/>
              </w:rPr>
              <w:t>5</w:t>
            </w:r>
            <w:r w:rsidR="002F5CAB" w:rsidRPr="001E44F2">
              <w:rPr>
                <w:rFonts w:ascii="Calibri" w:eastAsia="Times New Roman" w:hAnsi="Calibri" w:cs="Calibri"/>
                <w:noProof/>
                <w:color w:val="000000"/>
                <w:lang w:val="en-IE" w:eastAsia="en-IE"/>
              </w:rPr>
              <w:t>00.00</w:t>
            </w:r>
          </w:p>
        </w:tc>
        <w:tc>
          <w:tcPr>
            <w:tcW w:w="1592" w:type="dxa"/>
            <w:vMerge w:val="restart"/>
            <w:tcBorders>
              <w:top w:val="single" w:sz="4" w:space="0" w:color="auto"/>
              <w:left w:val="single" w:sz="4" w:space="0" w:color="auto"/>
              <w:right w:val="single" w:sz="4" w:space="0" w:color="auto"/>
            </w:tcBorders>
            <w:vAlign w:val="center"/>
            <w:hideMark/>
          </w:tcPr>
          <w:p w14:paraId="0C8D33C9" w14:textId="0CC90E09"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xml:space="preserve">Time: </w:t>
            </w:r>
            <w:r w:rsidR="00431A67">
              <w:rPr>
                <w:rFonts w:ascii="Calibri" w:eastAsia="Times New Roman" w:hAnsi="Calibri" w:cs="Calibri"/>
                <w:noProof/>
                <w:color w:val="000000"/>
                <w:lang w:val="en-IE" w:eastAsia="en-IE"/>
              </w:rPr>
              <w:t>5</w:t>
            </w:r>
            <w:r w:rsidRPr="001E44F2">
              <w:rPr>
                <w:rFonts w:ascii="Calibri" w:eastAsia="Times New Roman" w:hAnsi="Calibri" w:cs="Calibri"/>
                <w:noProof/>
                <w:color w:val="000000"/>
                <w:lang w:val="en-IE" w:eastAsia="en-IE"/>
              </w:rPr>
              <w:t xml:space="preserve"> hours (saving) </w:t>
            </w:r>
            <w:r w:rsidRPr="001E44F2">
              <w:rPr>
                <w:rFonts w:ascii="Calibri" w:eastAsia="Times New Roman" w:hAnsi="Calibri" w:cs="Calibri"/>
                <w:noProof/>
                <w:color w:val="000000"/>
                <w:lang w:val="en-IE" w:eastAsia="en-IE"/>
              </w:rPr>
              <w:br/>
            </w:r>
            <w:r w:rsidR="00C53EA7">
              <w:rPr>
                <w:rFonts w:ascii="Calibri" w:eastAsia="Times New Roman" w:hAnsi="Calibri" w:cs="Calibri"/>
                <w:noProof/>
                <w:color w:val="000000"/>
                <w:lang w:val="en-IE" w:eastAsia="en-IE"/>
              </w:rPr>
              <w:t>Direct c</w:t>
            </w:r>
            <w:r w:rsidR="00746134" w:rsidRPr="001E44F2">
              <w:rPr>
                <w:rFonts w:ascii="Calibri" w:eastAsia="Times New Roman" w:hAnsi="Calibri" w:cs="Calibri"/>
                <w:noProof/>
                <w:color w:val="000000"/>
                <w:lang w:val="en-IE" w:eastAsia="en-IE"/>
              </w:rPr>
              <w:t>ost</w:t>
            </w:r>
            <w:r w:rsidR="00C53EA7">
              <w:rPr>
                <w:rFonts w:ascii="Calibri" w:eastAsia="Times New Roman" w:hAnsi="Calibri" w:cs="Calibri"/>
                <w:noProof/>
                <w:color w:val="000000"/>
                <w:lang w:val="en-IE" w:eastAsia="en-IE"/>
              </w:rPr>
              <w:t>s</w:t>
            </w:r>
            <w:r w:rsidRPr="001E44F2">
              <w:rPr>
                <w:rFonts w:ascii="Calibri" w:eastAsia="Times New Roman" w:hAnsi="Calibri" w:cs="Calibri"/>
                <w:noProof/>
                <w:color w:val="000000"/>
                <w:lang w:val="en-IE" w:eastAsia="en-IE"/>
              </w:rPr>
              <w:t xml:space="preserve">: </w:t>
            </w:r>
            <w:r w:rsidR="00431A67">
              <w:rPr>
                <w:rFonts w:ascii="Calibri" w:eastAsia="Times New Roman" w:hAnsi="Calibri" w:cs="Calibri"/>
                <w:noProof/>
                <w:color w:val="000000"/>
                <w:lang w:val="en-IE" w:eastAsia="en-IE"/>
              </w:rPr>
              <w:t>5</w:t>
            </w:r>
            <w:r w:rsidRPr="001E44F2">
              <w:rPr>
                <w:rFonts w:ascii="Calibri" w:eastAsia="Times New Roman" w:hAnsi="Calibri" w:cs="Calibri"/>
                <w:noProof/>
                <w:color w:val="000000"/>
                <w:lang w:val="en-IE" w:eastAsia="en-IE"/>
              </w:rPr>
              <w:t>00 EUR (saving)</w:t>
            </w:r>
          </w:p>
        </w:tc>
        <w:tc>
          <w:tcPr>
            <w:tcW w:w="402" w:type="dxa"/>
            <w:tcBorders>
              <w:top w:val="nil"/>
              <w:left w:val="nil"/>
              <w:bottom w:val="nil"/>
              <w:right w:val="nil"/>
            </w:tcBorders>
            <w:shd w:val="clear" w:color="auto" w:fill="969696"/>
            <w:noWrap/>
            <w:vAlign w:val="center"/>
            <w:hideMark/>
          </w:tcPr>
          <w:p w14:paraId="20085AD9"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028" w:type="dxa"/>
            <w:vMerge w:val="restart"/>
            <w:tcBorders>
              <w:top w:val="single" w:sz="4" w:space="0" w:color="auto"/>
              <w:left w:val="single" w:sz="4" w:space="0" w:color="auto"/>
              <w:right w:val="single" w:sz="4" w:space="0" w:color="auto"/>
            </w:tcBorders>
            <w:vAlign w:val="center"/>
            <w:hideMark/>
          </w:tcPr>
          <w:p w14:paraId="7B91EC7A" w14:textId="678D44E1" w:rsidR="002F5CAB" w:rsidRPr="001E44F2" w:rsidRDefault="00BA26E7">
            <w:pPr>
              <w:spacing w:after="0"/>
              <w:jc w:val="center"/>
              <w:rPr>
                <w:rFonts w:ascii="Calibri" w:eastAsia="Times New Roman" w:hAnsi="Calibri" w:cs="Calibri"/>
                <w:noProof/>
                <w:color w:val="000000"/>
                <w:lang w:val="en-IE" w:eastAsia="en-IE"/>
              </w:rPr>
            </w:pPr>
            <w:r>
              <w:rPr>
                <w:rFonts w:ascii="Calibri" w:eastAsia="Times New Roman" w:hAnsi="Calibri" w:cs="Calibri"/>
                <w:noProof/>
                <w:color w:val="000000"/>
                <w:lang w:val="en-IE" w:eastAsia="en-IE"/>
              </w:rPr>
              <w:t xml:space="preserve">EUR </w:t>
            </w:r>
            <w:r w:rsidR="00431A67">
              <w:rPr>
                <w:rFonts w:ascii="Calibri" w:eastAsia="Times New Roman" w:hAnsi="Calibri" w:cs="Calibri"/>
                <w:noProof/>
                <w:color w:val="000000"/>
                <w:lang w:val="en-IE" w:eastAsia="en-IE"/>
              </w:rPr>
              <w:t>70</w:t>
            </w:r>
            <w:r w:rsidR="002F5CAB" w:rsidRPr="001E44F2">
              <w:rPr>
                <w:rFonts w:ascii="Calibri" w:eastAsia="Times New Roman" w:hAnsi="Calibri" w:cs="Calibri"/>
                <w:noProof/>
                <w:color w:val="000000"/>
                <w:lang w:val="en-IE" w:eastAsia="en-IE"/>
              </w:rPr>
              <w:t>0.00</w:t>
            </w:r>
          </w:p>
        </w:tc>
        <w:tc>
          <w:tcPr>
            <w:tcW w:w="1184" w:type="dxa"/>
            <w:vMerge w:val="restart"/>
            <w:tcBorders>
              <w:top w:val="single" w:sz="4" w:space="0" w:color="auto"/>
              <w:left w:val="single" w:sz="4" w:space="0" w:color="auto"/>
              <w:right w:val="single" w:sz="4" w:space="0" w:color="auto"/>
            </w:tcBorders>
            <w:vAlign w:val="center"/>
            <w:hideMark/>
          </w:tcPr>
          <w:p w14:paraId="282A069F"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157" w:type="dxa"/>
            <w:vMerge w:val="restart"/>
            <w:tcBorders>
              <w:top w:val="single" w:sz="4" w:space="0" w:color="auto"/>
              <w:left w:val="single" w:sz="4" w:space="0" w:color="auto"/>
              <w:bottom w:val="single" w:sz="4" w:space="0" w:color="auto"/>
              <w:right w:val="single" w:sz="4" w:space="0" w:color="auto"/>
            </w:tcBorders>
            <w:vAlign w:val="center"/>
            <w:hideMark/>
          </w:tcPr>
          <w:p w14:paraId="6F4CD6CE"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r>
      <w:tr w:rsidR="00637669" w:rsidRPr="001E44F2" w14:paraId="4FCB1844" w14:textId="77777777" w:rsidTr="6F00936E">
        <w:trPr>
          <w:trHeight w:val="109"/>
        </w:trPr>
        <w:tc>
          <w:tcPr>
            <w:tcW w:w="2400" w:type="dxa"/>
            <w:gridSpan w:val="3"/>
            <w:vMerge/>
            <w:vAlign w:val="center"/>
            <w:hideMark/>
          </w:tcPr>
          <w:p w14:paraId="3F9931F0" w14:textId="77777777" w:rsidR="002F5CAB" w:rsidRPr="001E44F2" w:rsidRDefault="002F5CAB">
            <w:pPr>
              <w:spacing w:after="0"/>
              <w:rPr>
                <w:rFonts w:ascii="Calibri" w:eastAsia="Times New Roman" w:hAnsi="Calibri" w:cs="Calibri"/>
                <w:noProof/>
                <w:color w:val="000000"/>
                <w:lang w:val="en-IE" w:eastAsia="en-IE"/>
              </w:rPr>
            </w:pPr>
          </w:p>
        </w:tc>
        <w:tc>
          <w:tcPr>
            <w:tcW w:w="272" w:type="dxa"/>
            <w:tcBorders>
              <w:top w:val="nil"/>
              <w:left w:val="nil"/>
              <w:bottom w:val="nil"/>
              <w:right w:val="nil"/>
            </w:tcBorders>
            <w:shd w:val="clear" w:color="auto" w:fill="969696"/>
            <w:vAlign w:val="center"/>
            <w:hideMark/>
          </w:tcPr>
          <w:p w14:paraId="731D8872"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vMerge/>
            <w:vAlign w:val="center"/>
            <w:hideMark/>
          </w:tcPr>
          <w:p w14:paraId="4F086976" w14:textId="77777777" w:rsidR="002F5CAB" w:rsidRPr="001E44F2" w:rsidRDefault="002F5CAB">
            <w:pPr>
              <w:spacing w:after="0"/>
              <w:rPr>
                <w:rFonts w:ascii="Calibri" w:eastAsia="Times New Roman" w:hAnsi="Calibri" w:cs="Calibri"/>
                <w:noProof/>
                <w:color w:val="000000"/>
                <w:lang w:val="en-IE" w:eastAsia="en-IE"/>
              </w:rPr>
            </w:pPr>
          </w:p>
        </w:tc>
        <w:tc>
          <w:tcPr>
            <w:tcW w:w="1161" w:type="dxa"/>
            <w:vMerge/>
            <w:vAlign w:val="center"/>
            <w:hideMark/>
          </w:tcPr>
          <w:p w14:paraId="10C2AB03" w14:textId="77777777" w:rsidR="002F5CAB" w:rsidRPr="001E44F2" w:rsidRDefault="002F5CAB">
            <w:pPr>
              <w:spacing w:after="0"/>
              <w:rPr>
                <w:rFonts w:ascii="Calibri" w:eastAsia="Times New Roman" w:hAnsi="Calibri" w:cs="Calibri"/>
                <w:noProof/>
                <w:color w:val="000000"/>
                <w:lang w:val="en-IE" w:eastAsia="en-IE"/>
              </w:rPr>
            </w:pPr>
          </w:p>
        </w:tc>
        <w:tc>
          <w:tcPr>
            <w:tcW w:w="708" w:type="dxa"/>
            <w:vMerge/>
            <w:vAlign w:val="center"/>
            <w:hideMark/>
          </w:tcPr>
          <w:p w14:paraId="17274F16" w14:textId="77777777" w:rsidR="002F5CAB" w:rsidRPr="001E44F2" w:rsidRDefault="002F5CAB">
            <w:pPr>
              <w:spacing w:after="0"/>
              <w:rPr>
                <w:rFonts w:ascii="Calibri" w:eastAsia="Times New Roman" w:hAnsi="Calibri" w:cs="Calibri"/>
                <w:noProof/>
                <w:lang w:val="en-IE" w:eastAsia="en-IE"/>
              </w:rPr>
            </w:pPr>
          </w:p>
        </w:tc>
        <w:tc>
          <w:tcPr>
            <w:tcW w:w="1262" w:type="dxa"/>
            <w:gridSpan w:val="2"/>
            <w:vMerge/>
            <w:vAlign w:val="center"/>
            <w:hideMark/>
          </w:tcPr>
          <w:p w14:paraId="5A11ACEC" w14:textId="77777777" w:rsidR="002F5CAB" w:rsidRPr="001E44F2" w:rsidRDefault="002F5CAB">
            <w:pPr>
              <w:spacing w:after="0"/>
              <w:rPr>
                <w:rFonts w:ascii="Calibri" w:eastAsia="Times New Roman" w:hAnsi="Calibri" w:cs="Calibri"/>
                <w:noProof/>
                <w:color w:val="000000"/>
                <w:lang w:val="en-IE" w:eastAsia="en-IE"/>
              </w:rPr>
            </w:pPr>
          </w:p>
        </w:tc>
        <w:tc>
          <w:tcPr>
            <w:tcW w:w="402" w:type="dxa"/>
            <w:tcBorders>
              <w:top w:val="nil"/>
              <w:left w:val="nil"/>
              <w:bottom w:val="nil"/>
              <w:right w:val="nil"/>
            </w:tcBorders>
            <w:shd w:val="clear" w:color="auto" w:fill="969696"/>
            <w:noWrap/>
            <w:vAlign w:val="center"/>
            <w:hideMark/>
          </w:tcPr>
          <w:p w14:paraId="7323C0D5"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vMerge/>
            <w:vAlign w:val="center"/>
            <w:hideMark/>
          </w:tcPr>
          <w:p w14:paraId="3DA9A92F" w14:textId="77777777" w:rsidR="002F5CAB" w:rsidRPr="001E44F2" w:rsidRDefault="002F5CAB">
            <w:pPr>
              <w:spacing w:after="0"/>
              <w:rPr>
                <w:rFonts w:ascii="Calibri" w:eastAsia="Times New Roman" w:hAnsi="Calibri" w:cs="Calibri"/>
                <w:noProof/>
                <w:color w:val="000000"/>
                <w:lang w:val="en-IE" w:eastAsia="en-IE"/>
              </w:rPr>
            </w:pPr>
          </w:p>
        </w:tc>
        <w:tc>
          <w:tcPr>
            <w:tcW w:w="850" w:type="dxa"/>
            <w:vMerge/>
            <w:vAlign w:val="center"/>
            <w:hideMark/>
          </w:tcPr>
          <w:p w14:paraId="30CC4904" w14:textId="77777777" w:rsidR="002F5CAB" w:rsidRPr="001E44F2" w:rsidRDefault="002F5CAB">
            <w:pPr>
              <w:spacing w:after="0"/>
              <w:rPr>
                <w:rFonts w:ascii="Calibri" w:eastAsia="Times New Roman" w:hAnsi="Calibri" w:cs="Calibri"/>
                <w:noProof/>
                <w:color w:val="000000"/>
                <w:lang w:val="en-IE" w:eastAsia="en-IE"/>
              </w:rPr>
            </w:pPr>
          </w:p>
        </w:tc>
        <w:tc>
          <w:tcPr>
            <w:tcW w:w="1295" w:type="dxa"/>
            <w:vMerge/>
            <w:vAlign w:val="center"/>
            <w:hideMark/>
          </w:tcPr>
          <w:p w14:paraId="2819E93C" w14:textId="77777777" w:rsidR="002F5CAB" w:rsidRPr="001E44F2" w:rsidRDefault="002F5CAB">
            <w:pPr>
              <w:spacing w:after="0"/>
              <w:rPr>
                <w:rFonts w:ascii="Calibri" w:eastAsia="Times New Roman" w:hAnsi="Calibri" w:cs="Calibri"/>
                <w:noProof/>
                <w:color w:val="000000"/>
                <w:lang w:val="en-IE" w:eastAsia="en-IE"/>
              </w:rPr>
            </w:pPr>
          </w:p>
        </w:tc>
        <w:tc>
          <w:tcPr>
            <w:tcW w:w="1592" w:type="dxa"/>
            <w:vMerge/>
            <w:vAlign w:val="center"/>
            <w:hideMark/>
          </w:tcPr>
          <w:p w14:paraId="051560EB" w14:textId="77777777" w:rsidR="002F5CAB" w:rsidRPr="001E44F2" w:rsidRDefault="002F5CAB">
            <w:pPr>
              <w:spacing w:after="0"/>
              <w:rPr>
                <w:rFonts w:ascii="Calibri" w:eastAsia="Times New Roman" w:hAnsi="Calibri" w:cs="Calibri"/>
                <w:noProof/>
                <w:color w:val="000000"/>
                <w:lang w:val="en-IE" w:eastAsia="en-IE"/>
              </w:rPr>
            </w:pPr>
          </w:p>
        </w:tc>
        <w:tc>
          <w:tcPr>
            <w:tcW w:w="402" w:type="dxa"/>
            <w:tcBorders>
              <w:top w:val="nil"/>
              <w:left w:val="nil"/>
              <w:bottom w:val="nil"/>
              <w:right w:val="nil"/>
            </w:tcBorders>
            <w:shd w:val="clear" w:color="auto" w:fill="969696"/>
            <w:noWrap/>
            <w:vAlign w:val="center"/>
            <w:hideMark/>
          </w:tcPr>
          <w:p w14:paraId="2033BABD"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028" w:type="dxa"/>
            <w:vMerge/>
            <w:vAlign w:val="center"/>
            <w:hideMark/>
          </w:tcPr>
          <w:p w14:paraId="7B8FB44E" w14:textId="77777777" w:rsidR="002F5CAB" w:rsidRPr="001E44F2" w:rsidRDefault="002F5CAB">
            <w:pPr>
              <w:spacing w:after="0"/>
              <w:rPr>
                <w:rFonts w:ascii="Calibri" w:eastAsia="Times New Roman" w:hAnsi="Calibri" w:cs="Calibri"/>
                <w:noProof/>
                <w:color w:val="000000"/>
                <w:lang w:val="en-IE" w:eastAsia="en-IE"/>
              </w:rPr>
            </w:pPr>
          </w:p>
        </w:tc>
        <w:tc>
          <w:tcPr>
            <w:tcW w:w="1184" w:type="dxa"/>
            <w:vMerge/>
            <w:vAlign w:val="center"/>
            <w:hideMark/>
          </w:tcPr>
          <w:p w14:paraId="530517C2" w14:textId="77777777" w:rsidR="002F5CAB" w:rsidRPr="001E44F2" w:rsidRDefault="002F5CAB">
            <w:pPr>
              <w:spacing w:after="0"/>
              <w:rPr>
                <w:rFonts w:ascii="Calibri" w:eastAsia="Times New Roman" w:hAnsi="Calibri" w:cs="Calibri"/>
                <w:noProof/>
                <w:color w:val="000000"/>
                <w:lang w:val="en-IE" w:eastAsia="en-IE"/>
              </w:rPr>
            </w:pPr>
          </w:p>
        </w:tc>
        <w:tc>
          <w:tcPr>
            <w:tcW w:w="1157" w:type="dxa"/>
            <w:vMerge/>
            <w:vAlign w:val="center"/>
            <w:hideMark/>
          </w:tcPr>
          <w:p w14:paraId="056D5E66" w14:textId="77777777" w:rsidR="002F5CAB" w:rsidRPr="001E44F2" w:rsidRDefault="002F5CAB">
            <w:pPr>
              <w:spacing w:after="0"/>
              <w:rPr>
                <w:rFonts w:ascii="Calibri" w:eastAsia="Times New Roman" w:hAnsi="Calibri" w:cs="Calibri"/>
                <w:noProof/>
                <w:color w:val="000000"/>
                <w:lang w:val="en-IE" w:eastAsia="en-IE"/>
              </w:rPr>
            </w:pPr>
          </w:p>
        </w:tc>
      </w:tr>
      <w:tr w:rsidR="00783610" w:rsidRPr="001E44F2" w14:paraId="7CB4F4FD" w14:textId="77777777" w:rsidTr="6F00936E">
        <w:trPr>
          <w:trHeight w:val="300"/>
        </w:trPr>
        <w:tc>
          <w:tcPr>
            <w:tcW w:w="428" w:type="dxa"/>
            <w:tcBorders>
              <w:top w:val="nil"/>
              <w:left w:val="single" w:sz="8" w:space="0" w:color="auto"/>
              <w:bottom w:val="single" w:sz="8" w:space="0" w:color="auto"/>
              <w:right w:val="nil"/>
            </w:tcBorders>
            <w:shd w:val="clear" w:color="auto" w:fill="305496"/>
            <w:noWrap/>
            <w:vAlign w:val="center"/>
            <w:hideMark/>
          </w:tcPr>
          <w:p w14:paraId="3D6EBECC"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413" w:type="dxa"/>
            <w:tcBorders>
              <w:top w:val="nil"/>
              <w:left w:val="nil"/>
              <w:bottom w:val="single" w:sz="8" w:space="0" w:color="auto"/>
              <w:right w:val="nil"/>
            </w:tcBorders>
            <w:shd w:val="clear" w:color="auto" w:fill="305496"/>
            <w:noWrap/>
            <w:vAlign w:val="center"/>
            <w:hideMark/>
          </w:tcPr>
          <w:p w14:paraId="5C9A66A2"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559" w:type="dxa"/>
            <w:tcBorders>
              <w:top w:val="nil"/>
              <w:left w:val="nil"/>
              <w:bottom w:val="single" w:sz="8" w:space="0" w:color="auto"/>
              <w:right w:val="nil"/>
            </w:tcBorders>
            <w:shd w:val="clear" w:color="auto" w:fill="305496"/>
            <w:noWrap/>
            <w:vAlign w:val="center"/>
            <w:hideMark/>
          </w:tcPr>
          <w:p w14:paraId="2A603C7B"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48FCF62D"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auto"/>
              <w:right w:val="nil"/>
            </w:tcBorders>
            <w:shd w:val="clear" w:color="auto" w:fill="8EA9DB"/>
            <w:noWrap/>
            <w:vAlign w:val="center"/>
            <w:hideMark/>
          </w:tcPr>
          <w:p w14:paraId="2B7CFEBB"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7545125D"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708" w:type="dxa"/>
            <w:tcBorders>
              <w:top w:val="nil"/>
              <w:left w:val="single" w:sz="4" w:space="0" w:color="auto"/>
              <w:bottom w:val="single" w:sz="8" w:space="0" w:color="auto"/>
              <w:right w:val="nil"/>
            </w:tcBorders>
            <w:shd w:val="clear" w:color="auto" w:fill="8EA9DB"/>
            <w:noWrap/>
            <w:vAlign w:val="center"/>
            <w:hideMark/>
          </w:tcPr>
          <w:p w14:paraId="75DE7018"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262" w:type="dxa"/>
            <w:gridSpan w:val="2"/>
            <w:tcBorders>
              <w:top w:val="nil"/>
              <w:left w:val="single" w:sz="4" w:space="0" w:color="auto"/>
              <w:bottom w:val="single" w:sz="8" w:space="0" w:color="auto"/>
              <w:right w:val="nil"/>
            </w:tcBorders>
            <w:shd w:val="clear" w:color="auto" w:fill="8EA9DB"/>
            <w:noWrap/>
            <w:vAlign w:val="center"/>
            <w:hideMark/>
          </w:tcPr>
          <w:p w14:paraId="717F41BA"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402" w:type="dxa"/>
            <w:tcBorders>
              <w:top w:val="nil"/>
              <w:left w:val="nil"/>
              <w:bottom w:val="nil"/>
              <w:right w:val="nil"/>
            </w:tcBorders>
            <w:shd w:val="clear" w:color="auto" w:fill="969696"/>
            <w:noWrap/>
            <w:vAlign w:val="center"/>
            <w:hideMark/>
          </w:tcPr>
          <w:p w14:paraId="3A0963E6"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tcBorders>
              <w:top w:val="nil"/>
              <w:left w:val="single" w:sz="4" w:space="0" w:color="auto"/>
              <w:bottom w:val="single" w:sz="8" w:space="0" w:color="auto"/>
              <w:right w:val="nil"/>
            </w:tcBorders>
            <w:shd w:val="clear" w:color="auto" w:fill="C6E0B4"/>
            <w:noWrap/>
            <w:vAlign w:val="center"/>
            <w:hideMark/>
          </w:tcPr>
          <w:p w14:paraId="154A349E"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5AD13E81"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2857C20B"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592" w:type="dxa"/>
            <w:tcBorders>
              <w:top w:val="nil"/>
              <w:left w:val="single" w:sz="4" w:space="0" w:color="auto"/>
              <w:bottom w:val="single" w:sz="8" w:space="0" w:color="auto"/>
              <w:right w:val="nil"/>
            </w:tcBorders>
            <w:shd w:val="clear" w:color="auto" w:fill="C6E0B4"/>
            <w:vAlign w:val="center"/>
            <w:hideMark/>
          </w:tcPr>
          <w:p w14:paraId="49BBD80B"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402" w:type="dxa"/>
            <w:tcBorders>
              <w:top w:val="nil"/>
              <w:left w:val="nil"/>
              <w:bottom w:val="nil"/>
              <w:right w:val="nil"/>
            </w:tcBorders>
            <w:shd w:val="clear" w:color="auto" w:fill="969696"/>
            <w:noWrap/>
            <w:vAlign w:val="center"/>
            <w:hideMark/>
          </w:tcPr>
          <w:p w14:paraId="465BF2BD"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507C2735" w14:textId="77777777" w:rsidR="002F5CAB" w:rsidRPr="001E44F2" w:rsidRDefault="002F5CAB">
            <w:pPr>
              <w:spacing w:after="0"/>
              <w:jc w:val="center"/>
              <w:rPr>
                <w:rFonts w:ascii="Arial" w:eastAsia="Times New Roman" w:hAnsi="Arial" w:cs="Arial"/>
                <w:b/>
                <w:bCs/>
                <w:noProof/>
                <w:szCs w:val="20"/>
                <w:lang w:val="en-IE" w:eastAsia="en-IE"/>
              </w:rPr>
            </w:pPr>
            <w:r w:rsidRPr="001E44F2">
              <w:rPr>
                <w:rFonts w:ascii="Arial" w:eastAsia="Times New Roman" w:hAnsi="Arial" w:cs="Arial"/>
                <w:b/>
                <w:bCs/>
                <w:noProof/>
                <w:szCs w:val="20"/>
                <w:lang w:val="en-IE" w:eastAsia="en-IE"/>
              </w:rPr>
              <w:t>Admin burden reduction PO7a</w:t>
            </w:r>
          </w:p>
        </w:tc>
        <w:tc>
          <w:tcPr>
            <w:tcW w:w="1157" w:type="dxa"/>
            <w:tcBorders>
              <w:top w:val="nil"/>
              <w:left w:val="single" w:sz="8" w:space="0" w:color="auto"/>
              <w:bottom w:val="single" w:sz="8" w:space="0" w:color="auto"/>
              <w:right w:val="single" w:sz="8" w:space="0" w:color="auto"/>
            </w:tcBorders>
            <w:shd w:val="clear" w:color="auto" w:fill="DBDBDB"/>
            <w:noWrap/>
            <w:vAlign w:val="center"/>
            <w:hideMark/>
          </w:tcPr>
          <w:p w14:paraId="45F90155" w14:textId="36C70EF0" w:rsidR="002F5CAB" w:rsidRPr="001E44F2" w:rsidRDefault="10EBA341"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5995AC0C"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   </w:t>
            </w:r>
          </w:p>
        </w:tc>
      </w:tr>
      <w:tr w:rsidR="00401FEA" w:rsidRPr="001E44F2" w14:paraId="16E0BF53" w14:textId="77777777">
        <w:trPr>
          <w:trHeight w:val="300"/>
        </w:trPr>
        <w:tc>
          <w:tcPr>
            <w:tcW w:w="2400" w:type="dxa"/>
            <w:gridSpan w:val="3"/>
            <w:tcBorders>
              <w:top w:val="single" w:sz="8" w:space="0" w:color="auto"/>
              <w:left w:val="single" w:sz="8" w:space="0" w:color="auto"/>
              <w:bottom w:val="single" w:sz="8" w:space="0" w:color="auto"/>
              <w:right w:val="nil"/>
            </w:tcBorders>
            <w:shd w:val="clear" w:color="auto" w:fill="FFFF00"/>
            <w:noWrap/>
            <w:vAlign w:val="center"/>
            <w:hideMark/>
          </w:tcPr>
          <w:p w14:paraId="18CBC890" w14:textId="1883C365" w:rsidR="002F5CAB" w:rsidRPr="001E44F2" w:rsidRDefault="0029386A">
            <w:pPr>
              <w:spacing w:after="0"/>
              <w:rPr>
                <w:rFonts w:ascii="Arial" w:eastAsia="Times New Roman" w:hAnsi="Arial" w:cs="Arial"/>
                <w:noProof/>
                <w:szCs w:val="20"/>
                <w:lang w:val="en-IE" w:eastAsia="en-IE"/>
              </w:rPr>
            </w:pPr>
            <w:r w:rsidRPr="001E44F2">
              <w:rPr>
                <w:rFonts w:ascii="Arial" w:eastAsia="Times New Roman" w:hAnsi="Arial" w:cs="Arial"/>
                <w:b/>
                <w:bCs/>
                <w:noProof/>
                <w:szCs w:val="20"/>
                <w:lang w:val="en-IE" w:eastAsia="en-IE"/>
              </w:rPr>
              <w:t>PO 7b</w:t>
            </w:r>
            <w:r w:rsidRPr="001E44F2">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5CD9F183"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tcBorders>
              <w:top w:val="nil"/>
              <w:left w:val="single" w:sz="4" w:space="0" w:color="auto"/>
              <w:bottom w:val="nil"/>
              <w:right w:val="nil"/>
            </w:tcBorders>
            <w:noWrap/>
            <w:vAlign w:val="center"/>
            <w:hideMark/>
          </w:tcPr>
          <w:p w14:paraId="30130715"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161" w:type="dxa"/>
            <w:tcBorders>
              <w:top w:val="nil"/>
              <w:left w:val="single" w:sz="4" w:space="0" w:color="auto"/>
              <w:bottom w:val="nil"/>
              <w:right w:val="nil"/>
            </w:tcBorders>
            <w:noWrap/>
            <w:vAlign w:val="center"/>
            <w:hideMark/>
          </w:tcPr>
          <w:p w14:paraId="650377F5"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708" w:type="dxa"/>
            <w:tcBorders>
              <w:top w:val="nil"/>
              <w:left w:val="single" w:sz="4" w:space="0" w:color="auto"/>
              <w:bottom w:val="nil"/>
              <w:right w:val="nil"/>
            </w:tcBorders>
            <w:noWrap/>
            <w:vAlign w:val="center"/>
            <w:hideMark/>
          </w:tcPr>
          <w:p w14:paraId="511DEF35"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262" w:type="dxa"/>
            <w:gridSpan w:val="2"/>
            <w:tcBorders>
              <w:top w:val="nil"/>
              <w:left w:val="single" w:sz="4" w:space="0" w:color="auto"/>
              <w:bottom w:val="nil"/>
              <w:right w:val="nil"/>
            </w:tcBorders>
            <w:noWrap/>
            <w:vAlign w:val="center"/>
            <w:hideMark/>
          </w:tcPr>
          <w:p w14:paraId="046EB21A"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402" w:type="dxa"/>
            <w:tcBorders>
              <w:top w:val="nil"/>
              <w:left w:val="nil"/>
              <w:bottom w:val="nil"/>
              <w:right w:val="nil"/>
            </w:tcBorders>
            <w:shd w:val="clear" w:color="auto" w:fill="969696"/>
            <w:noWrap/>
            <w:vAlign w:val="center"/>
            <w:hideMark/>
          </w:tcPr>
          <w:p w14:paraId="25B34DDD"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tcBorders>
              <w:top w:val="nil"/>
              <w:left w:val="single" w:sz="4" w:space="0" w:color="auto"/>
              <w:bottom w:val="nil"/>
              <w:right w:val="nil"/>
            </w:tcBorders>
            <w:noWrap/>
            <w:vAlign w:val="center"/>
            <w:hideMark/>
          </w:tcPr>
          <w:p w14:paraId="6ABED686"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3638B835"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38FFA7D0"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592" w:type="dxa"/>
            <w:tcBorders>
              <w:top w:val="nil"/>
              <w:left w:val="single" w:sz="4" w:space="0" w:color="auto"/>
              <w:bottom w:val="nil"/>
              <w:right w:val="nil"/>
            </w:tcBorders>
            <w:noWrap/>
            <w:vAlign w:val="center"/>
            <w:hideMark/>
          </w:tcPr>
          <w:p w14:paraId="42D5B93E"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402" w:type="dxa"/>
            <w:tcBorders>
              <w:top w:val="nil"/>
              <w:left w:val="nil"/>
              <w:bottom w:val="nil"/>
              <w:right w:val="single" w:sz="8" w:space="0" w:color="auto"/>
            </w:tcBorders>
            <w:shd w:val="clear" w:color="auto" w:fill="969696"/>
            <w:noWrap/>
            <w:vAlign w:val="center"/>
            <w:hideMark/>
          </w:tcPr>
          <w:p w14:paraId="1C3061D5"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028" w:type="dxa"/>
            <w:tcBorders>
              <w:top w:val="nil"/>
              <w:left w:val="nil"/>
              <w:bottom w:val="nil"/>
              <w:right w:val="nil"/>
            </w:tcBorders>
            <w:noWrap/>
            <w:vAlign w:val="center"/>
            <w:hideMark/>
          </w:tcPr>
          <w:p w14:paraId="0725E7D9"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543C1D8A"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157" w:type="dxa"/>
            <w:tcBorders>
              <w:top w:val="nil"/>
              <w:left w:val="nil"/>
              <w:bottom w:val="nil"/>
              <w:right w:val="single" w:sz="8" w:space="0" w:color="auto"/>
            </w:tcBorders>
            <w:noWrap/>
            <w:vAlign w:val="center"/>
            <w:hideMark/>
          </w:tcPr>
          <w:p w14:paraId="21460955" w14:textId="77777777" w:rsidR="002F5CAB" w:rsidRPr="001E44F2" w:rsidRDefault="002F5CAB">
            <w:pPr>
              <w:spacing w:after="0"/>
              <w:jc w:val="center"/>
              <w:rPr>
                <w:rFonts w:ascii="Arial" w:eastAsia="Times New Roman" w:hAnsi="Arial" w:cs="Arial"/>
                <w:b/>
                <w:bCs/>
                <w:noProof/>
                <w:szCs w:val="20"/>
                <w:lang w:val="en-IE" w:eastAsia="en-IE"/>
              </w:rPr>
            </w:pPr>
            <w:r w:rsidRPr="001E44F2">
              <w:rPr>
                <w:rFonts w:ascii="Arial" w:eastAsia="Times New Roman" w:hAnsi="Arial" w:cs="Arial"/>
                <w:b/>
                <w:bCs/>
                <w:noProof/>
                <w:szCs w:val="20"/>
                <w:lang w:val="en-IE" w:eastAsia="en-IE"/>
              </w:rPr>
              <w:t> </w:t>
            </w:r>
          </w:p>
        </w:tc>
      </w:tr>
      <w:tr w:rsidR="00783610" w:rsidRPr="001E44F2" w14:paraId="06CDCA01" w14:textId="77777777" w:rsidTr="6F00936E">
        <w:trPr>
          <w:trHeight w:val="1620"/>
        </w:trPr>
        <w:tc>
          <w:tcPr>
            <w:tcW w:w="2400" w:type="dxa"/>
            <w:gridSpan w:val="3"/>
            <w:vMerge w:val="restart"/>
            <w:tcBorders>
              <w:top w:val="single" w:sz="8" w:space="0" w:color="auto"/>
              <w:left w:val="single" w:sz="8" w:space="0" w:color="auto"/>
              <w:right w:val="nil"/>
            </w:tcBorders>
            <w:vAlign w:val="center"/>
            <w:hideMark/>
          </w:tcPr>
          <w:p w14:paraId="47188488" w14:textId="26C6FE9C" w:rsidR="002F5CAB" w:rsidRPr="001E44F2" w:rsidRDefault="0029386A">
            <w:pPr>
              <w:spacing w:after="0"/>
              <w:rPr>
                <w:rFonts w:ascii="Calibri" w:eastAsia="Times New Roman" w:hAnsi="Calibri" w:cs="Calibri"/>
                <w:noProof/>
                <w:color w:val="000000"/>
                <w:lang w:val="en-IE" w:eastAsia="en-IE"/>
              </w:rPr>
            </w:pPr>
            <w:r w:rsidRPr="0029386A">
              <w:rPr>
                <w:rFonts w:ascii="Calibri" w:hAnsi="Calibri" w:cs="Calibri"/>
                <w:noProof/>
                <w:color w:val="000000"/>
                <w:szCs w:val="20"/>
              </w:rPr>
              <w:t>Option</w:t>
            </w:r>
            <w:r w:rsidR="002F5CAB" w:rsidRPr="00015FC1">
              <w:rPr>
                <w:rFonts w:ascii="Calibri" w:hAnsi="Calibri" w:cs="Calibri"/>
                <w:noProof/>
                <w:color w:val="000000"/>
                <w:szCs w:val="20"/>
              </w:rPr>
              <w:t xml:space="preserve"> 7a</w:t>
            </w:r>
            <w:r w:rsidRPr="0029386A">
              <w:rPr>
                <w:rFonts w:ascii="Calibri" w:hAnsi="Calibri" w:cs="Calibri"/>
                <w:noProof/>
                <w:color w:val="000000"/>
                <w:szCs w:val="20"/>
              </w:rPr>
              <w:t xml:space="preserve"> +</w:t>
            </w:r>
            <w:r w:rsidR="002F5CAB" w:rsidRPr="00015FC1">
              <w:rPr>
                <w:rFonts w:ascii="Calibri" w:hAnsi="Calibri" w:cs="Calibri"/>
                <w:noProof/>
                <w:color w:val="000000"/>
                <w:szCs w:val="20"/>
              </w:rPr>
              <w:t xml:space="preserve"> no requirement to involve intermediaries in share transfers of 28th regime companies.</w:t>
            </w:r>
          </w:p>
        </w:tc>
        <w:tc>
          <w:tcPr>
            <w:tcW w:w="272" w:type="dxa"/>
            <w:tcBorders>
              <w:top w:val="nil"/>
              <w:left w:val="nil"/>
              <w:bottom w:val="nil"/>
              <w:right w:val="single" w:sz="4" w:space="0" w:color="auto"/>
            </w:tcBorders>
            <w:shd w:val="clear" w:color="auto" w:fill="969696"/>
            <w:vAlign w:val="center"/>
            <w:hideMark/>
          </w:tcPr>
          <w:p w14:paraId="12A123C9" w14:textId="1734F7A2" w:rsidR="002F5CAB" w:rsidRPr="001E44F2" w:rsidRDefault="002F5CAB">
            <w:pPr>
              <w:spacing w:after="0"/>
              <w:rPr>
                <w:rFonts w:ascii="Arial" w:eastAsia="Times New Roman" w:hAnsi="Arial" w:cs="Arial"/>
                <w:noProof/>
                <w:color w:val="808080"/>
                <w:szCs w:val="20"/>
                <w:lang w:val="en-IE" w:eastAsia="en-IE"/>
              </w:rPr>
            </w:pPr>
            <w:r>
              <w:rPr>
                <w:rFonts w:ascii="Arial" w:hAnsi="Arial" w:cs="Arial"/>
                <w:noProof/>
                <w:color w:val="808080"/>
                <w:szCs w:val="20"/>
              </w:rPr>
              <w:t> </w:t>
            </w:r>
          </w:p>
        </w:tc>
        <w:tc>
          <w:tcPr>
            <w:tcW w:w="928" w:type="dxa"/>
            <w:tcBorders>
              <w:top w:val="single" w:sz="4" w:space="0" w:color="auto"/>
              <w:left w:val="single" w:sz="4" w:space="0" w:color="auto"/>
              <w:bottom w:val="single" w:sz="4" w:space="0" w:color="auto"/>
              <w:right w:val="single" w:sz="4" w:space="0" w:color="auto"/>
            </w:tcBorders>
            <w:vAlign w:val="center"/>
            <w:hideMark/>
          </w:tcPr>
          <w:p w14:paraId="4AE68958" w14:textId="107B4A5B" w:rsidR="002F5CAB" w:rsidRPr="001E44F2" w:rsidRDefault="002F5CAB">
            <w:pPr>
              <w:spacing w:after="0"/>
              <w:jc w:val="center"/>
              <w:rPr>
                <w:rFonts w:ascii="Calibri" w:eastAsia="Times New Roman" w:hAnsi="Calibri" w:cs="Calibri"/>
                <w:noProof/>
                <w:color w:val="000000"/>
                <w:lang w:val="en-IE" w:eastAsia="en-IE"/>
              </w:rPr>
            </w:pPr>
            <w:r w:rsidRPr="00015FC1">
              <w:rPr>
                <w:rFonts w:ascii="Calibri" w:hAnsi="Calibri" w:cs="Calibri"/>
                <w:noProof/>
                <w:color w:val="000000"/>
                <w:szCs w:val="20"/>
              </w:rPr>
              <w:t> </w:t>
            </w:r>
          </w:p>
        </w:tc>
        <w:tc>
          <w:tcPr>
            <w:tcW w:w="1161" w:type="dxa"/>
            <w:tcBorders>
              <w:top w:val="single" w:sz="4" w:space="0" w:color="auto"/>
              <w:left w:val="nil"/>
              <w:bottom w:val="single" w:sz="4" w:space="0" w:color="auto"/>
              <w:right w:val="single" w:sz="4" w:space="0" w:color="auto"/>
            </w:tcBorders>
            <w:vAlign w:val="center"/>
            <w:hideMark/>
          </w:tcPr>
          <w:p w14:paraId="092FDF12" w14:textId="08A3946B" w:rsidR="002F5CAB" w:rsidRPr="001E44F2" w:rsidRDefault="002F5CAB">
            <w:pPr>
              <w:spacing w:after="0"/>
              <w:jc w:val="center"/>
              <w:rPr>
                <w:rFonts w:ascii="Calibri" w:eastAsia="Times New Roman" w:hAnsi="Calibri" w:cs="Calibri"/>
                <w:noProof/>
                <w:color w:val="000000"/>
                <w:lang w:val="en-IE" w:eastAsia="en-IE"/>
              </w:rPr>
            </w:pPr>
            <w:r w:rsidRPr="00015FC1">
              <w:rPr>
                <w:rFonts w:ascii="Calibri" w:hAnsi="Calibri" w:cs="Calibri"/>
                <w:noProof/>
                <w:color w:val="000000"/>
                <w:szCs w:val="20"/>
              </w:rPr>
              <w:t>1</w:t>
            </w:r>
          </w:p>
        </w:tc>
        <w:tc>
          <w:tcPr>
            <w:tcW w:w="708" w:type="dxa"/>
            <w:tcBorders>
              <w:top w:val="single" w:sz="4" w:space="0" w:color="auto"/>
              <w:left w:val="nil"/>
              <w:bottom w:val="single" w:sz="4" w:space="0" w:color="auto"/>
              <w:right w:val="single" w:sz="4" w:space="0" w:color="auto"/>
            </w:tcBorders>
            <w:vAlign w:val="center"/>
            <w:hideMark/>
          </w:tcPr>
          <w:p w14:paraId="0C8D70D0" w14:textId="33C9299D" w:rsidR="002F5CAB" w:rsidRPr="001E44F2" w:rsidRDefault="002F5CAB">
            <w:pPr>
              <w:spacing w:after="0"/>
              <w:jc w:val="right"/>
              <w:rPr>
                <w:rFonts w:ascii="Calibri" w:eastAsia="Times New Roman" w:hAnsi="Calibri" w:cs="Calibri"/>
                <w:noProof/>
                <w:lang w:val="en-IE" w:eastAsia="en-IE"/>
              </w:rPr>
            </w:pPr>
            <w:r w:rsidRPr="00015FC1">
              <w:rPr>
                <w:rFonts w:ascii="Calibri" w:hAnsi="Calibri" w:cs="Calibri"/>
                <w:noProof/>
                <w:szCs w:val="20"/>
              </w:rPr>
              <w:t>100%</w:t>
            </w:r>
          </w:p>
        </w:tc>
        <w:tc>
          <w:tcPr>
            <w:tcW w:w="1262"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292D82AD" w14:textId="1F62E4FE" w:rsidR="002F5CAB" w:rsidRPr="001E44F2" w:rsidRDefault="002F5CAB">
            <w:pPr>
              <w:spacing w:after="0"/>
              <w:rPr>
                <w:rFonts w:ascii="Calibri" w:eastAsia="Times New Roman" w:hAnsi="Calibri" w:cs="Calibri"/>
                <w:noProof/>
                <w:color w:val="000000"/>
                <w:lang w:val="en-IE" w:eastAsia="en-IE"/>
              </w:rPr>
            </w:pPr>
            <w:r w:rsidRPr="00015FC1">
              <w:rPr>
                <w:rFonts w:ascii="Calibri" w:hAnsi="Calibri" w:cs="Calibri"/>
                <w:noProof/>
                <w:color w:val="000000"/>
                <w:szCs w:val="20"/>
              </w:rPr>
              <w:t> </w:t>
            </w:r>
          </w:p>
        </w:tc>
        <w:tc>
          <w:tcPr>
            <w:tcW w:w="402" w:type="dxa"/>
            <w:tcBorders>
              <w:top w:val="nil"/>
              <w:left w:val="nil"/>
              <w:bottom w:val="nil"/>
              <w:right w:val="nil"/>
            </w:tcBorders>
            <w:shd w:val="clear" w:color="auto" w:fill="969696"/>
            <w:noWrap/>
            <w:vAlign w:val="center"/>
            <w:hideMark/>
          </w:tcPr>
          <w:p w14:paraId="51FAF9A5" w14:textId="48DE8E6A" w:rsidR="002F5CAB" w:rsidRPr="001E44F2" w:rsidRDefault="002F5CAB">
            <w:pPr>
              <w:spacing w:after="0"/>
              <w:rPr>
                <w:rFonts w:ascii="Calibri" w:eastAsia="Times New Roman" w:hAnsi="Calibri" w:cs="Calibri"/>
                <w:noProof/>
                <w:color w:val="000000"/>
                <w:lang w:val="en-IE" w:eastAsia="en-IE"/>
              </w:rPr>
            </w:pPr>
            <w:r w:rsidRPr="00015FC1">
              <w:rPr>
                <w:rFonts w:ascii="Calibri" w:hAnsi="Calibri" w:cs="Calibri"/>
                <w:noProof/>
                <w:color w:val="000000"/>
                <w:szCs w:val="20"/>
              </w:rPr>
              <w:t> </w:t>
            </w:r>
          </w:p>
        </w:tc>
        <w:tc>
          <w:tcPr>
            <w:tcW w:w="7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47FDC5" w14:textId="2E0EE8A3" w:rsidR="002F5CAB" w:rsidRPr="001E44F2" w:rsidRDefault="002F5CAB">
            <w:pPr>
              <w:spacing w:after="0"/>
              <w:jc w:val="center"/>
              <w:rPr>
                <w:rFonts w:ascii="Calibri" w:eastAsia="Times New Roman" w:hAnsi="Calibri" w:cs="Calibri"/>
                <w:noProof/>
                <w:color w:val="000000"/>
                <w:lang w:val="en-IE" w:eastAsia="en-IE"/>
              </w:rPr>
            </w:pPr>
            <w:r w:rsidRPr="00015FC1">
              <w:rPr>
                <w:rFonts w:ascii="Calibri" w:hAnsi="Calibri" w:cs="Calibri"/>
                <w:noProof/>
                <w:color w:val="000000"/>
                <w:szCs w:val="20"/>
              </w:rPr>
              <w:t>40.00</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8DF2556" w14:textId="41E68BDB" w:rsidR="002F5CAB" w:rsidRPr="001E44F2" w:rsidRDefault="002C66B5">
            <w:pPr>
              <w:spacing w:after="0"/>
              <w:jc w:val="center"/>
              <w:rPr>
                <w:rFonts w:ascii="Calibri" w:eastAsia="Times New Roman" w:hAnsi="Calibri" w:cs="Calibri"/>
                <w:noProof/>
                <w:color w:val="000000"/>
                <w:lang w:val="en-IE" w:eastAsia="en-IE"/>
              </w:rPr>
            </w:pPr>
            <w:r w:rsidRPr="00015FC1">
              <w:rPr>
                <w:rFonts w:ascii="Calibri" w:hAnsi="Calibri" w:cs="Calibri"/>
                <w:noProof/>
                <w:color w:val="000000"/>
                <w:szCs w:val="20"/>
              </w:rPr>
              <w:t>10</w:t>
            </w:r>
            <w:r w:rsidR="002F5CAB" w:rsidRPr="00015FC1">
              <w:rPr>
                <w:rFonts w:ascii="Calibri" w:hAnsi="Calibri" w:cs="Calibri"/>
                <w:noProof/>
                <w:color w:val="000000"/>
                <w:szCs w:val="20"/>
              </w:rPr>
              <w:t>.00</w:t>
            </w:r>
          </w:p>
        </w:tc>
        <w:tc>
          <w:tcPr>
            <w:tcW w:w="1295" w:type="dxa"/>
            <w:tcBorders>
              <w:top w:val="single" w:sz="4" w:space="0" w:color="auto"/>
              <w:left w:val="nil"/>
              <w:bottom w:val="single" w:sz="4" w:space="0" w:color="auto"/>
              <w:right w:val="single" w:sz="4" w:space="0" w:color="auto"/>
            </w:tcBorders>
            <w:shd w:val="clear" w:color="auto" w:fill="FFFFFF" w:themeFill="background1"/>
            <w:vAlign w:val="center"/>
            <w:hideMark/>
          </w:tcPr>
          <w:p w14:paraId="23A84BFB" w14:textId="67F9D0C5" w:rsidR="002F5CAB" w:rsidRPr="001E44F2" w:rsidRDefault="00431A67">
            <w:pPr>
              <w:spacing w:after="0"/>
              <w:jc w:val="center"/>
              <w:rPr>
                <w:rFonts w:ascii="Calibri" w:eastAsia="Times New Roman" w:hAnsi="Calibri" w:cs="Calibri"/>
                <w:noProof/>
                <w:color w:val="000000"/>
                <w:lang w:val="en-IE" w:eastAsia="en-IE"/>
              </w:rPr>
            </w:pPr>
            <w:r w:rsidRPr="00015FC1">
              <w:rPr>
                <w:rFonts w:ascii="Calibri" w:hAnsi="Calibri" w:cs="Calibri"/>
                <w:noProof/>
                <w:color w:val="000000"/>
                <w:szCs w:val="20"/>
              </w:rPr>
              <w:t>5</w:t>
            </w:r>
            <w:r w:rsidR="002F5CAB" w:rsidRPr="00015FC1">
              <w:rPr>
                <w:rFonts w:ascii="Calibri" w:hAnsi="Calibri" w:cs="Calibri"/>
                <w:noProof/>
                <w:color w:val="000000"/>
                <w:szCs w:val="20"/>
              </w:rPr>
              <w:t>00.00</w:t>
            </w:r>
          </w:p>
        </w:tc>
        <w:tc>
          <w:tcPr>
            <w:tcW w:w="1592" w:type="dxa"/>
            <w:tcBorders>
              <w:top w:val="single" w:sz="4" w:space="0" w:color="auto"/>
              <w:left w:val="nil"/>
              <w:bottom w:val="single" w:sz="4" w:space="0" w:color="auto"/>
              <w:right w:val="single" w:sz="4" w:space="0" w:color="auto"/>
            </w:tcBorders>
            <w:vAlign w:val="center"/>
            <w:hideMark/>
          </w:tcPr>
          <w:p w14:paraId="0A7799DA" w14:textId="08FB302B" w:rsidR="002F5CAB" w:rsidRPr="001E44F2" w:rsidRDefault="00611809">
            <w:pPr>
              <w:spacing w:after="0"/>
              <w:rPr>
                <w:rFonts w:ascii="Calibri" w:eastAsia="Times New Roman" w:hAnsi="Calibri" w:cs="Calibri"/>
                <w:noProof/>
                <w:color w:val="000000"/>
                <w:lang w:val="en-IE" w:eastAsia="en-IE"/>
              </w:rPr>
            </w:pPr>
            <w:r w:rsidRPr="00015FC1">
              <w:rPr>
                <w:rFonts w:ascii="Calibri" w:hAnsi="Calibri" w:cs="Calibri"/>
                <w:noProof/>
                <w:color w:val="000000"/>
                <w:szCs w:val="20"/>
              </w:rPr>
              <w:t xml:space="preserve">Same as </w:t>
            </w:r>
            <w:r w:rsidR="004071E1" w:rsidRPr="00015FC1">
              <w:rPr>
                <w:rFonts w:ascii="Calibri" w:hAnsi="Calibri" w:cs="Calibri"/>
                <w:noProof/>
                <w:color w:val="000000"/>
                <w:szCs w:val="20"/>
              </w:rPr>
              <w:t xml:space="preserve">7a + </w:t>
            </w:r>
            <w:r w:rsidR="00C24120" w:rsidRPr="00015FC1">
              <w:rPr>
                <w:rFonts w:ascii="Calibri" w:hAnsi="Calibri" w:cs="Calibri"/>
                <w:noProof/>
                <w:color w:val="000000"/>
                <w:szCs w:val="20"/>
              </w:rPr>
              <w:t xml:space="preserve">additional </w:t>
            </w:r>
            <w:r w:rsidRPr="00015FC1">
              <w:rPr>
                <w:rFonts w:ascii="Calibri" w:hAnsi="Calibri" w:cs="Calibri"/>
                <w:noProof/>
                <w:color w:val="000000"/>
                <w:szCs w:val="20"/>
              </w:rPr>
              <w:t xml:space="preserve">5 </w:t>
            </w:r>
            <w:r w:rsidR="007D1E1B" w:rsidRPr="00015FC1">
              <w:rPr>
                <w:rFonts w:ascii="Calibri" w:hAnsi="Calibri" w:cs="Calibri"/>
                <w:noProof/>
                <w:color w:val="000000"/>
                <w:szCs w:val="20"/>
              </w:rPr>
              <w:t xml:space="preserve">hours time </w:t>
            </w:r>
            <w:r w:rsidR="00DF6CFA" w:rsidRPr="00015FC1">
              <w:rPr>
                <w:rFonts w:ascii="Calibri" w:hAnsi="Calibri" w:cs="Calibri"/>
                <w:noProof/>
                <w:color w:val="000000"/>
                <w:szCs w:val="20"/>
              </w:rPr>
              <w:t>saving</w:t>
            </w:r>
            <w:r w:rsidR="002C7CAA" w:rsidRPr="00015FC1">
              <w:rPr>
                <w:rFonts w:ascii="Calibri" w:hAnsi="Calibri" w:cs="Calibri"/>
                <w:noProof/>
                <w:color w:val="000000"/>
                <w:szCs w:val="20"/>
              </w:rPr>
              <w:t xml:space="preserve"> </w:t>
            </w:r>
            <w:r w:rsidRPr="00015FC1">
              <w:rPr>
                <w:rFonts w:ascii="Calibri" w:hAnsi="Calibri" w:cs="Calibri"/>
                <w:noProof/>
                <w:color w:val="000000"/>
                <w:szCs w:val="20"/>
              </w:rPr>
              <w:t>per transaction on coordination, documentation and follow-up filings due to notarial requirements.</w:t>
            </w:r>
          </w:p>
        </w:tc>
        <w:tc>
          <w:tcPr>
            <w:tcW w:w="402" w:type="dxa"/>
            <w:tcBorders>
              <w:top w:val="nil"/>
              <w:left w:val="nil"/>
              <w:bottom w:val="nil"/>
              <w:right w:val="nil"/>
            </w:tcBorders>
            <w:shd w:val="clear" w:color="auto" w:fill="969696"/>
            <w:noWrap/>
            <w:vAlign w:val="center"/>
            <w:hideMark/>
          </w:tcPr>
          <w:p w14:paraId="2956067B" w14:textId="17627ACF" w:rsidR="002F5CAB" w:rsidRPr="001E44F2" w:rsidRDefault="002F5CAB">
            <w:pPr>
              <w:spacing w:after="0"/>
              <w:rPr>
                <w:rFonts w:ascii="Arial" w:eastAsia="Times New Roman" w:hAnsi="Arial" w:cs="Arial"/>
                <w:noProof/>
                <w:szCs w:val="20"/>
                <w:lang w:val="en-IE" w:eastAsia="en-IE"/>
              </w:rPr>
            </w:pPr>
            <w:r>
              <w:rPr>
                <w:rFonts w:ascii="Arial" w:hAnsi="Arial" w:cs="Arial"/>
                <w:noProof/>
                <w:szCs w:val="20"/>
              </w:rPr>
              <w:t> </w:t>
            </w:r>
          </w:p>
        </w:tc>
        <w:tc>
          <w:tcPr>
            <w:tcW w:w="1028" w:type="dxa"/>
            <w:tcBorders>
              <w:top w:val="single" w:sz="4" w:space="0" w:color="auto"/>
              <w:left w:val="single" w:sz="4" w:space="0" w:color="auto"/>
              <w:bottom w:val="single" w:sz="4" w:space="0" w:color="auto"/>
              <w:right w:val="single" w:sz="4" w:space="0" w:color="auto"/>
            </w:tcBorders>
            <w:vAlign w:val="center"/>
            <w:hideMark/>
          </w:tcPr>
          <w:p w14:paraId="64435EB2" w14:textId="0D94CA2D" w:rsidR="002F5CAB" w:rsidRPr="001E44F2" w:rsidRDefault="00BA26E7">
            <w:pPr>
              <w:spacing w:after="0"/>
              <w:jc w:val="center"/>
              <w:rPr>
                <w:rFonts w:ascii="Calibri" w:eastAsia="Times New Roman" w:hAnsi="Calibri" w:cs="Calibri"/>
                <w:noProof/>
                <w:color w:val="000000"/>
                <w:lang w:val="en-IE" w:eastAsia="en-IE"/>
              </w:rPr>
            </w:pPr>
            <w:r>
              <w:rPr>
                <w:rFonts w:ascii="Calibri" w:hAnsi="Calibri" w:cs="Calibri"/>
                <w:noProof/>
                <w:color w:val="000000"/>
                <w:szCs w:val="20"/>
              </w:rPr>
              <w:t xml:space="preserve">EUR </w:t>
            </w:r>
            <w:r w:rsidR="002C66B5" w:rsidRPr="00015FC1">
              <w:rPr>
                <w:rFonts w:ascii="Calibri" w:hAnsi="Calibri" w:cs="Calibri"/>
                <w:noProof/>
                <w:color w:val="000000"/>
                <w:szCs w:val="20"/>
              </w:rPr>
              <w:t>9</w:t>
            </w:r>
            <w:r w:rsidR="00431A67" w:rsidRPr="00015FC1">
              <w:rPr>
                <w:rFonts w:ascii="Calibri" w:hAnsi="Calibri" w:cs="Calibri"/>
                <w:noProof/>
                <w:color w:val="000000"/>
                <w:szCs w:val="20"/>
              </w:rPr>
              <w:t>0</w:t>
            </w:r>
            <w:r w:rsidR="002F5CAB" w:rsidRPr="00015FC1">
              <w:rPr>
                <w:rFonts w:ascii="Calibri" w:hAnsi="Calibri" w:cs="Calibri"/>
                <w:noProof/>
                <w:color w:val="000000"/>
                <w:szCs w:val="20"/>
              </w:rPr>
              <w:t>0.00</w:t>
            </w:r>
          </w:p>
        </w:tc>
        <w:tc>
          <w:tcPr>
            <w:tcW w:w="1184" w:type="dxa"/>
            <w:tcBorders>
              <w:top w:val="single" w:sz="4" w:space="0" w:color="auto"/>
              <w:left w:val="nil"/>
              <w:bottom w:val="single" w:sz="4" w:space="0" w:color="auto"/>
              <w:right w:val="single" w:sz="4" w:space="0" w:color="auto"/>
            </w:tcBorders>
            <w:vAlign w:val="center"/>
            <w:hideMark/>
          </w:tcPr>
          <w:p w14:paraId="0794AD7B" w14:textId="28E30DB3" w:rsidR="002F5CAB" w:rsidRPr="001E44F2" w:rsidRDefault="002F5CAB">
            <w:pPr>
              <w:spacing w:after="0"/>
              <w:jc w:val="center"/>
              <w:rPr>
                <w:rFonts w:ascii="Calibri" w:eastAsia="Times New Roman" w:hAnsi="Calibri" w:cs="Calibri"/>
                <w:noProof/>
                <w:color w:val="000000"/>
                <w:lang w:val="en-IE" w:eastAsia="en-IE"/>
              </w:rPr>
            </w:pPr>
            <w:r w:rsidRPr="00015FC1">
              <w:rPr>
                <w:rFonts w:ascii="Calibri" w:hAnsi="Calibri" w:cs="Calibri"/>
                <w:noProof/>
                <w:color w:val="000000"/>
                <w:szCs w:val="20"/>
              </w:rPr>
              <w:t> </w:t>
            </w:r>
          </w:p>
        </w:tc>
        <w:tc>
          <w:tcPr>
            <w:tcW w:w="1157" w:type="dxa"/>
            <w:tcBorders>
              <w:top w:val="single" w:sz="4" w:space="0" w:color="auto"/>
              <w:left w:val="nil"/>
              <w:bottom w:val="single" w:sz="4" w:space="0" w:color="auto"/>
              <w:right w:val="single" w:sz="4" w:space="0" w:color="auto"/>
            </w:tcBorders>
            <w:vAlign w:val="center"/>
            <w:hideMark/>
          </w:tcPr>
          <w:p w14:paraId="6DD000DA" w14:textId="48A4D6D7" w:rsidR="002F5CAB" w:rsidRPr="001E44F2" w:rsidRDefault="002F5CAB">
            <w:pPr>
              <w:spacing w:after="0"/>
              <w:jc w:val="center"/>
              <w:rPr>
                <w:rFonts w:ascii="Calibri" w:eastAsia="Times New Roman" w:hAnsi="Calibri" w:cs="Calibri"/>
                <w:noProof/>
                <w:color w:val="000000"/>
                <w:lang w:val="en-IE" w:eastAsia="en-IE"/>
              </w:rPr>
            </w:pPr>
            <w:r w:rsidRPr="00015FC1">
              <w:rPr>
                <w:rFonts w:ascii="Calibri" w:hAnsi="Calibri" w:cs="Calibri"/>
                <w:noProof/>
                <w:color w:val="000000"/>
                <w:szCs w:val="20"/>
              </w:rPr>
              <w:t> </w:t>
            </w:r>
          </w:p>
        </w:tc>
      </w:tr>
      <w:tr w:rsidR="00783610" w:rsidRPr="001E44F2" w14:paraId="322CBC68" w14:textId="77777777" w:rsidTr="6F00936E">
        <w:trPr>
          <w:trHeight w:val="1620"/>
        </w:trPr>
        <w:tc>
          <w:tcPr>
            <w:tcW w:w="2400" w:type="dxa"/>
            <w:gridSpan w:val="3"/>
            <w:vMerge/>
            <w:vAlign w:val="center"/>
          </w:tcPr>
          <w:p w14:paraId="0C9F5742" w14:textId="77777777" w:rsidR="00C24120" w:rsidRPr="00015FC1" w:rsidRDefault="00C24120" w:rsidP="00C24120">
            <w:pPr>
              <w:spacing w:after="0"/>
              <w:rPr>
                <w:rFonts w:ascii="Calibri" w:hAnsi="Calibri" w:cs="Calibri"/>
                <w:noProof/>
                <w:color w:val="000000"/>
                <w:szCs w:val="20"/>
              </w:rPr>
            </w:pPr>
          </w:p>
        </w:tc>
        <w:tc>
          <w:tcPr>
            <w:tcW w:w="272" w:type="dxa"/>
            <w:tcBorders>
              <w:top w:val="nil"/>
              <w:left w:val="nil"/>
              <w:bottom w:val="nil"/>
              <w:right w:val="single" w:sz="4" w:space="0" w:color="auto"/>
            </w:tcBorders>
            <w:shd w:val="clear" w:color="auto" w:fill="969696"/>
            <w:vAlign w:val="center"/>
          </w:tcPr>
          <w:p w14:paraId="57E33765" w14:textId="76D2CB4C" w:rsidR="00C24120" w:rsidRDefault="00C24120" w:rsidP="00C24120">
            <w:pPr>
              <w:spacing w:after="0"/>
              <w:rPr>
                <w:rFonts w:ascii="Arial" w:hAnsi="Arial" w:cs="Arial"/>
                <w:noProof/>
                <w:color w:val="808080"/>
                <w:szCs w:val="20"/>
              </w:rPr>
            </w:pPr>
            <w:r>
              <w:rPr>
                <w:rFonts w:ascii="Arial" w:hAnsi="Arial" w:cs="Arial"/>
                <w:noProof/>
                <w:color w:val="808080"/>
                <w:szCs w:val="20"/>
              </w:rPr>
              <w:t> </w:t>
            </w:r>
          </w:p>
        </w:tc>
        <w:tc>
          <w:tcPr>
            <w:tcW w:w="928" w:type="dxa"/>
            <w:tcBorders>
              <w:top w:val="single" w:sz="4" w:space="0" w:color="auto"/>
              <w:left w:val="single" w:sz="4" w:space="0" w:color="auto"/>
              <w:bottom w:val="single" w:sz="4" w:space="0" w:color="auto"/>
              <w:right w:val="single" w:sz="4" w:space="0" w:color="auto"/>
            </w:tcBorders>
            <w:vAlign w:val="center"/>
          </w:tcPr>
          <w:p w14:paraId="42D11547" w14:textId="0FCE109B" w:rsidR="00C24120" w:rsidRPr="00015FC1" w:rsidRDefault="00C24120" w:rsidP="00C24120">
            <w:pPr>
              <w:spacing w:after="0"/>
              <w:jc w:val="center"/>
              <w:rPr>
                <w:rFonts w:ascii="Calibri" w:hAnsi="Calibri" w:cs="Calibri"/>
                <w:noProof/>
                <w:color w:val="000000"/>
                <w:szCs w:val="20"/>
              </w:rPr>
            </w:pPr>
            <w:r w:rsidRPr="00015FC1">
              <w:rPr>
                <w:rFonts w:ascii="Calibri" w:hAnsi="Calibri" w:cs="Calibri"/>
                <w:noProof/>
                <w:color w:val="000000"/>
                <w:szCs w:val="20"/>
              </w:rPr>
              <w:t> </w:t>
            </w:r>
          </w:p>
        </w:tc>
        <w:tc>
          <w:tcPr>
            <w:tcW w:w="1161" w:type="dxa"/>
            <w:tcBorders>
              <w:top w:val="single" w:sz="4" w:space="0" w:color="auto"/>
              <w:left w:val="nil"/>
              <w:bottom w:val="single" w:sz="4" w:space="0" w:color="auto"/>
              <w:right w:val="single" w:sz="4" w:space="0" w:color="auto"/>
            </w:tcBorders>
            <w:vAlign w:val="center"/>
          </w:tcPr>
          <w:p w14:paraId="6A2A1ABC" w14:textId="6F5FD6A8" w:rsidR="00C24120" w:rsidRPr="00015FC1" w:rsidRDefault="00C24120" w:rsidP="00C24120">
            <w:pPr>
              <w:spacing w:after="0"/>
              <w:jc w:val="center"/>
              <w:rPr>
                <w:rFonts w:ascii="Calibri" w:hAnsi="Calibri" w:cs="Calibri"/>
                <w:noProof/>
                <w:color w:val="000000"/>
                <w:szCs w:val="20"/>
              </w:rPr>
            </w:pPr>
            <w:r w:rsidRPr="00015FC1">
              <w:rPr>
                <w:rFonts w:ascii="Calibri" w:hAnsi="Calibri" w:cs="Calibri"/>
                <w:noProof/>
                <w:color w:val="000000"/>
                <w:szCs w:val="20"/>
              </w:rPr>
              <w:t>1</w:t>
            </w:r>
          </w:p>
        </w:tc>
        <w:tc>
          <w:tcPr>
            <w:tcW w:w="708" w:type="dxa"/>
            <w:tcBorders>
              <w:top w:val="single" w:sz="4" w:space="0" w:color="auto"/>
              <w:left w:val="nil"/>
              <w:bottom w:val="single" w:sz="4" w:space="0" w:color="auto"/>
              <w:right w:val="single" w:sz="4" w:space="0" w:color="auto"/>
            </w:tcBorders>
            <w:vAlign w:val="center"/>
          </w:tcPr>
          <w:p w14:paraId="6C50853F" w14:textId="4ABAEEC1" w:rsidR="00C24120" w:rsidRPr="00015FC1" w:rsidRDefault="00C24120" w:rsidP="00C24120">
            <w:pPr>
              <w:spacing w:after="0"/>
              <w:jc w:val="right"/>
              <w:rPr>
                <w:rFonts w:ascii="Calibri" w:hAnsi="Calibri" w:cs="Calibri"/>
                <w:noProof/>
                <w:szCs w:val="20"/>
              </w:rPr>
            </w:pPr>
            <w:r w:rsidRPr="00015FC1">
              <w:rPr>
                <w:rFonts w:ascii="Calibri" w:hAnsi="Calibri" w:cs="Calibri"/>
                <w:noProof/>
                <w:szCs w:val="20"/>
              </w:rPr>
              <w:t>100%</w:t>
            </w:r>
          </w:p>
        </w:tc>
        <w:tc>
          <w:tcPr>
            <w:tcW w:w="126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814B1C1" w14:textId="0066488B" w:rsidR="00C24120" w:rsidRPr="00015FC1" w:rsidRDefault="00C24120" w:rsidP="00C24120">
            <w:pPr>
              <w:spacing w:after="0"/>
              <w:rPr>
                <w:rFonts w:ascii="Calibri" w:hAnsi="Calibri" w:cs="Calibri"/>
                <w:noProof/>
                <w:color w:val="000000"/>
                <w:szCs w:val="20"/>
              </w:rPr>
            </w:pPr>
            <w:r w:rsidRPr="00015FC1">
              <w:rPr>
                <w:rFonts w:ascii="Calibri" w:hAnsi="Calibri" w:cs="Calibri"/>
                <w:noProof/>
                <w:color w:val="000000"/>
                <w:szCs w:val="20"/>
              </w:rPr>
              <w:t> </w:t>
            </w:r>
          </w:p>
        </w:tc>
        <w:tc>
          <w:tcPr>
            <w:tcW w:w="402" w:type="dxa"/>
            <w:tcBorders>
              <w:top w:val="nil"/>
              <w:left w:val="nil"/>
              <w:bottom w:val="nil"/>
              <w:right w:val="nil"/>
            </w:tcBorders>
            <w:shd w:val="clear" w:color="auto" w:fill="969696"/>
            <w:noWrap/>
            <w:vAlign w:val="center"/>
          </w:tcPr>
          <w:p w14:paraId="7CF41A4B" w14:textId="6EF9BB95" w:rsidR="00C24120" w:rsidRPr="00015FC1" w:rsidRDefault="00C24120" w:rsidP="00C24120">
            <w:pPr>
              <w:spacing w:after="0"/>
              <w:rPr>
                <w:rFonts w:ascii="Calibri" w:hAnsi="Calibri" w:cs="Calibri"/>
                <w:noProof/>
                <w:color w:val="000000"/>
                <w:szCs w:val="20"/>
              </w:rPr>
            </w:pPr>
            <w:r w:rsidRPr="00015FC1">
              <w:rPr>
                <w:rFonts w:ascii="Calibri" w:hAnsi="Calibri" w:cs="Calibri"/>
                <w:noProof/>
                <w:color w:val="000000"/>
                <w:szCs w:val="20"/>
              </w:rPr>
              <w:t> </w:t>
            </w:r>
          </w:p>
        </w:tc>
        <w:tc>
          <w:tcPr>
            <w:tcW w:w="7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19FA4" w14:textId="45EC75EF" w:rsidR="00C24120" w:rsidRPr="00015FC1" w:rsidRDefault="00C24120" w:rsidP="00C24120">
            <w:pPr>
              <w:spacing w:after="0"/>
              <w:jc w:val="center"/>
              <w:rPr>
                <w:rFonts w:ascii="Calibri" w:hAnsi="Calibri" w:cs="Calibri"/>
                <w:noProof/>
                <w:color w:val="000000"/>
                <w:szCs w:val="20"/>
              </w:rPr>
            </w:pP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14:paraId="42761BBD" w14:textId="3B33B7E4" w:rsidR="00C24120" w:rsidRPr="00015FC1" w:rsidRDefault="00C24120" w:rsidP="00C24120">
            <w:pPr>
              <w:spacing w:after="0"/>
              <w:jc w:val="center"/>
              <w:rPr>
                <w:rFonts w:ascii="Calibri" w:hAnsi="Calibri" w:cs="Calibri"/>
                <w:noProof/>
                <w:color w:val="000000"/>
                <w:szCs w:val="20"/>
              </w:rPr>
            </w:pPr>
            <w:r w:rsidRPr="00015FC1">
              <w:rPr>
                <w:rFonts w:ascii="Calibri" w:hAnsi="Calibri" w:cs="Calibri"/>
                <w:noProof/>
                <w:color w:val="000000"/>
                <w:szCs w:val="20"/>
              </w:rPr>
              <w:t> </w:t>
            </w:r>
          </w:p>
        </w:tc>
        <w:tc>
          <w:tcPr>
            <w:tcW w:w="1295" w:type="dxa"/>
            <w:tcBorders>
              <w:top w:val="single" w:sz="4" w:space="0" w:color="auto"/>
              <w:left w:val="nil"/>
              <w:bottom w:val="single" w:sz="4" w:space="0" w:color="auto"/>
              <w:right w:val="single" w:sz="4" w:space="0" w:color="auto"/>
            </w:tcBorders>
            <w:shd w:val="clear" w:color="auto" w:fill="FFFFFF" w:themeFill="background1"/>
            <w:vAlign w:val="center"/>
          </w:tcPr>
          <w:p w14:paraId="4812EE3D" w14:textId="06449077" w:rsidR="00C24120" w:rsidRPr="00015FC1" w:rsidRDefault="00C24120" w:rsidP="00C24120">
            <w:pPr>
              <w:spacing w:after="0"/>
              <w:jc w:val="center"/>
              <w:rPr>
                <w:rFonts w:ascii="Calibri" w:hAnsi="Calibri" w:cs="Calibri"/>
                <w:noProof/>
                <w:color w:val="000000"/>
                <w:szCs w:val="20"/>
              </w:rPr>
            </w:pPr>
            <w:r w:rsidRPr="00015FC1">
              <w:rPr>
                <w:rFonts w:ascii="Calibri" w:hAnsi="Calibri" w:cs="Calibri"/>
                <w:noProof/>
                <w:color w:val="000000"/>
                <w:szCs w:val="20"/>
              </w:rPr>
              <w:t>EUR 140 to 5</w:t>
            </w:r>
            <w:r w:rsidR="00385640">
              <w:rPr>
                <w:rFonts w:ascii="Calibri" w:hAnsi="Calibri" w:cs="Calibri"/>
                <w:noProof/>
                <w:color w:val="000000"/>
                <w:szCs w:val="20"/>
              </w:rPr>
              <w:t>,</w:t>
            </w:r>
            <w:r w:rsidRPr="00015FC1">
              <w:rPr>
                <w:rFonts w:ascii="Calibri" w:hAnsi="Calibri" w:cs="Calibri"/>
                <w:noProof/>
                <w:color w:val="000000"/>
                <w:szCs w:val="20"/>
              </w:rPr>
              <w:t>150 depending on share transfer value</w:t>
            </w:r>
          </w:p>
        </w:tc>
        <w:tc>
          <w:tcPr>
            <w:tcW w:w="1592" w:type="dxa"/>
            <w:tcBorders>
              <w:top w:val="single" w:sz="4" w:space="0" w:color="auto"/>
              <w:left w:val="nil"/>
              <w:bottom w:val="single" w:sz="4" w:space="0" w:color="auto"/>
              <w:right w:val="single" w:sz="4" w:space="0" w:color="auto"/>
            </w:tcBorders>
            <w:vAlign w:val="center"/>
          </w:tcPr>
          <w:p w14:paraId="194A6611" w14:textId="34939077" w:rsidR="00C24120" w:rsidRPr="00015FC1" w:rsidRDefault="12722EA6" w:rsidP="6F00936E">
            <w:pPr>
              <w:spacing w:after="0"/>
              <w:rPr>
                <w:rFonts w:ascii="Calibri" w:hAnsi="Calibri" w:cs="Calibri"/>
                <w:noProof/>
                <w:color w:val="000000"/>
              </w:rPr>
            </w:pPr>
            <w:r w:rsidRPr="6F00936E">
              <w:rPr>
                <w:rFonts w:ascii="Calibri" w:hAnsi="Calibri" w:cs="Calibri"/>
                <w:noProof/>
              </w:rPr>
              <w:t xml:space="preserve">For a low share transfer of </w:t>
            </w:r>
            <w:r w:rsidR="4E60A42B" w:rsidRPr="6F00936E">
              <w:rPr>
                <w:rFonts w:ascii="Calibri" w:hAnsi="Calibri" w:cs="Calibri"/>
                <w:noProof/>
              </w:rPr>
              <w:t>EUR</w:t>
            </w:r>
            <w:r w:rsidR="00B61FD5">
              <w:rPr>
                <w:rFonts w:ascii="Calibri" w:hAnsi="Calibri" w:cs="Calibri"/>
                <w:noProof/>
              </w:rPr>
              <w:t> </w:t>
            </w:r>
            <w:r w:rsidRPr="6F00936E">
              <w:rPr>
                <w:rFonts w:ascii="Calibri" w:hAnsi="Calibri" w:cs="Calibri"/>
                <w:noProof/>
              </w:rPr>
              <w:t>20</w:t>
            </w:r>
            <w:r w:rsidR="00B61FD5">
              <w:rPr>
                <w:rFonts w:ascii="Calibri" w:hAnsi="Calibri" w:cs="Calibri"/>
                <w:noProof/>
              </w:rPr>
              <w:t>,</w:t>
            </w:r>
            <w:r w:rsidRPr="6F00936E">
              <w:rPr>
                <w:rFonts w:ascii="Calibri" w:hAnsi="Calibri" w:cs="Calibri"/>
                <w:noProof/>
              </w:rPr>
              <w:t xml:space="preserve">000, notarial and filing costs typically amount to </w:t>
            </w:r>
            <w:r w:rsidR="506FB7C1" w:rsidRPr="6F00936E">
              <w:rPr>
                <w:rFonts w:ascii="Calibri" w:hAnsi="Calibri" w:cs="Calibri"/>
                <w:noProof/>
              </w:rPr>
              <w:t>EUR</w:t>
            </w:r>
            <w:r w:rsidR="00B61FD5">
              <w:rPr>
                <w:rFonts w:ascii="Calibri" w:hAnsi="Calibri" w:cs="Calibri"/>
                <w:noProof/>
              </w:rPr>
              <w:t> </w:t>
            </w:r>
            <w:r w:rsidRPr="6F00936E">
              <w:rPr>
                <w:rFonts w:ascii="Calibri" w:hAnsi="Calibri" w:cs="Calibri"/>
                <w:noProof/>
              </w:rPr>
              <w:t>140–</w:t>
            </w:r>
            <w:r w:rsidR="59303824" w:rsidRPr="6F00936E">
              <w:rPr>
                <w:rFonts w:ascii="Calibri" w:hAnsi="Calibri" w:cs="Calibri"/>
                <w:noProof/>
              </w:rPr>
              <w:t>EUR</w:t>
            </w:r>
            <w:r w:rsidR="00B61FD5">
              <w:rPr>
                <w:rFonts w:ascii="Calibri" w:hAnsi="Calibri" w:cs="Calibri"/>
                <w:noProof/>
              </w:rPr>
              <w:t> </w:t>
            </w:r>
            <w:r w:rsidRPr="6F00936E">
              <w:rPr>
                <w:rFonts w:ascii="Calibri" w:hAnsi="Calibri" w:cs="Calibri"/>
                <w:noProof/>
              </w:rPr>
              <w:t xml:space="preserve">250; for a growth-stage secondary transaction of </w:t>
            </w:r>
            <w:r w:rsidR="1EE45DDF" w:rsidRPr="6F00936E">
              <w:rPr>
                <w:rFonts w:ascii="Calibri" w:hAnsi="Calibri" w:cs="Calibri"/>
                <w:noProof/>
              </w:rPr>
              <w:t xml:space="preserve">EUR </w:t>
            </w:r>
            <w:r w:rsidRPr="6F00936E">
              <w:rPr>
                <w:rFonts w:ascii="Calibri" w:hAnsi="Calibri" w:cs="Calibri"/>
                <w:noProof/>
              </w:rPr>
              <w:t xml:space="preserve">500.000, these costs rise to approximately </w:t>
            </w:r>
            <w:r w:rsidR="1B99BB73" w:rsidRPr="6F00936E">
              <w:rPr>
                <w:rFonts w:ascii="Calibri" w:hAnsi="Calibri" w:cs="Calibri"/>
                <w:noProof/>
              </w:rPr>
              <w:t>EUR</w:t>
            </w:r>
            <w:r w:rsidR="1E6D6332" w:rsidRPr="6F00936E">
              <w:rPr>
                <w:rFonts w:ascii="Calibri" w:hAnsi="Calibri" w:cs="Calibri"/>
                <w:noProof/>
              </w:rPr>
              <w:t xml:space="preserve"> </w:t>
            </w:r>
            <w:r w:rsidRPr="6F00936E">
              <w:rPr>
                <w:rFonts w:ascii="Calibri" w:hAnsi="Calibri" w:cs="Calibri"/>
                <w:noProof/>
              </w:rPr>
              <w:t>1.580–</w:t>
            </w:r>
            <w:r w:rsidR="3A911801" w:rsidRPr="6F00936E">
              <w:rPr>
                <w:rFonts w:ascii="Calibri" w:hAnsi="Calibri" w:cs="Calibri"/>
                <w:noProof/>
              </w:rPr>
              <w:t>EUR</w:t>
            </w:r>
            <w:r w:rsidR="0F24A15C" w:rsidRPr="6F00936E">
              <w:rPr>
                <w:rFonts w:ascii="Calibri" w:hAnsi="Calibri" w:cs="Calibri"/>
                <w:noProof/>
              </w:rPr>
              <w:t xml:space="preserve"> </w:t>
            </w:r>
            <w:r w:rsidRPr="6F00936E">
              <w:rPr>
                <w:rFonts w:ascii="Calibri" w:hAnsi="Calibri" w:cs="Calibri"/>
                <w:noProof/>
              </w:rPr>
              <w:t xml:space="preserve">2.650; and for a late-stage or large secondary transfer of </w:t>
            </w:r>
            <w:r w:rsidR="4FE59FE4" w:rsidRPr="6F00936E">
              <w:rPr>
                <w:rFonts w:ascii="Calibri" w:hAnsi="Calibri" w:cs="Calibri"/>
                <w:noProof/>
              </w:rPr>
              <w:t>EUR</w:t>
            </w:r>
            <w:r w:rsidR="00773BE2">
              <w:rPr>
                <w:rFonts w:ascii="Calibri" w:hAnsi="Calibri" w:cs="Calibri"/>
                <w:noProof/>
              </w:rPr>
              <w:t> </w:t>
            </w:r>
            <w:r w:rsidRPr="6F00936E">
              <w:rPr>
                <w:rFonts w:ascii="Calibri" w:hAnsi="Calibri" w:cs="Calibri"/>
                <w:noProof/>
              </w:rPr>
              <w:t xml:space="preserve">1 million, total notarial and registration-related costs typically reach </w:t>
            </w:r>
            <w:r w:rsidR="6F300D43" w:rsidRPr="6F00936E">
              <w:rPr>
                <w:rFonts w:ascii="Calibri" w:hAnsi="Calibri" w:cs="Calibri"/>
                <w:noProof/>
              </w:rPr>
              <w:t>EUR</w:t>
            </w:r>
            <w:r w:rsidR="2F021CE0" w:rsidRPr="6F00936E">
              <w:rPr>
                <w:rFonts w:ascii="Calibri" w:hAnsi="Calibri" w:cs="Calibri"/>
                <w:noProof/>
              </w:rPr>
              <w:t xml:space="preserve"> </w:t>
            </w:r>
            <w:r w:rsidRPr="6F00936E">
              <w:rPr>
                <w:rFonts w:ascii="Calibri" w:hAnsi="Calibri" w:cs="Calibri"/>
                <w:noProof/>
              </w:rPr>
              <w:t>3.080–</w:t>
            </w:r>
            <w:r w:rsidR="6F300D43" w:rsidRPr="6F00936E">
              <w:rPr>
                <w:rFonts w:ascii="Calibri" w:hAnsi="Calibri" w:cs="Calibri"/>
                <w:noProof/>
              </w:rPr>
              <w:t>EUR</w:t>
            </w:r>
            <w:r w:rsidR="4F4B082F" w:rsidRPr="6F00936E">
              <w:rPr>
                <w:rFonts w:ascii="Calibri" w:hAnsi="Calibri" w:cs="Calibri"/>
                <w:noProof/>
              </w:rPr>
              <w:t xml:space="preserve"> </w:t>
            </w:r>
            <w:r w:rsidRPr="6F00936E">
              <w:rPr>
                <w:rFonts w:ascii="Calibri" w:hAnsi="Calibri" w:cs="Calibri"/>
                <w:noProof/>
              </w:rPr>
              <w:t>5.150 per transaction.</w:t>
            </w:r>
          </w:p>
        </w:tc>
        <w:tc>
          <w:tcPr>
            <w:tcW w:w="402" w:type="dxa"/>
            <w:tcBorders>
              <w:top w:val="nil"/>
              <w:left w:val="nil"/>
              <w:bottom w:val="nil"/>
              <w:right w:val="nil"/>
            </w:tcBorders>
            <w:shd w:val="clear" w:color="auto" w:fill="969696"/>
            <w:noWrap/>
            <w:vAlign w:val="center"/>
          </w:tcPr>
          <w:p w14:paraId="563A4DBA" w14:textId="0CB61E0D" w:rsidR="00C24120" w:rsidRDefault="00C24120" w:rsidP="00C24120">
            <w:pPr>
              <w:spacing w:after="0"/>
              <w:rPr>
                <w:rFonts w:ascii="Arial" w:hAnsi="Arial" w:cs="Arial"/>
                <w:noProof/>
                <w:szCs w:val="20"/>
              </w:rPr>
            </w:pPr>
            <w:r>
              <w:rPr>
                <w:rFonts w:ascii="Arial" w:hAnsi="Arial" w:cs="Arial"/>
                <w:noProof/>
                <w:szCs w:val="20"/>
              </w:rPr>
              <w:t> </w:t>
            </w:r>
          </w:p>
        </w:tc>
        <w:tc>
          <w:tcPr>
            <w:tcW w:w="1028" w:type="dxa"/>
            <w:tcBorders>
              <w:top w:val="single" w:sz="4" w:space="0" w:color="auto"/>
              <w:left w:val="single" w:sz="4" w:space="0" w:color="auto"/>
              <w:bottom w:val="single" w:sz="4" w:space="0" w:color="auto"/>
              <w:right w:val="single" w:sz="4" w:space="0" w:color="auto"/>
            </w:tcBorders>
            <w:vAlign w:val="center"/>
          </w:tcPr>
          <w:p w14:paraId="15C4B137" w14:textId="6C797EDB" w:rsidR="00C24120" w:rsidRPr="00015FC1" w:rsidRDefault="00BA26E7" w:rsidP="00C24120">
            <w:pPr>
              <w:spacing w:after="0"/>
              <w:jc w:val="center"/>
              <w:rPr>
                <w:rFonts w:ascii="Calibri" w:hAnsi="Calibri" w:cs="Calibri"/>
                <w:noProof/>
                <w:color w:val="000000"/>
                <w:szCs w:val="20"/>
              </w:rPr>
            </w:pPr>
            <w:r>
              <w:rPr>
                <w:rFonts w:ascii="Calibri" w:hAnsi="Calibri" w:cs="Calibri"/>
                <w:noProof/>
                <w:color w:val="000000"/>
                <w:szCs w:val="20"/>
              </w:rPr>
              <w:t xml:space="preserve">EUR </w:t>
            </w:r>
            <w:r w:rsidR="00C24120" w:rsidRPr="00015FC1">
              <w:rPr>
                <w:rFonts w:ascii="Calibri" w:hAnsi="Calibri" w:cs="Calibri"/>
                <w:noProof/>
                <w:color w:val="000000"/>
                <w:szCs w:val="20"/>
              </w:rPr>
              <w:t>140.00 to 5</w:t>
            </w:r>
            <w:r w:rsidR="00B61FD5">
              <w:rPr>
                <w:rFonts w:ascii="Calibri" w:hAnsi="Calibri" w:cs="Calibri"/>
                <w:noProof/>
                <w:color w:val="000000"/>
                <w:szCs w:val="20"/>
              </w:rPr>
              <w:t>,</w:t>
            </w:r>
            <w:r w:rsidR="00C24120" w:rsidRPr="00015FC1">
              <w:rPr>
                <w:rFonts w:ascii="Calibri" w:hAnsi="Calibri" w:cs="Calibri"/>
                <w:noProof/>
                <w:color w:val="000000"/>
                <w:szCs w:val="20"/>
              </w:rPr>
              <w:t>150.00</w:t>
            </w:r>
          </w:p>
        </w:tc>
        <w:tc>
          <w:tcPr>
            <w:tcW w:w="1184" w:type="dxa"/>
            <w:tcBorders>
              <w:top w:val="single" w:sz="4" w:space="0" w:color="auto"/>
              <w:left w:val="nil"/>
              <w:bottom w:val="single" w:sz="4" w:space="0" w:color="auto"/>
              <w:right w:val="single" w:sz="4" w:space="0" w:color="auto"/>
            </w:tcBorders>
            <w:vAlign w:val="center"/>
          </w:tcPr>
          <w:p w14:paraId="35CF39E3" w14:textId="6D706F39" w:rsidR="00C24120" w:rsidRPr="00015FC1" w:rsidRDefault="00C24120" w:rsidP="00C24120">
            <w:pPr>
              <w:spacing w:after="0"/>
              <w:jc w:val="center"/>
              <w:rPr>
                <w:rFonts w:ascii="Calibri" w:hAnsi="Calibri" w:cs="Calibri"/>
                <w:noProof/>
                <w:color w:val="000000"/>
                <w:szCs w:val="20"/>
              </w:rPr>
            </w:pPr>
            <w:r w:rsidRPr="00015FC1">
              <w:rPr>
                <w:rFonts w:ascii="Calibri" w:hAnsi="Calibri" w:cs="Calibri"/>
                <w:noProof/>
                <w:color w:val="000000"/>
                <w:szCs w:val="20"/>
              </w:rPr>
              <w:t> </w:t>
            </w:r>
          </w:p>
        </w:tc>
        <w:tc>
          <w:tcPr>
            <w:tcW w:w="1157" w:type="dxa"/>
            <w:tcBorders>
              <w:top w:val="single" w:sz="4" w:space="0" w:color="auto"/>
              <w:left w:val="nil"/>
              <w:bottom w:val="single" w:sz="4" w:space="0" w:color="auto"/>
              <w:right w:val="single" w:sz="4" w:space="0" w:color="auto"/>
            </w:tcBorders>
            <w:vAlign w:val="center"/>
          </w:tcPr>
          <w:p w14:paraId="69EC8810" w14:textId="0D67CB68" w:rsidR="00C24120" w:rsidRPr="00015FC1" w:rsidRDefault="00C24120" w:rsidP="00C24120">
            <w:pPr>
              <w:spacing w:after="0"/>
              <w:jc w:val="center"/>
              <w:rPr>
                <w:rFonts w:ascii="Calibri" w:hAnsi="Calibri" w:cs="Calibri"/>
                <w:noProof/>
                <w:color w:val="000000"/>
                <w:szCs w:val="20"/>
              </w:rPr>
            </w:pPr>
            <w:r w:rsidRPr="00015FC1">
              <w:rPr>
                <w:rFonts w:ascii="Calibri" w:hAnsi="Calibri" w:cs="Calibri"/>
                <w:noProof/>
                <w:color w:val="000000"/>
                <w:szCs w:val="20"/>
              </w:rPr>
              <w:t> </w:t>
            </w:r>
          </w:p>
        </w:tc>
      </w:tr>
      <w:tr w:rsidR="00783610" w:rsidRPr="001E44F2" w14:paraId="2E8066C3" w14:textId="77777777" w:rsidTr="6F00936E">
        <w:trPr>
          <w:trHeight w:val="300"/>
        </w:trPr>
        <w:tc>
          <w:tcPr>
            <w:tcW w:w="428" w:type="dxa"/>
            <w:tcBorders>
              <w:top w:val="nil"/>
              <w:left w:val="single" w:sz="8" w:space="0" w:color="auto"/>
              <w:bottom w:val="single" w:sz="8" w:space="0" w:color="auto"/>
              <w:right w:val="nil"/>
            </w:tcBorders>
            <w:shd w:val="clear" w:color="auto" w:fill="305496"/>
            <w:noWrap/>
            <w:vAlign w:val="center"/>
            <w:hideMark/>
          </w:tcPr>
          <w:p w14:paraId="080C74E9"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413" w:type="dxa"/>
            <w:tcBorders>
              <w:top w:val="nil"/>
              <w:left w:val="nil"/>
              <w:bottom w:val="single" w:sz="8" w:space="0" w:color="auto"/>
              <w:right w:val="nil"/>
            </w:tcBorders>
            <w:shd w:val="clear" w:color="auto" w:fill="305496"/>
            <w:noWrap/>
            <w:vAlign w:val="center"/>
            <w:hideMark/>
          </w:tcPr>
          <w:p w14:paraId="60EDBA8D"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559" w:type="dxa"/>
            <w:tcBorders>
              <w:top w:val="nil"/>
              <w:left w:val="nil"/>
              <w:bottom w:val="single" w:sz="8" w:space="0" w:color="auto"/>
              <w:right w:val="nil"/>
            </w:tcBorders>
            <w:shd w:val="clear" w:color="auto" w:fill="305496"/>
            <w:noWrap/>
            <w:vAlign w:val="center"/>
            <w:hideMark/>
          </w:tcPr>
          <w:p w14:paraId="1B1A9E00"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672C1341"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auto"/>
              <w:right w:val="nil"/>
            </w:tcBorders>
            <w:shd w:val="clear" w:color="auto" w:fill="8EA9DB"/>
            <w:noWrap/>
            <w:vAlign w:val="center"/>
            <w:hideMark/>
          </w:tcPr>
          <w:p w14:paraId="20EB99BA"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09754ABE"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708" w:type="dxa"/>
            <w:tcBorders>
              <w:top w:val="nil"/>
              <w:left w:val="single" w:sz="4" w:space="0" w:color="auto"/>
              <w:bottom w:val="single" w:sz="8" w:space="0" w:color="auto"/>
              <w:right w:val="nil"/>
            </w:tcBorders>
            <w:shd w:val="clear" w:color="auto" w:fill="8EA9DB"/>
            <w:noWrap/>
            <w:vAlign w:val="center"/>
            <w:hideMark/>
          </w:tcPr>
          <w:p w14:paraId="73C10A27"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262" w:type="dxa"/>
            <w:gridSpan w:val="2"/>
            <w:tcBorders>
              <w:top w:val="nil"/>
              <w:left w:val="single" w:sz="4" w:space="0" w:color="auto"/>
              <w:bottom w:val="single" w:sz="8" w:space="0" w:color="auto"/>
              <w:right w:val="nil"/>
            </w:tcBorders>
            <w:shd w:val="clear" w:color="auto" w:fill="8EA9DB"/>
            <w:noWrap/>
            <w:vAlign w:val="center"/>
            <w:hideMark/>
          </w:tcPr>
          <w:p w14:paraId="4FAF5DAC"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402" w:type="dxa"/>
            <w:tcBorders>
              <w:top w:val="nil"/>
              <w:left w:val="nil"/>
              <w:bottom w:val="nil"/>
              <w:right w:val="nil"/>
            </w:tcBorders>
            <w:shd w:val="clear" w:color="auto" w:fill="969696"/>
            <w:noWrap/>
            <w:vAlign w:val="center"/>
            <w:hideMark/>
          </w:tcPr>
          <w:p w14:paraId="15A971B8"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tcBorders>
              <w:top w:val="nil"/>
              <w:left w:val="single" w:sz="4" w:space="0" w:color="auto"/>
              <w:bottom w:val="single" w:sz="8" w:space="0" w:color="auto"/>
              <w:right w:val="nil"/>
            </w:tcBorders>
            <w:shd w:val="clear" w:color="auto" w:fill="C6E0B4"/>
            <w:noWrap/>
            <w:vAlign w:val="center"/>
            <w:hideMark/>
          </w:tcPr>
          <w:p w14:paraId="207C5858"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5D55D9CB"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419138EE"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592" w:type="dxa"/>
            <w:tcBorders>
              <w:top w:val="nil"/>
              <w:left w:val="single" w:sz="4" w:space="0" w:color="auto"/>
              <w:bottom w:val="single" w:sz="8" w:space="0" w:color="auto"/>
              <w:right w:val="nil"/>
            </w:tcBorders>
            <w:shd w:val="clear" w:color="auto" w:fill="C6E0B4"/>
            <w:vAlign w:val="center"/>
            <w:hideMark/>
          </w:tcPr>
          <w:p w14:paraId="7B41E9C9"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402" w:type="dxa"/>
            <w:tcBorders>
              <w:top w:val="nil"/>
              <w:left w:val="nil"/>
              <w:bottom w:val="nil"/>
              <w:right w:val="nil"/>
            </w:tcBorders>
            <w:shd w:val="clear" w:color="auto" w:fill="969696"/>
            <w:noWrap/>
            <w:vAlign w:val="center"/>
            <w:hideMark/>
          </w:tcPr>
          <w:p w14:paraId="2AB2B05E"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2424D2CD" w14:textId="77777777" w:rsidR="002F5CAB" w:rsidRPr="001E44F2" w:rsidRDefault="002F5CAB">
            <w:pPr>
              <w:spacing w:after="0"/>
              <w:jc w:val="center"/>
              <w:rPr>
                <w:rFonts w:ascii="Arial" w:eastAsia="Times New Roman" w:hAnsi="Arial" w:cs="Arial"/>
                <w:b/>
                <w:bCs/>
                <w:noProof/>
                <w:szCs w:val="20"/>
                <w:lang w:val="en-IE" w:eastAsia="en-IE"/>
              </w:rPr>
            </w:pPr>
            <w:r w:rsidRPr="001E44F2">
              <w:rPr>
                <w:rFonts w:ascii="Arial" w:eastAsia="Times New Roman" w:hAnsi="Arial" w:cs="Arial"/>
                <w:b/>
                <w:bCs/>
                <w:noProof/>
                <w:szCs w:val="20"/>
                <w:lang w:val="en-IE" w:eastAsia="en-IE"/>
              </w:rPr>
              <w:t>Admin burden reduction PO7b</w:t>
            </w:r>
          </w:p>
        </w:tc>
        <w:tc>
          <w:tcPr>
            <w:tcW w:w="1157" w:type="dxa"/>
            <w:tcBorders>
              <w:top w:val="nil"/>
              <w:left w:val="single" w:sz="8" w:space="0" w:color="auto"/>
              <w:bottom w:val="single" w:sz="8" w:space="0" w:color="auto"/>
              <w:right w:val="single" w:sz="8" w:space="0" w:color="auto"/>
            </w:tcBorders>
            <w:shd w:val="clear" w:color="auto" w:fill="DBDBDB"/>
            <w:noWrap/>
            <w:vAlign w:val="center"/>
            <w:hideMark/>
          </w:tcPr>
          <w:p w14:paraId="33B7D558" w14:textId="20F46924" w:rsidR="002F5CAB" w:rsidRPr="001E44F2" w:rsidRDefault="10EBA341"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0A4150B5"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   </w:t>
            </w:r>
          </w:p>
        </w:tc>
      </w:tr>
      <w:tr w:rsidR="00401FEA" w:rsidRPr="001E44F2" w14:paraId="79530833" w14:textId="77777777">
        <w:trPr>
          <w:trHeight w:val="300"/>
        </w:trPr>
        <w:tc>
          <w:tcPr>
            <w:tcW w:w="2400" w:type="dxa"/>
            <w:gridSpan w:val="3"/>
            <w:tcBorders>
              <w:top w:val="single" w:sz="8" w:space="0" w:color="auto"/>
              <w:left w:val="single" w:sz="8" w:space="0" w:color="auto"/>
              <w:bottom w:val="single" w:sz="8" w:space="0" w:color="auto"/>
              <w:right w:val="nil"/>
            </w:tcBorders>
            <w:shd w:val="clear" w:color="auto" w:fill="FFFF00"/>
            <w:noWrap/>
            <w:vAlign w:val="center"/>
            <w:hideMark/>
          </w:tcPr>
          <w:p w14:paraId="2019E64F" w14:textId="1011540A" w:rsidR="002F5CAB" w:rsidRPr="001E44F2" w:rsidRDefault="0029386A">
            <w:pPr>
              <w:spacing w:after="0"/>
              <w:rPr>
                <w:rFonts w:ascii="Arial" w:eastAsia="Times New Roman" w:hAnsi="Arial" w:cs="Arial"/>
                <w:noProof/>
                <w:szCs w:val="20"/>
                <w:lang w:val="en-IE" w:eastAsia="en-IE"/>
              </w:rPr>
            </w:pPr>
            <w:r w:rsidRPr="001E44F2">
              <w:rPr>
                <w:rFonts w:ascii="Arial" w:eastAsia="Times New Roman" w:hAnsi="Arial" w:cs="Arial"/>
                <w:b/>
                <w:bCs/>
                <w:noProof/>
                <w:szCs w:val="20"/>
                <w:lang w:val="en-IE" w:eastAsia="en-IE"/>
              </w:rPr>
              <w:t>PO 7c</w:t>
            </w:r>
            <w:r w:rsidRPr="001E44F2">
              <w:rPr>
                <w:rFonts w:ascii="Arial" w:eastAsia="Times New Roman" w:hAnsi="Arial" w:cs="Arial"/>
                <w:noProof/>
                <w:szCs w:val="20"/>
                <w:lang w:val="en-IE" w:eastAsia="en-IE"/>
              </w:rPr>
              <w:t> </w:t>
            </w:r>
          </w:p>
        </w:tc>
        <w:tc>
          <w:tcPr>
            <w:tcW w:w="272" w:type="dxa"/>
            <w:tcBorders>
              <w:top w:val="nil"/>
              <w:left w:val="nil"/>
              <w:bottom w:val="nil"/>
              <w:right w:val="nil"/>
            </w:tcBorders>
            <w:shd w:val="clear" w:color="auto" w:fill="969696"/>
            <w:vAlign w:val="center"/>
            <w:hideMark/>
          </w:tcPr>
          <w:p w14:paraId="1CA51EB2"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tcBorders>
              <w:top w:val="nil"/>
              <w:left w:val="single" w:sz="4" w:space="0" w:color="auto"/>
              <w:bottom w:val="nil"/>
              <w:right w:val="nil"/>
            </w:tcBorders>
            <w:vAlign w:val="center"/>
            <w:hideMark/>
          </w:tcPr>
          <w:p w14:paraId="05975CC6" w14:textId="77777777" w:rsidR="002F5CAB" w:rsidRPr="001E44F2" w:rsidRDefault="002F5CAB">
            <w:pPr>
              <w:spacing w:after="0"/>
              <w:jc w:val="center"/>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161" w:type="dxa"/>
            <w:tcBorders>
              <w:top w:val="nil"/>
              <w:left w:val="single" w:sz="4" w:space="0" w:color="auto"/>
              <w:bottom w:val="nil"/>
              <w:right w:val="nil"/>
            </w:tcBorders>
            <w:noWrap/>
            <w:vAlign w:val="center"/>
            <w:hideMark/>
          </w:tcPr>
          <w:p w14:paraId="1ACEBDB2"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708" w:type="dxa"/>
            <w:tcBorders>
              <w:top w:val="nil"/>
              <w:left w:val="single" w:sz="4" w:space="0" w:color="auto"/>
              <w:bottom w:val="nil"/>
              <w:right w:val="nil"/>
            </w:tcBorders>
            <w:noWrap/>
            <w:vAlign w:val="center"/>
            <w:hideMark/>
          </w:tcPr>
          <w:p w14:paraId="08501E20"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262" w:type="dxa"/>
            <w:gridSpan w:val="2"/>
            <w:tcBorders>
              <w:top w:val="nil"/>
              <w:left w:val="single" w:sz="4" w:space="0" w:color="auto"/>
              <w:bottom w:val="nil"/>
              <w:right w:val="nil"/>
            </w:tcBorders>
            <w:noWrap/>
            <w:vAlign w:val="center"/>
            <w:hideMark/>
          </w:tcPr>
          <w:p w14:paraId="04A0578B"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402" w:type="dxa"/>
            <w:tcBorders>
              <w:top w:val="nil"/>
              <w:left w:val="nil"/>
              <w:bottom w:val="nil"/>
              <w:right w:val="nil"/>
            </w:tcBorders>
            <w:shd w:val="clear" w:color="auto" w:fill="969696"/>
            <w:noWrap/>
            <w:vAlign w:val="center"/>
            <w:hideMark/>
          </w:tcPr>
          <w:p w14:paraId="164B1F87"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tcBorders>
              <w:top w:val="nil"/>
              <w:left w:val="single" w:sz="4" w:space="0" w:color="auto"/>
              <w:bottom w:val="nil"/>
              <w:right w:val="nil"/>
            </w:tcBorders>
            <w:noWrap/>
            <w:vAlign w:val="center"/>
            <w:hideMark/>
          </w:tcPr>
          <w:p w14:paraId="5B054214"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850" w:type="dxa"/>
            <w:tcBorders>
              <w:top w:val="nil"/>
              <w:left w:val="single" w:sz="4" w:space="0" w:color="auto"/>
              <w:bottom w:val="nil"/>
              <w:right w:val="nil"/>
            </w:tcBorders>
            <w:shd w:val="clear" w:color="auto" w:fill="FFFFFF" w:themeFill="background1"/>
            <w:noWrap/>
            <w:vAlign w:val="center"/>
            <w:hideMark/>
          </w:tcPr>
          <w:p w14:paraId="73C4D068"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295" w:type="dxa"/>
            <w:tcBorders>
              <w:top w:val="nil"/>
              <w:left w:val="single" w:sz="4" w:space="0" w:color="auto"/>
              <w:bottom w:val="nil"/>
              <w:right w:val="nil"/>
            </w:tcBorders>
            <w:noWrap/>
            <w:vAlign w:val="center"/>
            <w:hideMark/>
          </w:tcPr>
          <w:p w14:paraId="607C0922"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592" w:type="dxa"/>
            <w:tcBorders>
              <w:top w:val="nil"/>
              <w:left w:val="single" w:sz="4" w:space="0" w:color="auto"/>
              <w:bottom w:val="nil"/>
              <w:right w:val="nil"/>
            </w:tcBorders>
            <w:noWrap/>
            <w:vAlign w:val="center"/>
            <w:hideMark/>
          </w:tcPr>
          <w:p w14:paraId="1177582A"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402" w:type="dxa"/>
            <w:tcBorders>
              <w:top w:val="nil"/>
              <w:left w:val="nil"/>
              <w:bottom w:val="nil"/>
              <w:right w:val="single" w:sz="8" w:space="0" w:color="auto"/>
            </w:tcBorders>
            <w:shd w:val="clear" w:color="auto" w:fill="969696"/>
            <w:noWrap/>
            <w:vAlign w:val="center"/>
            <w:hideMark/>
          </w:tcPr>
          <w:p w14:paraId="2A7DEB92"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028" w:type="dxa"/>
            <w:tcBorders>
              <w:top w:val="nil"/>
              <w:left w:val="nil"/>
              <w:bottom w:val="nil"/>
              <w:right w:val="nil"/>
            </w:tcBorders>
            <w:noWrap/>
            <w:vAlign w:val="center"/>
            <w:hideMark/>
          </w:tcPr>
          <w:p w14:paraId="3BC30F3D"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184" w:type="dxa"/>
            <w:tcBorders>
              <w:top w:val="nil"/>
              <w:left w:val="nil"/>
              <w:bottom w:val="nil"/>
              <w:right w:val="nil"/>
            </w:tcBorders>
            <w:noWrap/>
            <w:vAlign w:val="center"/>
            <w:hideMark/>
          </w:tcPr>
          <w:p w14:paraId="452C70C6" w14:textId="77777777" w:rsidR="002F5CAB" w:rsidRPr="001E44F2" w:rsidRDefault="002F5CAB">
            <w:pPr>
              <w:spacing w:after="0"/>
              <w:jc w:val="center"/>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1157" w:type="dxa"/>
            <w:tcBorders>
              <w:top w:val="nil"/>
              <w:left w:val="nil"/>
              <w:bottom w:val="nil"/>
              <w:right w:val="single" w:sz="8" w:space="0" w:color="auto"/>
            </w:tcBorders>
            <w:noWrap/>
            <w:vAlign w:val="center"/>
            <w:hideMark/>
          </w:tcPr>
          <w:p w14:paraId="54EF3F0F" w14:textId="77777777" w:rsidR="002F5CAB" w:rsidRPr="001E44F2" w:rsidRDefault="002F5CAB">
            <w:pPr>
              <w:spacing w:after="0"/>
              <w:jc w:val="center"/>
              <w:rPr>
                <w:rFonts w:ascii="Arial" w:eastAsia="Times New Roman" w:hAnsi="Arial" w:cs="Arial"/>
                <w:b/>
                <w:bCs/>
                <w:noProof/>
                <w:szCs w:val="20"/>
                <w:lang w:val="en-IE" w:eastAsia="en-IE"/>
              </w:rPr>
            </w:pPr>
            <w:r w:rsidRPr="001E44F2">
              <w:rPr>
                <w:rFonts w:ascii="Arial" w:eastAsia="Times New Roman" w:hAnsi="Arial" w:cs="Arial"/>
                <w:b/>
                <w:bCs/>
                <w:noProof/>
                <w:szCs w:val="20"/>
                <w:lang w:val="en-IE" w:eastAsia="en-IE"/>
              </w:rPr>
              <w:t> </w:t>
            </w:r>
          </w:p>
        </w:tc>
      </w:tr>
      <w:tr w:rsidR="00783610" w:rsidRPr="001E44F2" w14:paraId="400BB0FD" w14:textId="77777777" w:rsidTr="6F00936E">
        <w:trPr>
          <w:trHeight w:val="1343"/>
        </w:trPr>
        <w:tc>
          <w:tcPr>
            <w:tcW w:w="2400" w:type="dxa"/>
            <w:gridSpan w:val="3"/>
            <w:vMerge w:val="restart"/>
            <w:tcBorders>
              <w:top w:val="single" w:sz="8" w:space="0" w:color="auto"/>
              <w:left w:val="single" w:sz="8" w:space="0" w:color="auto"/>
              <w:right w:val="nil"/>
            </w:tcBorders>
            <w:vAlign w:val="center"/>
            <w:hideMark/>
          </w:tcPr>
          <w:p w14:paraId="016E7FFF" w14:textId="6E41E77E" w:rsidR="002F5CAB" w:rsidRPr="001E44F2" w:rsidRDefault="00BA26E7">
            <w:pPr>
              <w:spacing w:after="0"/>
              <w:rPr>
                <w:rFonts w:ascii="Calibri" w:eastAsia="Times New Roman" w:hAnsi="Calibri" w:cs="Calibri"/>
                <w:noProof/>
                <w:color w:val="000000"/>
                <w:lang w:val="en-IE" w:eastAsia="en-IE"/>
              </w:rPr>
            </w:pPr>
            <w:r w:rsidRPr="00BA26E7">
              <w:rPr>
                <w:rFonts w:ascii="Calibri" w:hAnsi="Calibri" w:cs="Calibri"/>
                <w:noProof/>
                <w:color w:val="000000"/>
                <w:szCs w:val="20"/>
              </w:rPr>
              <w:t>Option</w:t>
            </w:r>
            <w:r w:rsidR="002F5CAB" w:rsidRPr="002C7E36">
              <w:rPr>
                <w:rFonts w:ascii="Calibri" w:hAnsi="Calibri" w:cs="Calibri"/>
                <w:noProof/>
                <w:color w:val="000000"/>
                <w:szCs w:val="20"/>
              </w:rPr>
              <w:t xml:space="preserve"> 7b</w:t>
            </w:r>
            <w:r w:rsidRPr="00BA26E7">
              <w:rPr>
                <w:rFonts w:ascii="Calibri" w:hAnsi="Calibri" w:cs="Calibri"/>
                <w:noProof/>
                <w:color w:val="000000"/>
                <w:szCs w:val="20"/>
              </w:rPr>
              <w:t xml:space="preserve"> +</w:t>
            </w:r>
            <w:r w:rsidR="002F5CAB" w:rsidRPr="002C7E36">
              <w:rPr>
                <w:rFonts w:ascii="Calibri" w:hAnsi="Calibri" w:cs="Calibri"/>
                <w:noProof/>
                <w:color w:val="000000"/>
                <w:szCs w:val="20"/>
              </w:rPr>
              <w:t xml:space="preserve"> a possibility for Member States to grant access to public equity markets</w:t>
            </w:r>
            <w:r w:rsidRPr="00BA26E7">
              <w:rPr>
                <w:rFonts w:ascii="Calibri" w:hAnsi="Calibri" w:cs="Calibri"/>
                <w:noProof/>
                <w:color w:val="000000"/>
                <w:szCs w:val="20"/>
              </w:rPr>
              <w:t xml:space="preserve"> to 28th regime companies</w:t>
            </w:r>
            <w:r w:rsidR="002F5CAB" w:rsidRPr="002C7E36">
              <w:rPr>
                <w:rFonts w:ascii="Calibri" w:hAnsi="Calibri" w:cs="Calibri"/>
                <w:noProof/>
                <w:color w:val="000000"/>
                <w:szCs w:val="20"/>
              </w:rPr>
              <w:t>.</w:t>
            </w:r>
          </w:p>
        </w:tc>
        <w:tc>
          <w:tcPr>
            <w:tcW w:w="272" w:type="dxa"/>
            <w:tcBorders>
              <w:top w:val="nil"/>
              <w:left w:val="nil"/>
              <w:bottom w:val="nil"/>
              <w:right w:val="single" w:sz="4" w:space="0" w:color="auto"/>
            </w:tcBorders>
            <w:shd w:val="clear" w:color="auto" w:fill="969696"/>
            <w:vAlign w:val="center"/>
            <w:hideMark/>
          </w:tcPr>
          <w:p w14:paraId="073109AB" w14:textId="77777777" w:rsidR="002F5CAB" w:rsidRPr="001E44F2" w:rsidRDefault="002F5CAB">
            <w:pPr>
              <w:spacing w:after="0"/>
              <w:rPr>
                <w:rFonts w:ascii="Arial" w:eastAsia="Times New Roman" w:hAnsi="Arial" w:cs="Arial"/>
                <w:noProof/>
                <w:color w:val="808080"/>
                <w:szCs w:val="20"/>
                <w:lang w:val="en-IE" w:eastAsia="en-IE"/>
              </w:rPr>
            </w:pPr>
            <w:r w:rsidRPr="002C7E36">
              <w:rPr>
                <w:rFonts w:ascii="Arial" w:hAnsi="Arial" w:cs="Arial"/>
                <w:noProof/>
                <w:color w:val="808080"/>
                <w:szCs w:val="20"/>
              </w:rPr>
              <w:t> </w:t>
            </w:r>
          </w:p>
        </w:tc>
        <w:tc>
          <w:tcPr>
            <w:tcW w:w="928" w:type="dxa"/>
            <w:tcBorders>
              <w:top w:val="single" w:sz="4" w:space="0" w:color="auto"/>
              <w:left w:val="single" w:sz="4" w:space="0" w:color="auto"/>
              <w:bottom w:val="single" w:sz="4" w:space="0" w:color="auto"/>
              <w:right w:val="single" w:sz="4" w:space="0" w:color="auto"/>
            </w:tcBorders>
            <w:vAlign w:val="center"/>
            <w:hideMark/>
          </w:tcPr>
          <w:p w14:paraId="7F4CA927" w14:textId="77777777" w:rsidR="002F5CAB" w:rsidRPr="001E44F2" w:rsidRDefault="002F5CAB">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1161" w:type="dxa"/>
            <w:tcBorders>
              <w:top w:val="single" w:sz="4" w:space="0" w:color="auto"/>
              <w:left w:val="nil"/>
              <w:bottom w:val="single" w:sz="4" w:space="0" w:color="auto"/>
              <w:right w:val="single" w:sz="4" w:space="0" w:color="auto"/>
            </w:tcBorders>
            <w:vAlign w:val="center"/>
            <w:hideMark/>
          </w:tcPr>
          <w:p w14:paraId="3B02462D" w14:textId="77777777" w:rsidR="002F5CAB" w:rsidRPr="001E44F2" w:rsidRDefault="002F5CAB">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1</w:t>
            </w:r>
          </w:p>
        </w:tc>
        <w:tc>
          <w:tcPr>
            <w:tcW w:w="708" w:type="dxa"/>
            <w:tcBorders>
              <w:top w:val="single" w:sz="4" w:space="0" w:color="auto"/>
              <w:left w:val="nil"/>
              <w:bottom w:val="single" w:sz="4" w:space="0" w:color="auto"/>
              <w:right w:val="single" w:sz="4" w:space="0" w:color="auto"/>
            </w:tcBorders>
            <w:vAlign w:val="center"/>
            <w:hideMark/>
          </w:tcPr>
          <w:p w14:paraId="614AF819" w14:textId="77777777" w:rsidR="002F5CAB" w:rsidRPr="001E44F2" w:rsidRDefault="002F5CAB">
            <w:pPr>
              <w:spacing w:after="0"/>
              <w:jc w:val="right"/>
              <w:rPr>
                <w:rFonts w:ascii="Calibri" w:eastAsia="Times New Roman" w:hAnsi="Calibri" w:cs="Calibri"/>
                <w:noProof/>
                <w:lang w:val="en-IE" w:eastAsia="en-IE"/>
              </w:rPr>
            </w:pPr>
            <w:r w:rsidRPr="002C7E36">
              <w:rPr>
                <w:rFonts w:ascii="Calibri" w:hAnsi="Calibri" w:cs="Calibri"/>
                <w:noProof/>
                <w:szCs w:val="20"/>
              </w:rPr>
              <w:t>100%</w:t>
            </w:r>
          </w:p>
        </w:tc>
        <w:tc>
          <w:tcPr>
            <w:tcW w:w="1262" w:type="dxa"/>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141CC96D" w14:textId="77777777" w:rsidR="002F5CAB" w:rsidRPr="001E44F2" w:rsidRDefault="002F5CAB">
            <w:pPr>
              <w:spacing w:after="0"/>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402" w:type="dxa"/>
            <w:tcBorders>
              <w:top w:val="nil"/>
              <w:left w:val="nil"/>
              <w:bottom w:val="nil"/>
              <w:right w:val="nil"/>
            </w:tcBorders>
            <w:shd w:val="clear" w:color="auto" w:fill="969696"/>
            <w:noWrap/>
            <w:vAlign w:val="center"/>
            <w:hideMark/>
          </w:tcPr>
          <w:p w14:paraId="2F68151E" w14:textId="77777777" w:rsidR="002F5CAB" w:rsidRPr="001E44F2" w:rsidRDefault="002F5CAB">
            <w:pPr>
              <w:spacing w:after="0"/>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7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FEF46B" w14:textId="77777777" w:rsidR="002F5CAB" w:rsidRPr="001E44F2" w:rsidRDefault="002F5CAB">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40.00</w:t>
            </w: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hideMark/>
          </w:tcPr>
          <w:p w14:paraId="3DF38284" w14:textId="764F2CFC" w:rsidR="002F5CAB" w:rsidRPr="001E44F2" w:rsidRDefault="007C4FF9">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10</w:t>
            </w:r>
            <w:r w:rsidR="002F5CAB" w:rsidRPr="002C7E36">
              <w:rPr>
                <w:rFonts w:ascii="Calibri" w:hAnsi="Calibri" w:cs="Calibri"/>
                <w:noProof/>
                <w:color w:val="000000"/>
                <w:szCs w:val="20"/>
              </w:rPr>
              <w:t>.00</w:t>
            </w:r>
          </w:p>
        </w:tc>
        <w:tc>
          <w:tcPr>
            <w:tcW w:w="1295" w:type="dxa"/>
            <w:tcBorders>
              <w:top w:val="single" w:sz="4" w:space="0" w:color="auto"/>
              <w:left w:val="nil"/>
              <w:bottom w:val="single" w:sz="4" w:space="0" w:color="auto"/>
              <w:right w:val="single" w:sz="4" w:space="0" w:color="auto"/>
            </w:tcBorders>
            <w:shd w:val="clear" w:color="auto" w:fill="FFFFFF" w:themeFill="background1"/>
            <w:vAlign w:val="center"/>
            <w:hideMark/>
          </w:tcPr>
          <w:p w14:paraId="41E2CD08" w14:textId="2E971880" w:rsidR="002F5CAB" w:rsidRPr="001E44F2" w:rsidRDefault="007C4FF9">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5</w:t>
            </w:r>
            <w:r w:rsidR="002F5CAB" w:rsidRPr="002C7E36">
              <w:rPr>
                <w:rFonts w:ascii="Calibri" w:hAnsi="Calibri" w:cs="Calibri"/>
                <w:noProof/>
                <w:color w:val="000000"/>
                <w:szCs w:val="20"/>
              </w:rPr>
              <w:t>00.00</w:t>
            </w:r>
          </w:p>
        </w:tc>
        <w:tc>
          <w:tcPr>
            <w:tcW w:w="1592" w:type="dxa"/>
            <w:vMerge w:val="restart"/>
            <w:tcBorders>
              <w:top w:val="single" w:sz="4" w:space="0" w:color="auto"/>
              <w:left w:val="nil"/>
              <w:right w:val="single" w:sz="4" w:space="0" w:color="auto"/>
            </w:tcBorders>
            <w:shd w:val="clear" w:color="auto" w:fill="FFFFFF" w:themeFill="background1"/>
            <w:vAlign w:val="center"/>
            <w:hideMark/>
          </w:tcPr>
          <w:p w14:paraId="34E085E5" w14:textId="29457887" w:rsidR="002F5CAB" w:rsidRPr="001E44F2" w:rsidRDefault="002F5CAB">
            <w:pPr>
              <w:spacing w:after="0"/>
              <w:rPr>
                <w:rFonts w:ascii="Calibri" w:eastAsia="Times New Roman" w:hAnsi="Calibri" w:cs="Calibri"/>
                <w:noProof/>
                <w:color w:val="000000"/>
                <w:lang w:val="en-IE" w:eastAsia="en-IE"/>
              </w:rPr>
            </w:pPr>
            <w:r w:rsidRPr="002C7E36">
              <w:rPr>
                <w:rFonts w:ascii="Calibri" w:hAnsi="Calibri" w:cs="Calibri"/>
                <w:noProof/>
                <w:color w:val="000000"/>
                <w:szCs w:val="20"/>
              </w:rPr>
              <w:t xml:space="preserve">Same as 7b + </w:t>
            </w:r>
            <w:r w:rsidR="00D8348A" w:rsidRPr="002C7E36">
              <w:rPr>
                <w:rFonts w:ascii="Calibri" w:hAnsi="Calibri" w:cs="Calibri"/>
                <w:noProof/>
                <w:color w:val="000000"/>
                <w:szCs w:val="20"/>
              </w:rPr>
              <w:t>additional efficiency gains (qualitatively assessed)</w:t>
            </w:r>
          </w:p>
        </w:tc>
        <w:tc>
          <w:tcPr>
            <w:tcW w:w="402" w:type="dxa"/>
            <w:tcBorders>
              <w:top w:val="nil"/>
              <w:left w:val="nil"/>
              <w:bottom w:val="nil"/>
              <w:right w:val="nil"/>
            </w:tcBorders>
            <w:shd w:val="clear" w:color="auto" w:fill="969696"/>
            <w:noWrap/>
            <w:vAlign w:val="center"/>
            <w:hideMark/>
          </w:tcPr>
          <w:p w14:paraId="247D81CD" w14:textId="77777777" w:rsidR="002F5CAB" w:rsidRPr="001E44F2" w:rsidRDefault="002F5CAB">
            <w:pPr>
              <w:spacing w:after="0"/>
              <w:rPr>
                <w:rFonts w:ascii="Arial" w:eastAsia="Times New Roman" w:hAnsi="Arial" w:cs="Arial"/>
                <w:noProof/>
                <w:szCs w:val="20"/>
                <w:lang w:val="en-IE" w:eastAsia="en-IE"/>
              </w:rPr>
            </w:pPr>
            <w:r w:rsidRPr="002C7E36">
              <w:rPr>
                <w:rFonts w:ascii="Arial" w:hAnsi="Arial" w:cs="Arial"/>
                <w:noProof/>
                <w:szCs w:val="20"/>
              </w:rPr>
              <w:t> </w:t>
            </w:r>
          </w:p>
        </w:tc>
        <w:tc>
          <w:tcPr>
            <w:tcW w:w="1028" w:type="dxa"/>
            <w:tcBorders>
              <w:top w:val="single" w:sz="4" w:space="0" w:color="auto"/>
              <w:left w:val="single" w:sz="4" w:space="0" w:color="auto"/>
              <w:bottom w:val="single" w:sz="4" w:space="0" w:color="auto"/>
              <w:right w:val="single" w:sz="4" w:space="0" w:color="auto"/>
            </w:tcBorders>
            <w:vAlign w:val="center"/>
            <w:hideMark/>
          </w:tcPr>
          <w:p w14:paraId="7DE9669E" w14:textId="1C89768E" w:rsidR="002F5CAB" w:rsidRPr="001E44F2" w:rsidRDefault="00BA26E7">
            <w:pPr>
              <w:spacing w:after="0"/>
              <w:jc w:val="center"/>
              <w:rPr>
                <w:rFonts w:ascii="Calibri" w:eastAsia="Times New Roman" w:hAnsi="Calibri" w:cs="Calibri"/>
                <w:noProof/>
                <w:color w:val="000000"/>
                <w:lang w:val="en-IE" w:eastAsia="en-IE"/>
              </w:rPr>
            </w:pPr>
            <w:r>
              <w:rPr>
                <w:rFonts w:ascii="Calibri" w:hAnsi="Calibri" w:cs="Calibri"/>
                <w:noProof/>
                <w:color w:val="000000"/>
                <w:szCs w:val="20"/>
              </w:rPr>
              <w:t xml:space="preserve">EUR </w:t>
            </w:r>
            <w:r w:rsidR="007C4FF9" w:rsidRPr="002C7E36">
              <w:rPr>
                <w:rFonts w:ascii="Calibri" w:hAnsi="Calibri" w:cs="Calibri"/>
                <w:noProof/>
                <w:color w:val="000000"/>
                <w:szCs w:val="20"/>
              </w:rPr>
              <w:t>90</w:t>
            </w:r>
            <w:r w:rsidR="002F5CAB" w:rsidRPr="002C7E36">
              <w:rPr>
                <w:rFonts w:ascii="Calibri" w:hAnsi="Calibri" w:cs="Calibri"/>
                <w:noProof/>
                <w:color w:val="000000"/>
                <w:szCs w:val="20"/>
              </w:rPr>
              <w:t>0.00</w:t>
            </w:r>
          </w:p>
        </w:tc>
        <w:tc>
          <w:tcPr>
            <w:tcW w:w="1184" w:type="dxa"/>
            <w:tcBorders>
              <w:top w:val="single" w:sz="4" w:space="0" w:color="auto"/>
              <w:left w:val="nil"/>
              <w:bottom w:val="single" w:sz="4" w:space="0" w:color="auto"/>
              <w:right w:val="single" w:sz="4" w:space="0" w:color="auto"/>
            </w:tcBorders>
            <w:vAlign w:val="center"/>
            <w:hideMark/>
          </w:tcPr>
          <w:p w14:paraId="7E12B0BC" w14:textId="77777777" w:rsidR="002F5CAB" w:rsidRPr="001E44F2" w:rsidRDefault="002F5CAB">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1157" w:type="dxa"/>
            <w:tcBorders>
              <w:top w:val="single" w:sz="4" w:space="0" w:color="auto"/>
              <w:left w:val="nil"/>
              <w:bottom w:val="single" w:sz="4" w:space="0" w:color="auto"/>
              <w:right w:val="single" w:sz="4" w:space="0" w:color="auto"/>
            </w:tcBorders>
            <w:vAlign w:val="center"/>
            <w:hideMark/>
          </w:tcPr>
          <w:p w14:paraId="2E130785" w14:textId="77777777" w:rsidR="002F5CAB" w:rsidRPr="001E44F2" w:rsidRDefault="002F5CAB">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 </w:t>
            </w:r>
          </w:p>
        </w:tc>
      </w:tr>
      <w:tr w:rsidR="00783610" w:rsidRPr="001E44F2" w14:paraId="0E2F0AC6" w14:textId="77777777" w:rsidTr="6F00936E">
        <w:trPr>
          <w:trHeight w:val="1343"/>
        </w:trPr>
        <w:tc>
          <w:tcPr>
            <w:tcW w:w="2400" w:type="dxa"/>
            <w:gridSpan w:val="3"/>
            <w:vMerge/>
            <w:vAlign w:val="center"/>
          </w:tcPr>
          <w:p w14:paraId="4E78A9E6" w14:textId="77777777" w:rsidR="00601E47" w:rsidRPr="001E44F2" w:rsidRDefault="00601E47" w:rsidP="002C7E36">
            <w:pPr>
              <w:spacing w:after="0"/>
              <w:rPr>
                <w:rFonts w:ascii="Calibri" w:eastAsia="Times New Roman" w:hAnsi="Calibri" w:cs="Calibri"/>
                <w:noProof/>
                <w:color w:val="000000"/>
                <w:lang w:val="en-IE" w:eastAsia="en-IE"/>
              </w:rPr>
            </w:pPr>
          </w:p>
        </w:tc>
        <w:tc>
          <w:tcPr>
            <w:tcW w:w="272" w:type="dxa"/>
            <w:tcBorders>
              <w:top w:val="nil"/>
              <w:left w:val="nil"/>
              <w:bottom w:val="nil"/>
              <w:right w:val="single" w:sz="4" w:space="0" w:color="auto"/>
            </w:tcBorders>
            <w:shd w:val="clear" w:color="auto" w:fill="969696"/>
            <w:vAlign w:val="center"/>
          </w:tcPr>
          <w:p w14:paraId="061AAD68" w14:textId="0A801510" w:rsidR="00601E47" w:rsidRPr="002C7E36" w:rsidRDefault="00601E47" w:rsidP="002C7E36">
            <w:pPr>
              <w:spacing w:after="0"/>
              <w:rPr>
                <w:rFonts w:ascii="Arial" w:eastAsia="Times New Roman" w:hAnsi="Arial" w:cs="Arial"/>
                <w:noProof/>
                <w:color w:val="808080"/>
                <w:szCs w:val="20"/>
                <w:lang w:val="en-IE" w:eastAsia="en-IE"/>
              </w:rPr>
            </w:pPr>
            <w:r w:rsidRPr="002C7E36">
              <w:rPr>
                <w:rFonts w:ascii="Arial" w:hAnsi="Arial" w:cs="Arial"/>
                <w:noProof/>
                <w:color w:val="808080"/>
                <w:szCs w:val="20"/>
              </w:rPr>
              <w:t> </w:t>
            </w:r>
          </w:p>
        </w:tc>
        <w:tc>
          <w:tcPr>
            <w:tcW w:w="928" w:type="dxa"/>
            <w:tcBorders>
              <w:top w:val="single" w:sz="4" w:space="0" w:color="auto"/>
              <w:left w:val="single" w:sz="4" w:space="0" w:color="auto"/>
              <w:bottom w:val="single" w:sz="4" w:space="0" w:color="auto"/>
              <w:right w:val="single" w:sz="4" w:space="0" w:color="auto"/>
            </w:tcBorders>
            <w:vAlign w:val="center"/>
          </w:tcPr>
          <w:p w14:paraId="487B3045" w14:textId="6EB4B9E9" w:rsidR="00601E47" w:rsidRPr="001E44F2" w:rsidRDefault="00601E47" w:rsidP="002C7E36">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1161" w:type="dxa"/>
            <w:tcBorders>
              <w:top w:val="single" w:sz="4" w:space="0" w:color="auto"/>
              <w:left w:val="nil"/>
              <w:bottom w:val="single" w:sz="4" w:space="0" w:color="auto"/>
              <w:right w:val="single" w:sz="4" w:space="0" w:color="auto"/>
            </w:tcBorders>
            <w:vAlign w:val="center"/>
          </w:tcPr>
          <w:p w14:paraId="38F79777" w14:textId="264D1B34" w:rsidR="00601E47" w:rsidRPr="001E44F2" w:rsidRDefault="00601E47" w:rsidP="002C7E36">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1</w:t>
            </w:r>
          </w:p>
        </w:tc>
        <w:tc>
          <w:tcPr>
            <w:tcW w:w="708" w:type="dxa"/>
            <w:tcBorders>
              <w:top w:val="single" w:sz="4" w:space="0" w:color="auto"/>
              <w:left w:val="nil"/>
              <w:bottom w:val="single" w:sz="4" w:space="0" w:color="auto"/>
              <w:right w:val="single" w:sz="4" w:space="0" w:color="auto"/>
            </w:tcBorders>
            <w:vAlign w:val="center"/>
          </w:tcPr>
          <w:p w14:paraId="0D7A8640" w14:textId="77196198" w:rsidR="00601E47" w:rsidRPr="001E44F2" w:rsidRDefault="00601E47" w:rsidP="002C7E36">
            <w:pPr>
              <w:spacing w:after="0"/>
              <w:jc w:val="right"/>
              <w:rPr>
                <w:rFonts w:ascii="Calibri" w:eastAsia="Times New Roman" w:hAnsi="Calibri" w:cs="Calibri"/>
                <w:noProof/>
                <w:lang w:val="en-IE" w:eastAsia="en-IE"/>
              </w:rPr>
            </w:pPr>
            <w:r w:rsidRPr="002C7E36">
              <w:rPr>
                <w:rFonts w:ascii="Calibri" w:hAnsi="Calibri" w:cs="Calibri"/>
                <w:noProof/>
                <w:szCs w:val="20"/>
              </w:rPr>
              <w:t>100%</w:t>
            </w:r>
          </w:p>
        </w:tc>
        <w:tc>
          <w:tcPr>
            <w:tcW w:w="1262"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07D0CCF" w14:textId="23C1FDE8" w:rsidR="00601E47" w:rsidRPr="001E44F2" w:rsidRDefault="00601E47" w:rsidP="002C7E36">
            <w:pPr>
              <w:spacing w:after="0"/>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402" w:type="dxa"/>
            <w:tcBorders>
              <w:top w:val="nil"/>
              <w:left w:val="nil"/>
              <w:bottom w:val="nil"/>
              <w:right w:val="nil"/>
            </w:tcBorders>
            <w:shd w:val="clear" w:color="auto" w:fill="969696"/>
            <w:noWrap/>
            <w:vAlign w:val="center"/>
          </w:tcPr>
          <w:p w14:paraId="48612695" w14:textId="64366028" w:rsidR="00601E47" w:rsidRPr="001E44F2" w:rsidRDefault="00601E47" w:rsidP="002C7E36">
            <w:pPr>
              <w:spacing w:after="0"/>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7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2039C" w14:textId="42CCCD4A" w:rsidR="00601E47" w:rsidRPr="001E44F2" w:rsidRDefault="00601E47" w:rsidP="002C7E36">
            <w:pPr>
              <w:spacing w:after="0"/>
              <w:jc w:val="center"/>
              <w:rPr>
                <w:rFonts w:ascii="Calibri" w:eastAsia="Times New Roman" w:hAnsi="Calibri" w:cs="Calibri"/>
                <w:noProof/>
                <w:color w:val="000000"/>
                <w:lang w:val="en-IE" w:eastAsia="en-IE"/>
              </w:rPr>
            </w:pPr>
          </w:p>
        </w:tc>
        <w:tc>
          <w:tcPr>
            <w:tcW w:w="850" w:type="dxa"/>
            <w:tcBorders>
              <w:top w:val="single" w:sz="4" w:space="0" w:color="auto"/>
              <w:left w:val="nil"/>
              <w:bottom w:val="single" w:sz="4" w:space="0" w:color="auto"/>
              <w:right w:val="single" w:sz="4" w:space="0" w:color="auto"/>
            </w:tcBorders>
            <w:shd w:val="clear" w:color="auto" w:fill="FFFFFF" w:themeFill="background1"/>
            <w:vAlign w:val="center"/>
          </w:tcPr>
          <w:p w14:paraId="18215D94" w14:textId="32807012" w:rsidR="00601E47" w:rsidRDefault="00601E47" w:rsidP="002C7E36">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1295" w:type="dxa"/>
            <w:tcBorders>
              <w:top w:val="single" w:sz="4" w:space="0" w:color="auto"/>
              <w:left w:val="nil"/>
              <w:bottom w:val="single" w:sz="4" w:space="0" w:color="auto"/>
              <w:right w:val="single" w:sz="4" w:space="0" w:color="auto"/>
            </w:tcBorders>
            <w:shd w:val="clear" w:color="auto" w:fill="FFFFFF" w:themeFill="background1"/>
            <w:vAlign w:val="center"/>
          </w:tcPr>
          <w:p w14:paraId="530FAB70" w14:textId="10F36529" w:rsidR="00601E47" w:rsidRDefault="00601E47" w:rsidP="002C7E36">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EUR 140 to 5</w:t>
            </w:r>
            <w:r w:rsidR="00773BE2">
              <w:rPr>
                <w:rFonts w:ascii="Calibri" w:hAnsi="Calibri" w:cs="Calibri"/>
                <w:noProof/>
                <w:color w:val="000000"/>
                <w:szCs w:val="20"/>
              </w:rPr>
              <w:t>,</w:t>
            </w:r>
            <w:r w:rsidRPr="002C7E36">
              <w:rPr>
                <w:rFonts w:ascii="Calibri" w:hAnsi="Calibri" w:cs="Calibri"/>
                <w:noProof/>
                <w:color w:val="000000"/>
                <w:szCs w:val="20"/>
              </w:rPr>
              <w:t>150 depending on share transfer value</w:t>
            </w:r>
          </w:p>
        </w:tc>
        <w:tc>
          <w:tcPr>
            <w:tcW w:w="1592" w:type="dxa"/>
            <w:vMerge/>
            <w:vAlign w:val="center"/>
          </w:tcPr>
          <w:p w14:paraId="1B30DC21" w14:textId="77777777" w:rsidR="00601E47" w:rsidRPr="001E44F2" w:rsidRDefault="00601E47" w:rsidP="002C7E36">
            <w:pPr>
              <w:spacing w:after="0"/>
              <w:rPr>
                <w:rFonts w:ascii="Calibri" w:eastAsia="Times New Roman" w:hAnsi="Calibri" w:cs="Calibri"/>
                <w:noProof/>
                <w:color w:val="000000"/>
                <w:lang w:val="en-IE" w:eastAsia="en-IE"/>
              </w:rPr>
            </w:pPr>
          </w:p>
        </w:tc>
        <w:tc>
          <w:tcPr>
            <w:tcW w:w="402" w:type="dxa"/>
            <w:tcBorders>
              <w:top w:val="nil"/>
              <w:left w:val="nil"/>
              <w:bottom w:val="nil"/>
              <w:right w:val="nil"/>
            </w:tcBorders>
            <w:shd w:val="clear" w:color="auto" w:fill="969696"/>
            <w:noWrap/>
            <w:vAlign w:val="center"/>
          </w:tcPr>
          <w:p w14:paraId="3C799BCE" w14:textId="45E0A021" w:rsidR="00601E47" w:rsidRPr="002C7E36" w:rsidRDefault="00601E47" w:rsidP="002C7E36">
            <w:pPr>
              <w:spacing w:after="0"/>
              <w:rPr>
                <w:rFonts w:ascii="Arial" w:eastAsia="Times New Roman" w:hAnsi="Arial" w:cs="Arial"/>
                <w:noProof/>
                <w:szCs w:val="20"/>
                <w:lang w:val="en-IE" w:eastAsia="en-IE"/>
              </w:rPr>
            </w:pPr>
            <w:r w:rsidRPr="002C7E36">
              <w:rPr>
                <w:rFonts w:ascii="Arial" w:hAnsi="Arial" w:cs="Arial"/>
                <w:noProof/>
                <w:szCs w:val="20"/>
              </w:rPr>
              <w:t> </w:t>
            </w:r>
          </w:p>
        </w:tc>
        <w:tc>
          <w:tcPr>
            <w:tcW w:w="1028" w:type="dxa"/>
            <w:tcBorders>
              <w:top w:val="single" w:sz="4" w:space="0" w:color="auto"/>
              <w:left w:val="single" w:sz="4" w:space="0" w:color="auto"/>
              <w:bottom w:val="single" w:sz="4" w:space="0" w:color="auto"/>
              <w:right w:val="single" w:sz="4" w:space="0" w:color="auto"/>
            </w:tcBorders>
            <w:vAlign w:val="center"/>
          </w:tcPr>
          <w:p w14:paraId="205B020F" w14:textId="089D12D8" w:rsidR="00601E47" w:rsidRDefault="00BA26E7" w:rsidP="002C7E36">
            <w:pPr>
              <w:spacing w:after="0"/>
              <w:jc w:val="center"/>
              <w:rPr>
                <w:rFonts w:ascii="Calibri" w:eastAsia="Times New Roman" w:hAnsi="Calibri" w:cs="Calibri"/>
                <w:noProof/>
                <w:color w:val="000000"/>
                <w:lang w:val="en-IE" w:eastAsia="en-IE"/>
              </w:rPr>
            </w:pPr>
            <w:r>
              <w:rPr>
                <w:rFonts w:ascii="Calibri" w:hAnsi="Calibri" w:cs="Calibri"/>
                <w:noProof/>
                <w:color w:val="000000"/>
                <w:szCs w:val="20"/>
              </w:rPr>
              <w:t xml:space="preserve">EUR </w:t>
            </w:r>
            <w:r w:rsidR="00601E47" w:rsidRPr="002C7E36">
              <w:rPr>
                <w:rFonts w:ascii="Calibri" w:hAnsi="Calibri" w:cs="Calibri"/>
                <w:noProof/>
                <w:color w:val="000000"/>
                <w:szCs w:val="20"/>
              </w:rPr>
              <w:t>140.00 to 5</w:t>
            </w:r>
            <w:r w:rsidR="00773BE2">
              <w:rPr>
                <w:rFonts w:ascii="Calibri" w:hAnsi="Calibri" w:cs="Calibri"/>
                <w:noProof/>
                <w:color w:val="000000"/>
                <w:szCs w:val="20"/>
              </w:rPr>
              <w:t>,</w:t>
            </w:r>
            <w:r w:rsidR="00601E47" w:rsidRPr="002C7E36">
              <w:rPr>
                <w:rFonts w:ascii="Calibri" w:hAnsi="Calibri" w:cs="Calibri"/>
                <w:noProof/>
                <w:color w:val="000000"/>
                <w:szCs w:val="20"/>
              </w:rPr>
              <w:t>150.00</w:t>
            </w:r>
          </w:p>
        </w:tc>
        <w:tc>
          <w:tcPr>
            <w:tcW w:w="1184" w:type="dxa"/>
            <w:tcBorders>
              <w:top w:val="single" w:sz="4" w:space="0" w:color="auto"/>
              <w:left w:val="nil"/>
              <w:bottom w:val="single" w:sz="4" w:space="0" w:color="auto"/>
              <w:right w:val="single" w:sz="4" w:space="0" w:color="auto"/>
            </w:tcBorders>
            <w:vAlign w:val="center"/>
          </w:tcPr>
          <w:p w14:paraId="5E6AB338" w14:textId="27E419F5" w:rsidR="00601E47" w:rsidRPr="001E44F2" w:rsidRDefault="00601E47" w:rsidP="002C7E36">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 </w:t>
            </w:r>
          </w:p>
        </w:tc>
        <w:tc>
          <w:tcPr>
            <w:tcW w:w="1157" w:type="dxa"/>
            <w:tcBorders>
              <w:top w:val="single" w:sz="4" w:space="0" w:color="auto"/>
              <w:left w:val="nil"/>
              <w:bottom w:val="single" w:sz="4" w:space="0" w:color="auto"/>
              <w:right w:val="single" w:sz="4" w:space="0" w:color="auto"/>
            </w:tcBorders>
            <w:vAlign w:val="center"/>
          </w:tcPr>
          <w:p w14:paraId="3E6A46E8" w14:textId="74C493EF" w:rsidR="00601E47" w:rsidRPr="001E44F2" w:rsidRDefault="00601E47" w:rsidP="002C7E36">
            <w:pPr>
              <w:spacing w:after="0"/>
              <w:jc w:val="center"/>
              <w:rPr>
                <w:rFonts w:ascii="Calibri" w:eastAsia="Times New Roman" w:hAnsi="Calibri" w:cs="Calibri"/>
                <w:noProof/>
                <w:color w:val="000000"/>
                <w:lang w:val="en-IE" w:eastAsia="en-IE"/>
              </w:rPr>
            </w:pPr>
            <w:r w:rsidRPr="002C7E36">
              <w:rPr>
                <w:rFonts w:ascii="Calibri" w:hAnsi="Calibri" w:cs="Calibri"/>
                <w:noProof/>
                <w:color w:val="000000"/>
                <w:szCs w:val="20"/>
              </w:rPr>
              <w:t> </w:t>
            </w:r>
          </w:p>
        </w:tc>
      </w:tr>
      <w:tr w:rsidR="00783610" w:rsidRPr="001E44F2" w14:paraId="767B2A10" w14:textId="77777777" w:rsidTr="6F00936E">
        <w:trPr>
          <w:trHeight w:val="300"/>
        </w:trPr>
        <w:tc>
          <w:tcPr>
            <w:tcW w:w="428" w:type="dxa"/>
            <w:tcBorders>
              <w:top w:val="nil"/>
              <w:left w:val="single" w:sz="8" w:space="0" w:color="auto"/>
              <w:bottom w:val="single" w:sz="8" w:space="0" w:color="auto"/>
              <w:right w:val="nil"/>
            </w:tcBorders>
            <w:shd w:val="clear" w:color="auto" w:fill="305496"/>
            <w:noWrap/>
            <w:vAlign w:val="center"/>
            <w:hideMark/>
          </w:tcPr>
          <w:p w14:paraId="455F7BDC"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413" w:type="dxa"/>
            <w:tcBorders>
              <w:top w:val="nil"/>
              <w:left w:val="nil"/>
              <w:bottom w:val="single" w:sz="8" w:space="0" w:color="auto"/>
              <w:right w:val="nil"/>
            </w:tcBorders>
            <w:shd w:val="clear" w:color="auto" w:fill="305496"/>
            <w:noWrap/>
            <w:vAlign w:val="center"/>
            <w:hideMark/>
          </w:tcPr>
          <w:p w14:paraId="7B1F7B37"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559" w:type="dxa"/>
            <w:tcBorders>
              <w:top w:val="nil"/>
              <w:left w:val="nil"/>
              <w:bottom w:val="single" w:sz="8" w:space="0" w:color="auto"/>
              <w:right w:val="nil"/>
            </w:tcBorders>
            <w:shd w:val="clear" w:color="auto" w:fill="305496"/>
            <w:noWrap/>
            <w:vAlign w:val="center"/>
            <w:hideMark/>
          </w:tcPr>
          <w:p w14:paraId="01C6D416"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272" w:type="dxa"/>
            <w:tcBorders>
              <w:top w:val="nil"/>
              <w:left w:val="nil"/>
              <w:bottom w:val="nil"/>
              <w:right w:val="nil"/>
            </w:tcBorders>
            <w:shd w:val="clear" w:color="auto" w:fill="969696"/>
            <w:vAlign w:val="center"/>
            <w:hideMark/>
          </w:tcPr>
          <w:p w14:paraId="43C30112" w14:textId="77777777" w:rsidR="002F5CAB" w:rsidRPr="001E44F2" w:rsidRDefault="002F5CAB">
            <w:pPr>
              <w:spacing w:after="0"/>
              <w:rPr>
                <w:rFonts w:ascii="Arial" w:eastAsia="Times New Roman" w:hAnsi="Arial" w:cs="Arial"/>
                <w:noProof/>
                <w:color w:val="808080"/>
                <w:szCs w:val="20"/>
                <w:lang w:val="en-IE" w:eastAsia="en-IE"/>
              </w:rPr>
            </w:pPr>
            <w:r w:rsidRPr="001E44F2">
              <w:rPr>
                <w:rFonts w:ascii="Arial" w:eastAsia="Times New Roman" w:hAnsi="Arial" w:cs="Arial"/>
                <w:noProof/>
                <w:color w:val="808080"/>
                <w:szCs w:val="20"/>
                <w:lang w:val="en-IE" w:eastAsia="en-IE"/>
              </w:rPr>
              <w:t> </w:t>
            </w:r>
          </w:p>
        </w:tc>
        <w:tc>
          <w:tcPr>
            <w:tcW w:w="928" w:type="dxa"/>
            <w:tcBorders>
              <w:top w:val="nil"/>
              <w:left w:val="single" w:sz="4" w:space="0" w:color="auto"/>
              <w:bottom w:val="single" w:sz="8" w:space="0" w:color="auto"/>
              <w:right w:val="nil"/>
            </w:tcBorders>
            <w:shd w:val="clear" w:color="auto" w:fill="8EA9DB"/>
            <w:noWrap/>
            <w:vAlign w:val="center"/>
            <w:hideMark/>
          </w:tcPr>
          <w:p w14:paraId="2B0CE868"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161" w:type="dxa"/>
            <w:tcBorders>
              <w:top w:val="nil"/>
              <w:left w:val="single" w:sz="4" w:space="0" w:color="auto"/>
              <w:bottom w:val="single" w:sz="8" w:space="0" w:color="auto"/>
              <w:right w:val="nil"/>
            </w:tcBorders>
            <w:shd w:val="clear" w:color="auto" w:fill="8EA9DB"/>
            <w:noWrap/>
            <w:vAlign w:val="center"/>
            <w:hideMark/>
          </w:tcPr>
          <w:p w14:paraId="293CB899"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708" w:type="dxa"/>
            <w:tcBorders>
              <w:top w:val="nil"/>
              <w:left w:val="single" w:sz="4" w:space="0" w:color="auto"/>
              <w:bottom w:val="single" w:sz="8" w:space="0" w:color="auto"/>
              <w:right w:val="nil"/>
            </w:tcBorders>
            <w:shd w:val="clear" w:color="auto" w:fill="8EA9DB"/>
            <w:noWrap/>
            <w:vAlign w:val="center"/>
            <w:hideMark/>
          </w:tcPr>
          <w:p w14:paraId="19827EC1"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262" w:type="dxa"/>
            <w:gridSpan w:val="2"/>
            <w:tcBorders>
              <w:top w:val="nil"/>
              <w:left w:val="single" w:sz="4" w:space="0" w:color="auto"/>
              <w:bottom w:val="single" w:sz="8" w:space="0" w:color="auto"/>
              <w:right w:val="nil"/>
            </w:tcBorders>
            <w:shd w:val="clear" w:color="auto" w:fill="8EA9DB"/>
            <w:noWrap/>
            <w:vAlign w:val="center"/>
            <w:hideMark/>
          </w:tcPr>
          <w:p w14:paraId="3E457C4B" w14:textId="77777777" w:rsidR="002F5CAB" w:rsidRPr="001E44F2" w:rsidRDefault="002F5CAB">
            <w:pPr>
              <w:spacing w:after="0"/>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402" w:type="dxa"/>
            <w:tcBorders>
              <w:top w:val="nil"/>
              <w:left w:val="nil"/>
              <w:bottom w:val="nil"/>
              <w:right w:val="nil"/>
            </w:tcBorders>
            <w:shd w:val="clear" w:color="auto" w:fill="969696"/>
            <w:noWrap/>
            <w:vAlign w:val="center"/>
            <w:hideMark/>
          </w:tcPr>
          <w:p w14:paraId="0ABE1C58"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795" w:type="dxa"/>
            <w:tcBorders>
              <w:top w:val="nil"/>
              <w:left w:val="single" w:sz="4" w:space="0" w:color="auto"/>
              <w:bottom w:val="single" w:sz="8" w:space="0" w:color="auto"/>
              <w:right w:val="nil"/>
            </w:tcBorders>
            <w:shd w:val="clear" w:color="auto" w:fill="C6E0B4"/>
            <w:noWrap/>
            <w:vAlign w:val="center"/>
            <w:hideMark/>
          </w:tcPr>
          <w:p w14:paraId="3A52204E"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850" w:type="dxa"/>
            <w:tcBorders>
              <w:top w:val="nil"/>
              <w:left w:val="single" w:sz="4" w:space="0" w:color="auto"/>
              <w:bottom w:val="single" w:sz="8" w:space="0" w:color="auto"/>
              <w:right w:val="nil"/>
            </w:tcBorders>
            <w:shd w:val="clear" w:color="auto" w:fill="C6E0B4"/>
            <w:noWrap/>
            <w:vAlign w:val="center"/>
            <w:hideMark/>
          </w:tcPr>
          <w:p w14:paraId="7BAE1CFC" w14:textId="77777777" w:rsidR="002F5CAB" w:rsidRPr="001E44F2" w:rsidRDefault="002F5CAB">
            <w:pPr>
              <w:spacing w:after="0"/>
              <w:jc w:val="center"/>
              <w:rPr>
                <w:rFonts w:ascii="Arial" w:eastAsia="Times New Roman" w:hAnsi="Arial" w:cs="Arial"/>
                <w:b/>
                <w:bCs/>
                <w:noProof/>
                <w:color w:val="FFFFFF"/>
                <w:szCs w:val="20"/>
                <w:lang w:val="en-IE" w:eastAsia="en-IE"/>
              </w:rPr>
            </w:pPr>
            <w:r w:rsidRPr="001E44F2">
              <w:rPr>
                <w:rFonts w:ascii="Arial" w:eastAsia="Times New Roman" w:hAnsi="Arial" w:cs="Arial"/>
                <w:b/>
                <w:bCs/>
                <w:noProof/>
                <w:color w:val="FFFFFF"/>
                <w:szCs w:val="20"/>
                <w:lang w:val="en-IE" w:eastAsia="en-IE"/>
              </w:rPr>
              <w:t> </w:t>
            </w:r>
          </w:p>
        </w:tc>
        <w:tc>
          <w:tcPr>
            <w:tcW w:w="1295" w:type="dxa"/>
            <w:tcBorders>
              <w:top w:val="nil"/>
              <w:left w:val="single" w:sz="4" w:space="0" w:color="auto"/>
              <w:bottom w:val="single" w:sz="8" w:space="0" w:color="auto"/>
              <w:right w:val="nil"/>
            </w:tcBorders>
            <w:shd w:val="clear" w:color="auto" w:fill="C6E0B4"/>
            <w:vAlign w:val="center"/>
            <w:hideMark/>
          </w:tcPr>
          <w:p w14:paraId="619AE8C7"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1592" w:type="dxa"/>
            <w:tcBorders>
              <w:top w:val="nil"/>
              <w:left w:val="single" w:sz="4" w:space="0" w:color="auto"/>
              <w:bottom w:val="single" w:sz="8" w:space="0" w:color="auto"/>
              <w:right w:val="nil"/>
            </w:tcBorders>
            <w:shd w:val="clear" w:color="auto" w:fill="C6E0B4"/>
            <w:vAlign w:val="center"/>
            <w:hideMark/>
          </w:tcPr>
          <w:p w14:paraId="0EE1169A" w14:textId="77777777" w:rsidR="002F5CAB" w:rsidRPr="001E44F2" w:rsidRDefault="002F5CAB">
            <w:pPr>
              <w:spacing w:after="0"/>
              <w:rPr>
                <w:rFonts w:ascii="Calibri" w:eastAsia="Times New Roman" w:hAnsi="Calibri" w:cs="Calibri"/>
                <w:noProof/>
                <w:color w:val="000000"/>
                <w:lang w:val="en-IE" w:eastAsia="en-IE"/>
              </w:rPr>
            </w:pPr>
            <w:r w:rsidRPr="001E44F2">
              <w:rPr>
                <w:rFonts w:ascii="Calibri" w:eastAsia="Times New Roman" w:hAnsi="Calibri" w:cs="Calibri"/>
                <w:noProof/>
                <w:color w:val="000000"/>
                <w:lang w:val="en-IE" w:eastAsia="en-IE"/>
              </w:rPr>
              <w:t> </w:t>
            </w:r>
          </w:p>
        </w:tc>
        <w:tc>
          <w:tcPr>
            <w:tcW w:w="402" w:type="dxa"/>
            <w:tcBorders>
              <w:top w:val="nil"/>
              <w:left w:val="nil"/>
              <w:bottom w:val="nil"/>
              <w:right w:val="nil"/>
            </w:tcBorders>
            <w:shd w:val="clear" w:color="auto" w:fill="969696"/>
            <w:noWrap/>
            <w:vAlign w:val="center"/>
            <w:hideMark/>
          </w:tcPr>
          <w:p w14:paraId="6C2CD288" w14:textId="77777777" w:rsidR="002F5CAB" w:rsidRPr="001E44F2" w:rsidRDefault="002F5CAB">
            <w:pPr>
              <w:spacing w:after="0"/>
              <w:rPr>
                <w:rFonts w:ascii="Arial" w:eastAsia="Times New Roman" w:hAnsi="Arial" w:cs="Arial"/>
                <w:noProof/>
                <w:szCs w:val="20"/>
                <w:lang w:val="en-IE" w:eastAsia="en-IE"/>
              </w:rPr>
            </w:pPr>
            <w:r w:rsidRPr="001E44F2">
              <w:rPr>
                <w:rFonts w:ascii="Arial" w:eastAsia="Times New Roman" w:hAnsi="Arial" w:cs="Arial"/>
                <w:noProof/>
                <w:szCs w:val="20"/>
                <w:lang w:val="en-IE" w:eastAsia="en-IE"/>
              </w:rPr>
              <w:t> </w:t>
            </w:r>
          </w:p>
        </w:tc>
        <w:tc>
          <w:tcPr>
            <w:tcW w:w="2212" w:type="dxa"/>
            <w:gridSpan w:val="2"/>
            <w:tcBorders>
              <w:top w:val="nil"/>
              <w:left w:val="single" w:sz="8" w:space="0" w:color="auto"/>
              <w:bottom w:val="single" w:sz="8" w:space="0" w:color="auto"/>
              <w:right w:val="nil"/>
            </w:tcBorders>
            <w:shd w:val="clear" w:color="auto" w:fill="DBDBDB"/>
            <w:noWrap/>
            <w:vAlign w:val="center"/>
            <w:hideMark/>
          </w:tcPr>
          <w:p w14:paraId="0E959B47" w14:textId="77777777" w:rsidR="002F5CAB" w:rsidRPr="001E44F2" w:rsidRDefault="002F5CAB">
            <w:pPr>
              <w:spacing w:after="0"/>
              <w:jc w:val="center"/>
              <w:rPr>
                <w:rFonts w:ascii="Arial" w:eastAsia="Times New Roman" w:hAnsi="Arial" w:cs="Arial"/>
                <w:b/>
                <w:bCs/>
                <w:noProof/>
                <w:szCs w:val="20"/>
                <w:lang w:val="en-IE" w:eastAsia="en-IE"/>
              </w:rPr>
            </w:pPr>
            <w:r w:rsidRPr="001E44F2">
              <w:rPr>
                <w:rFonts w:ascii="Arial" w:eastAsia="Times New Roman" w:hAnsi="Arial" w:cs="Arial"/>
                <w:b/>
                <w:bCs/>
                <w:noProof/>
                <w:szCs w:val="20"/>
                <w:lang w:val="en-IE" w:eastAsia="en-IE"/>
              </w:rPr>
              <w:t>Admin burden reduction PO7c</w:t>
            </w:r>
          </w:p>
        </w:tc>
        <w:tc>
          <w:tcPr>
            <w:tcW w:w="1157" w:type="dxa"/>
            <w:tcBorders>
              <w:top w:val="nil"/>
              <w:left w:val="single" w:sz="8" w:space="0" w:color="auto"/>
              <w:bottom w:val="single" w:sz="8" w:space="0" w:color="auto"/>
              <w:right w:val="single" w:sz="8" w:space="0" w:color="auto"/>
            </w:tcBorders>
            <w:shd w:val="clear" w:color="auto" w:fill="DBDBDB"/>
            <w:noWrap/>
            <w:vAlign w:val="center"/>
            <w:hideMark/>
          </w:tcPr>
          <w:p w14:paraId="1C72AD9D" w14:textId="041F16C2" w:rsidR="002F5CAB" w:rsidRPr="001E44F2" w:rsidRDefault="10EBA341" w:rsidP="6F00936E">
            <w:pPr>
              <w:spacing w:after="0"/>
              <w:jc w:val="center"/>
              <w:rPr>
                <w:rFonts w:ascii="Arial" w:eastAsia="Times New Roman" w:hAnsi="Arial" w:cs="Arial"/>
                <w:b/>
                <w:bCs/>
                <w:noProof/>
                <w:lang w:val="en-IE" w:eastAsia="en-IE"/>
              </w:rPr>
            </w:pPr>
            <w:r w:rsidRPr="6F00936E">
              <w:rPr>
                <w:rFonts w:ascii="Arial" w:eastAsia="Times New Roman" w:hAnsi="Arial" w:cs="Arial"/>
                <w:b/>
                <w:bCs/>
                <w:noProof/>
                <w:lang w:val="en-IE" w:eastAsia="en-IE"/>
              </w:rPr>
              <w:t xml:space="preserve"> </w:t>
            </w:r>
            <w:r w:rsidR="0A4150B5" w:rsidRPr="6F00936E">
              <w:rPr>
                <w:rFonts w:ascii="Arial" w:eastAsia="Times New Roman" w:hAnsi="Arial" w:cs="Arial"/>
                <w:b/>
                <w:bCs/>
                <w:noProof/>
                <w:lang w:val="en-IE" w:eastAsia="en-IE"/>
              </w:rPr>
              <w:t>EUR</w:t>
            </w:r>
            <w:r w:rsidRPr="6F00936E">
              <w:rPr>
                <w:rFonts w:ascii="Arial" w:eastAsia="Times New Roman" w:hAnsi="Arial" w:cs="Arial"/>
                <w:b/>
                <w:bCs/>
                <w:noProof/>
                <w:lang w:val="en-IE" w:eastAsia="en-IE"/>
              </w:rPr>
              <w:t xml:space="preserve">                   -   </w:t>
            </w:r>
          </w:p>
        </w:tc>
      </w:tr>
    </w:tbl>
    <w:p w14:paraId="3624001D" w14:textId="53B8D668" w:rsidR="00574D98" w:rsidRDefault="00574D98" w:rsidP="004F2887">
      <w:pPr>
        <w:jc w:val="both"/>
        <w:rPr>
          <w:rFonts w:eastAsia="Times New Roman" w:cs="Times New Roman"/>
          <w:noProof/>
          <w:color w:val="auto"/>
          <w:sz w:val="22"/>
          <w:lang w:val="en-IE" w:eastAsia="en-IE"/>
        </w:rPr>
      </w:pPr>
    </w:p>
    <w:p w14:paraId="2F63A090" w14:textId="77777777" w:rsidR="00574D98" w:rsidRDefault="00574D98" w:rsidP="004F2887">
      <w:pPr>
        <w:jc w:val="both"/>
        <w:rPr>
          <w:rFonts w:eastAsia="Times New Roman" w:cs="Times New Roman"/>
          <w:noProof/>
          <w:color w:val="auto"/>
          <w:sz w:val="22"/>
          <w:lang w:val="en-IE" w:eastAsia="en-IE"/>
        </w:rPr>
      </w:pPr>
    </w:p>
    <w:p w14:paraId="314BCDA9" w14:textId="57455B8C" w:rsidR="004F2887" w:rsidRPr="004F7433" w:rsidRDefault="004F2887" w:rsidP="004F2887">
      <w:pPr>
        <w:jc w:val="both"/>
        <w:rPr>
          <w:rFonts w:eastAsia="Times New Roman" w:cs="Times New Roman"/>
          <w:noProof/>
          <w:color w:val="auto"/>
          <w:sz w:val="22"/>
          <w:lang w:val="en-IE" w:eastAsia="en-IE"/>
        </w:rPr>
      </w:pPr>
      <w:r w:rsidRPr="004F7433">
        <w:rPr>
          <w:rFonts w:eastAsia="Times New Roman" w:cs="Times New Roman"/>
          <w:noProof/>
          <w:color w:val="auto"/>
          <w:sz w:val="22"/>
          <w:lang w:val="en-IE" w:eastAsia="en-IE"/>
        </w:rPr>
        <w:t>The tables below provide an analysis of the efficiency of the various policy options based on the mapping of the impacts. Not all impacts are applicable to all policy options, as the initiative consists of a modular set of measures targeting different stages of company creation, operation, financing and exit, as well as interactions with public authorities. Some policy options primarily affect the initial establishment of companies, others their governance arrangements, access to finance, restructuring or exit conditions. Accordingly, efficiency gains and costs are assessed only where a clear causal link exists between the measure and the relevant impact category. This approach avoids artificial attribution of effects, prevents double counting, and ensures consistency with the intervention logic and the Better Regulation Guidelines</w:t>
      </w:r>
      <w:r w:rsidR="003C7B2D">
        <w:rPr>
          <w:rFonts w:eastAsia="Times New Roman" w:cs="Times New Roman"/>
          <w:noProof/>
          <w:color w:val="auto"/>
          <w:sz w:val="22"/>
          <w:lang w:val="en-IE" w:eastAsia="en-IE"/>
        </w:rPr>
        <w:t>.</w:t>
      </w:r>
    </w:p>
    <w:p w14:paraId="76A7A3C1" w14:textId="77777777" w:rsidR="004F2887" w:rsidRPr="004F7433" w:rsidRDefault="004F2887" w:rsidP="004F2887">
      <w:pPr>
        <w:jc w:val="both"/>
        <w:rPr>
          <w:rFonts w:eastAsia="Times New Roman" w:cs="Times New Roman"/>
          <w:noProof/>
          <w:color w:val="auto"/>
          <w:sz w:val="22"/>
          <w:lang w:val="en-IE" w:eastAsia="en-IE"/>
        </w:rPr>
      </w:pPr>
    </w:p>
    <w:p w14:paraId="1577C187" w14:textId="44CC4EC5" w:rsidR="00DC24C0" w:rsidRPr="009705F3" w:rsidRDefault="00DC24C0" w:rsidP="00DC24C0">
      <w:pPr>
        <w:pStyle w:val="Heading2"/>
        <w:numPr>
          <w:ilvl w:val="0"/>
          <w:numId w:val="0"/>
        </w:numPr>
        <w:ind w:left="680"/>
        <w:rPr>
          <w:rFonts w:eastAsia="Courier New"/>
          <w:i/>
          <w:iCs/>
          <w:noProof/>
          <w:u w:val="single"/>
        </w:rPr>
      </w:pPr>
      <w:r w:rsidRPr="00C15741">
        <w:rPr>
          <w:rFonts w:eastAsia="Courier New"/>
          <w:noProof/>
          <w:u w:val="single"/>
        </w:rPr>
        <w:t xml:space="preserve">Policy options 1 </w:t>
      </w:r>
      <w:bookmarkEnd w:id="55"/>
      <w:bookmarkEnd w:id="56"/>
      <w:bookmarkEnd w:id="57"/>
      <w:bookmarkEnd w:id="58"/>
      <w:bookmarkEnd w:id="59"/>
      <w:bookmarkEnd w:id="60"/>
      <w:bookmarkEnd w:id="61"/>
      <w:bookmarkEnd w:id="62"/>
      <w:r w:rsidRPr="004C378E">
        <w:rPr>
          <w:rFonts w:eastAsia="Courier New"/>
          <w:noProof/>
          <w:u w:val="single"/>
        </w:rPr>
        <w:t>to</w:t>
      </w:r>
      <w:r w:rsidRPr="009705F3">
        <w:rPr>
          <w:rFonts w:eastAsia="Courier New"/>
          <w:i/>
          <w:iCs/>
          <w:noProof/>
          <w:u w:val="single"/>
        </w:rPr>
        <w:t xml:space="preserve"> </w:t>
      </w:r>
      <w:r w:rsidRPr="004C378E">
        <w:rPr>
          <w:rFonts w:eastAsia="Courier New"/>
          <w:noProof/>
          <w:u w:val="single"/>
        </w:rPr>
        <w:t>provide a harmonised company legal form for entrepreneurs</w:t>
      </w:r>
    </w:p>
    <w:p w14:paraId="2A0437B4" w14:textId="68C55108" w:rsidR="009705F3" w:rsidRPr="009705F3" w:rsidRDefault="009705F3" w:rsidP="00C4288E">
      <w:pPr>
        <w:pStyle w:val="Heading2"/>
        <w:numPr>
          <w:ilvl w:val="0"/>
          <w:numId w:val="15"/>
        </w:numPr>
        <w:jc w:val="both"/>
        <w:rPr>
          <w:rFonts w:eastAsia="Courier New"/>
          <w:b w:val="0"/>
          <w:bCs w:val="0"/>
          <w:noProof/>
          <w:sz w:val="20"/>
          <w:szCs w:val="24"/>
        </w:rPr>
      </w:pPr>
      <w:r w:rsidRPr="009705F3">
        <w:rPr>
          <w:rFonts w:eastAsia="Courier New"/>
          <w:b w:val="0"/>
          <w:bCs w:val="0"/>
          <w:noProof/>
          <w:sz w:val="20"/>
          <w:szCs w:val="24"/>
        </w:rPr>
        <w:t>Policy option 1a - Introduce a new harmonised legal form for a 28</w:t>
      </w:r>
      <w:r w:rsidRPr="00E57C3A">
        <w:rPr>
          <w:rFonts w:eastAsia="Courier New"/>
          <w:b w:val="0"/>
          <w:noProof/>
          <w:sz w:val="20"/>
          <w:szCs w:val="24"/>
          <w:vertAlign w:val="superscript"/>
        </w:rPr>
        <w:t>th</w:t>
      </w:r>
      <w:r w:rsidRPr="009705F3">
        <w:rPr>
          <w:rFonts w:eastAsia="Courier New"/>
          <w:b w:val="0"/>
          <w:bCs w:val="0"/>
          <w:noProof/>
          <w:sz w:val="20"/>
          <w:szCs w:val="24"/>
        </w:rPr>
        <w:t xml:space="preserve"> regime company with a recognisable EU brand</w:t>
      </w:r>
      <w:r w:rsidR="007D3034">
        <w:rPr>
          <w:rFonts w:eastAsia="Courier New"/>
          <w:b w:val="0"/>
          <w:bCs w:val="0"/>
          <w:noProof/>
          <w:sz w:val="20"/>
          <w:szCs w:val="24"/>
        </w:rPr>
        <w:t>, to be set up by</w:t>
      </w:r>
      <w:r w:rsidRPr="009705F3">
        <w:rPr>
          <w:rFonts w:eastAsia="Courier New"/>
          <w:b w:val="0"/>
          <w:bCs w:val="0"/>
          <w:noProof/>
          <w:sz w:val="20"/>
          <w:szCs w:val="24"/>
        </w:rPr>
        <w:t xml:space="preserve"> </w:t>
      </w:r>
      <w:r w:rsidR="007D3034">
        <w:rPr>
          <w:rFonts w:eastAsia="Courier New"/>
          <w:b w:val="0"/>
          <w:bCs w:val="0"/>
          <w:noProof/>
          <w:sz w:val="20"/>
          <w:szCs w:val="24"/>
        </w:rPr>
        <w:t>n</w:t>
      </w:r>
      <w:r w:rsidRPr="009705F3">
        <w:rPr>
          <w:rFonts w:eastAsia="Courier New"/>
          <w:b w:val="0"/>
          <w:bCs w:val="0"/>
          <w:noProof/>
          <w:sz w:val="20"/>
          <w:szCs w:val="24"/>
        </w:rPr>
        <w:t>atural persons as founders.</w:t>
      </w:r>
    </w:p>
    <w:p w14:paraId="7ED9B0C8" w14:textId="23927547" w:rsidR="009705F3" w:rsidRPr="009705F3" w:rsidRDefault="009705F3" w:rsidP="00C4288E">
      <w:pPr>
        <w:pStyle w:val="Heading2"/>
        <w:numPr>
          <w:ilvl w:val="0"/>
          <w:numId w:val="15"/>
        </w:numPr>
        <w:jc w:val="both"/>
        <w:rPr>
          <w:rFonts w:eastAsia="Courier New"/>
          <w:b w:val="0"/>
          <w:bCs w:val="0"/>
          <w:noProof/>
          <w:sz w:val="20"/>
          <w:szCs w:val="24"/>
        </w:rPr>
      </w:pPr>
      <w:r w:rsidRPr="009705F3">
        <w:rPr>
          <w:rFonts w:eastAsia="Courier New"/>
          <w:b w:val="0"/>
          <w:bCs w:val="0"/>
          <w:noProof/>
          <w:sz w:val="20"/>
          <w:szCs w:val="24"/>
        </w:rPr>
        <w:t xml:space="preserve">Policy option 1b - Option 1a + </w:t>
      </w:r>
      <w:r w:rsidR="007D3034">
        <w:rPr>
          <w:rFonts w:eastAsia="Courier New"/>
          <w:b w:val="0"/>
          <w:bCs w:val="0"/>
          <w:noProof/>
          <w:sz w:val="20"/>
          <w:szCs w:val="24"/>
        </w:rPr>
        <w:t xml:space="preserve">to be set up </w:t>
      </w:r>
      <w:r w:rsidRPr="009705F3">
        <w:rPr>
          <w:rFonts w:eastAsia="Courier New"/>
          <w:b w:val="0"/>
          <w:bCs w:val="0"/>
          <w:noProof/>
          <w:sz w:val="20"/>
          <w:szCs w:val="24"/>
        </w:rPr>
        <w:t xml:space="preserve">also </w:t>
      </w:r>
      <w:r w:rsidR="007D3034">
        <w:rPr>
          <w:rFonts w:eastAsia="Courier New"/>
          <w:b w:val="0"/>
          <w:bCs w:val="0"/>
          <w:noProof/>
          <w:sz w:val="20"/>
          <w:szCs w:val="24"/>
        </w:rPr>
        <w:t>by</w:t>
      </w:r>
      <w:r w:rsidRPr="009705F3">
        <w:rPr>
          <w:rFonts w:eastAsia="Courier New"/>
          <w:b w:val="0"/>
          <w:bCs w:val="0"/>
          <w:noProof/>
          <w:sz w:val="20"/>
          <w:szCs w:val="24"/>
        </w:rPr>
        <w:t xml:space="preserve"> legal persons (28</w:t>
      </w:r>
      <w:r w:rsidRPr="00E57C3A">
        <w:rPr>
          <w:rFonts w:eastAsia="Courier New"/>
          <w:b w:val="0"/>
          <w:noProof/>
          <w:sz w:val="20"/>
          <w:szCs w:val="24"/>
          <w:vertAlign w:val="superscript"/>
        </w:rPr>
        <w:t>th</w:t>
      </w:r>
      <w:r w:rsidRPr="009705F3">
        <w:rPr>
          <w:rFonts w:eastAsia="Courier New"/>
          <w:b w:val="0"/>
          <w:bCs w:val="0"/>
          <w:noProof/>
          <w:sz w:val="20"/>
          <w:szCs w:val="24"/>
        </w:rPr>
        <w:t xml:space="preserve"> regime subsidiaries)</w:t>
      </w:r>
      <w:r w:rsidR="00402287">
        <w:rPr>
          <w:rFonts w:eastAsia="Courier New"/>
          <w:b w:val="0"/>
          <w:bCs w:val="0"/>
          <w:noProof/>
          <w:sz w:val="20"/>
          <w:szCs w:val="24"/>
        </w:rPr>
        <w:t>, with a possibility for</w:t>
      </w:r>
      <w:r w:rsidRPr="009705F3">
        <w:rPr>
          <w:rFonts w:eastAsia="Courier New"/>
          <w:b w:val="0"/>
          <w:bCs w:val="0"/>
          <w:noProof/>
          <w:sz w:val="20"/>
          <w:szCs w:val="24"/>
        </w:rPr>
        <w:t xml:space="preserve"> </w:t>
      </w:r>
      <w:r w:rsidR="00402287">
        <w:rPr>
          <w:rFonts w:eastAsia="Courier New"/>
          <w:b w:val="0"/>
          <w:bCs w:val="0"/>
          <w:noProof/>
          <w:sz w:val="20"/>
          <w:szCs w:val="24"/>
        </w:rPr>
        <w:t>e</w:t>
      </w:r>
      <w:r w:rsidRPr="009705F3">
        <w:rPr>
          <w:rFonts w:eastAsia="Courier New"/>
          <w:b w:val="0"/>
          <w:bCs w:val="0"/>
          <w:noProof/>
          <w:sz w:val="20"/>
          <w:szCs w:val="24"/>
        </w:rPr>
        <w:t xml:space="preserve">xisting companies </w:t>
      </w:r>
      <w:r w:rsidR="00402287">
        <w:rPr>
          <w:rFonts w:eastAsia="Courier New"/>
          <w:b w:val="0"/>
          <w:bCs w:val="0"/>
          <w:noProof/>
          <w:sz w:val="20"/>
          <w:szCs w:val="24"/>
        </w:rPr>
        <w:t xml:space="preserve">to </w:t>
      </w:r>
      <w:r w:rsidRPr="009705F3">
        <w:rPr>
          <w:rFonts w:eastAsia="Courier New"/>
          <w:b w:val="0"/>
          <w:bCs w:val="0"/>
          <w:noProof/>
          <w:sz w:val="20"/>
          <w:szCs w:val="24"/>
        </w:rPr>
        <w:t>convert through domestic conversion</w:t>
      </w:r>
      <w:r w:rsidR="00F67F8F">
        <w:rPr>
          <w:rFonts w:eastAsia="Courier New"/>
          <w:b w:val="0"/>
          <w:bCs w:val="0"/>
          <w:noProof/>
          <w:sz w:val="20"/>
          <w:szCs w:val="24"/>
        </w:rPr>
        <w:t xml:space="preserve">s, and with </w:t>
      </w:r>
      <w:r w:rsidRPr="009705F3">
        <w:rPr>
          <w:rFonts w:eastAsia="Courier New"/>
          <w:b w:val="0"/>
          <w:bCs w:val="0"/>
          <w:noProof/>
          <w:sz w:val="20"/>
          <w:szCs w:val="24"/>
        </w:rPr>
        <w:t>harmonised rules for setting up of branches of 28</w:t>
      </w:r>
      <w:r w:rsidRPr="00E57C3A">
        <w:rPr>
          <w:rFonts w:eastAsia="Courier New"/>
          <w:b w:val="0"/>
          <w:noProof/>
          <w:sz w:val="20"/>
          <w:szCs w:val="24"/>
          <w:vertAlign w:val="superscript"/>
        </w:rPr>
        <w:t>th</w:t>
      </w:r>
      <w:r w:rsidRPr="009705F3">
        <w:rPr>
          <w:rFonts w:eastAsia="Courier New"/>
          <w:b w:val="0"/>
          <w:bCs w:val="0"/>
          <w:noProof/>
          <w:sz w:val="20"/>
          <w:szCs w:val="24"/>
        </w:rPr>
        <w:t xml:space="preserve"> regime companies.</w:t>
      </w:r>
    </w:p>
    <w:p w14:paraId="435C7FF4" w14:textId="44A9EB73" w:rsidR="00852268" w:rsidRPr="008B775E" w:rsidRDefault="009705F3" w:rsidP="00C4288E">
      <w:pPr>
        <w:pStyle w:val="Heading2"/>
        <w:numPr>
          <w:ilvl w:val="0"/>
          <w:numId w:val="15"/>
        </w:numPr>
        <w:jc w:val="both"/>
        <w:rPr>
          <w:noProof/>
        </w:rPr>
      </w:pPr>
      <w:r w:rsidRPr="009705F3">
        <w:rPr>
          <w:rFonts w:eastAsia="Courier New"/>
          <w:b w:val="0"/>
          <w:bCs w:val="0"/>
          <w:noProof/>
          <w:sz w:val="20"/>
          <w:szCs w:val="24"/>
        </w:rPr>
        <w:t xml:space="preserve">Policy option 1c - Option 1b + </w:t>
      </w:r>
      <w:r w:rsidR="00F67F8F">
        <w:rPr>
          <w:rFonts w:eastAsia="Courier New"/>
          <w:b w:val="0"/>
          <w:bCs w:val="0"/>
          <w:noProof/>
          <w:sz w:val="20"/>
          <w:szCs w:val="24"/>
        </w:rPr>
        <w:t xml:space="preserve">a possibility for </w:t>
      </w:r>
      <w:r w:rsidRPr="009705F3">
        <w:rPr>
          <w:rFonts w:eastAsia="Courier New"/>
          <w:b w:val="0"/>
          <w:bCs w:val="0"/>
          <w:noProof/>
          <w:sz w:val="20"/>
          <w:szCs w:val="24"/>
        </w:rPr>
        <w:t xml:space="preserve">existing companies </w:t>
      </w:r>
      <w:r w:rsidR="00F67F8F">
        <w:rPr>
          <w:rFonts w:eastAsia="Courier New"/>
          <w:b w:val="0"/>
          <w:bCs w:val="0"/>
          <w:noProof/>
          <w:sz w:val="20"/>
          <w:szCs w:val="24"/>
        </w:rPr>
        <w:t>to</w:t>
      </w:r>
      <w:r w:rsidRPr="009705F3">
        <w:rPr>
          <w:rFonts w:eastAsia="Courier New"/>
          <w:b w:val="0"/>
          <w:bCs w:val="0"/>
          <w:noProof/>
          <w:sz w:val="20"/>
          <w:szCs w:val="24"/>
        </w:rPr>
        <w:t xml:space="preserve"> create a 28</w:t>
      </w:r>
      <w:r w:rsidRPr="00E57C3A">
        <w:rPr>
          <w:rFonts w:eastAsia="Courier New"/>
          <w:b w:val="0"/>
          <w:noProof/>
          <w:sz w:val="20"/>
          <w:szCs w:val="24"/>
          <w:vertAlign w:val="superscript"/>
        </w:rPr>
        <w:t>th</w:t>
      </w:r>
      <w:r w:rsidRPr="009705F3">
        <w:rPr>
          <w:rFonts w:eastAsia="Courier New"/>
          <w:b w:val="0"/>
          <w:bCs w:val="0"/>
          <w:noProof/>
          <w:sz w:val="20"/>
          <w:szCs w:val="24"/>
        </w:rPr>
        <w:t xml:space="preserve"> regime company through a cross-border conversion, division or merger in accordance with Directive 2019/2121.</w:t>
      </w:r>
    </w:p>
    <w:p w14:paraId="09188DC7" w14:textId="77777777" w:rsidR="00AE04B0" w:rsidRDefault="00AE04B0" w:rsidP="00C439DA">
      <w:pPr>
        <w:tabs>
          <w:tab w:val="left" w:pos="170"/>
        </w:tabs>
        <w:spacing w:before="0" w:after="0"/>
        <w:rPr>
          <w:noProof/>
        </w:rPr>
      </w:pPr>
    </w:p>
    <w:tbl>
      <w:tblPr>
        <w:tblStyle w:val="TableGrid"/>
        <w:tblW w:w="14170" w:type="dxa"/>
        <w:tblLayout w:type="fixed"/>
        <w:tblLook w:val="04A0" w:firstRow="1" w:lastRow="0" w:firstColumn="1" w:lastColumn="0" w:noHBand="0" w:noVBand="1"/>
      </w:tblPr>
      <w:tblGrid>
        <w:gridCol w:w="2122"/>
        <w:gridCol w:w="1508"/>
        <w:gridCol w:w="1042"/>
        <w:gridCol w:w="996"/>
        <w:gridCol w:w="994"/>
        <w:gridCol w:w="7508"/>
      </w:tblGrid>
      <w:tr w:rsidR="00E7381C" w:rsidRPr="00DC6DD8" w14:paraId="465D710F" w14:textId="77777777" w:rsidTr="004F5C87">
        <w:tc>
          <w:tcPr>
            <w:tcW w:w="2122" w:type="dxa"/>
            <w:shd w:val="clear" w:color="auto" w:fill="95B3D7" w:themeFill="accent1" w:themeFillTint="99"/>
          </w:tcPr>
          <w:p w14:paraId="553A2C06" w14:textId="77777777" w:rsidR="00E7381C" w:rsidRPr="00DC6DD8" w:rsidRDefault="00E7381C">
            <w:pPr>
              <w:rPr>
                <w:b/>
                <w:noProof/>
                <w:szCs w:val="20"/>
              </w:rPr>
            </w:pPr>
            <w:r w:rsidRPr="00DC6DD8">
              <w:rPr>
                <w:b/>
                <w:noProof/>
                <w:szCs w:val="20"/>
              </w:rPr>
              <w:br w:type="page"/>
            </w:r>
          </w:p>
        </w:tc>
        <w:tc>
          <w:tcPr>
            <w:tcW w:w="1508" w:type="dxa"/>
            <w:shd w:val="clear" w:color="auto" w:fill="95B3D7" w:themeFill="accent1" w:themeFillTint="99"/>
          </w:tcPr>
          <w:p w14:paraId="33B7B580" w14:textId="77777777" w:rsidR="00E7381C" w:rsidRPr="00864F5C" w:rsidRDefault="00E7381C">
            <w:pPr>
              <w:rPr>
                <w:b/>
                <w:noProof/>
                <w:sz w:val="18"/>
                <w:szCs w:val="18"/>
              </w:rPr>
            </w:pPr>
            <w:r w:rsidRPr="00864F5C">
              <w:rPr>
                <w:b/>
                <w:noProof/>
                <w:sz w:val="18"/>
                <w:szCs w:val="18"/>
              </w:rPr>
              <w:t>Unit of measurement</w:t>
            </w:r>
          </w:p>
        </w:tc>
        <w:tc>
          <w:tcPr>
            <w:tcW w:w="1042" w:type="dxa"/>
            <w:shd w:val="clear" w:color="auto" w:fill="95B3D7" w:themeFill="accent1" w:themeFillTint="99"/>
          </w:tcPr>
          <w:p w14:paraId="29BAC8BE" w14:textId="77777777" w:rsidR="00E7381C" w:rsidRPr="00DC6DD8" w:rsidRDefault="00E7381C">
            <w:pPr>
              <w:rPr>
                <w:b/>
                <w:noProof/>
                <w:szCs w:val="20"/>
              </w:rPr>
            </w:pPr>
            <w:r w:rsidRPr="00DC6DD8">
              <w:rPr>
                <w:b/>
                <w:noProof/>
                <w:szCs w:val="20"/>
              </w:rPr>
              <w:t>P</w:t>
            </w:r>
            <w:r>
              <w:rPr>
                <w:b/>
                <w:noProof/>
                <w:szCs w:val="20"/>
              </w:rPr>
              <w:t>O</w:t>
            </w:r>
            <w:r w:rsidRPr="00DC6DD8">
              <w:rPr>
                <w:b/>
                <w:noProof/>
                <w:szCs w:val="20"/>
              </w:rPr>
              <w:t xml:space="preserve"> 1a </w:t>
            </w:r>
          </w:p>
        </w:tc>
        <w:tc>
          <w:tcPr>
            <w:tcW w:w="996" w:type="dxa"/>
            <w:shd w:val="clear" w:color="auto" w:fill="95B3D7" w:themeFill="accent1" w:themeFillTint="99"/>
          </w:tcPr>
          <w:p w14:paraId="7DB3E14F" w14:textId="77777777" w:rsidR="00E7381C" w:rsidRPr="00DC6DD8" w:rsidRDefault="00E7381C">
            <w:pPr>
              <w:rPr>
                <w:b/>
                <w:noProof/>
                <w:szCs w:val="20"/>
              </w:rPr>
            </w:pPr>
            <w:r w:rsidRPr="00DC6DD8">
              <w:rPr>
                <w:b/>
                <w:noProof/>
                <w:szCs w:val="20"/>
              </w:rPr>
              <w:t>P</w:t>
            </w:r>
            <w:r>
              <w:rPr>
                <w:b/>
                <w:noProof/>
                <w:szCs w:val="20"/>
              </w:rPr>
              <w:t>O</w:t>
            </w:r>
            <w:r w:rsidRPr="00DC6DD8">
              <w:rPr>
                <w:b/>
                <w:noProof/>
                <w:szCs w:val="20"/>
              </w:rPr>
              <w:t xml:space="preserve"> 1b</w:t>
            </w:r>
          </w:p>
        </w:tc>
        <w:tc>
          <w:tcPr>
            <w:tcW w:w="994" w:type="dxa"/>
            <w:shd w:val="clear" w:color="auto" w:fill="95B3D7" w:themeFill="accent1" w:themeFillTint="99"/>
          </w:tcPr>
          <w:p w14:paraId="78D78E0E" w14:textId="77777777" w:rsidR="00E7381C" w:rsidRPr="00DC6DD8" w:rsidRDefault="00E7381C">
            <w:pPr>
              <w:rPr>
                <w:b/>
                <w:noProof/>
                <w:szCs w:val="20"/>
              </w:rPr>
            </w:pPr>
            <w:r w:rsidRPr="00DC6DD8">
              <w:rPr>
                <w:b/>
                <w:noProof/>
                <w:szCs w:val="20"/>
              </w:rPr>
              <w:t>P</w:t>
            </w:r>
            <w:r>
              <w:rPr>
                <w:b/>
                <w:noProof/>
                <w:szCs w:val="20"/>
              </w:rPr>
              <w:t>O</w:t>
            </w:r>
            <w:r w:rsidRPr="00DC6DD8">
              <w:rPr>
                <w:b/>
                <w:noProof/>
                <w:szCs w:val="20"/>
              </w:rPr>
              <w:t xml:space="preserve"> 1c</w:t>
            </w:r>
          </w:p>
          <w:p w14:paraId="0071A0C2" w14:textId="77777777" w:rsidR="00E7381C" w:rsidRPr="00DC6DD8" w:rsidRDefault="00E7381C">
            <w:pPr>
              <w:rPr>
                <w:b/>
                <w:noProof/>
                <w:szCs w:val="20"/>
              </w:rPr>
            </w:pPr>
          </w:p>
        </w:tc>
        <w:tc>
          <w:tcPr>
            <w:tcW w:w="7508" w:type="dxa"/>
            <w:shd w:val="clear" w:color="auto" w:fill="95B3D7" w:themeFill="accent1" w:themeFillTint="99"/>
          </w:tcPr>
          <w:p w14:paraId="2230D4B9" w14:textId="77777777" w:rsidR="00E7381C" w:rsidRPr="00DC6DD8" w:rsidRDefault="00E7381C">
            <w:pPr>
              <w:rPr>
                <w:b/>
                <w:noProof/>
                <w:szCs w:val="20"/>
              </w:rPr>
            </w:pPr>
            <w:r w:rsidRPr="00DD0943">
              <w:rPr>
                <w:b/>
                <w:noProof/>
                <w:szCs w:val="20"/>
              </w:rPr>
              <w:t>Motivation</w:t>
            </w:r>
          </w:p>
        </w:tc>
      </w:tr>
      <w:tr w:rsidR="00E7381C" w:rsidRPr="00DC6DD8" w14:paraId="380D86EB" w14:textId="77777777" w:rsidTr="00952DF7">
        <w:trPr>
          <w:trHeight w:val="485"/>
        </w:trPr>
        <w:tc>
          <w:tcPr>
            <w:tcW w:w="14170" w:type="dxa"/>
            <w:gridSpan w:val="6"/>
            <w:shd w:val="clear" w:color="auto" w:fill="92D050"/>
          </w:tcPr>
          <w:p w14:paraId="09C7261B" w14:textId="77777777" w:rsidR="00E7381C" w:rsidRPr="00035E70" w:rsidRDefault="00E7381C">
            <w:pPr>
              <w:rPr>
                <w:b/>
                <w:bCs/>
                <w:noProof/>
                <w:szCs w:val="20"/>
              </w:rPr>
            </w:pPr>
            <w:r w:rsidRPr="00D345EC">
              <w:rPr>
                <w:b/>
                <w:noProof/>
                <w:sz w:val="24"/>
                <w:szCs w:val="24"/>
              </w:rPr>
              <w:t>Companies and investors</w:t>
            </w:r>
          </w:p>
        </w:tc>
      </w:tr>
      <w:tr w:rsidR="00E7381C" w:rsidRPr="00DC6DD8" w14:paraId="0AF1E0EF" w14:textId="77777777" w:rsidTr="00643D1D">
        <w:trPr>
          <w:trHeight w:val="699"/>
        </w:trPr>
        <w:tc>
          <w:tcPr>
            <w:tcW w:w="2122" w:type="dxa"/>
          </w:tcPr>
          <w:p w14:paraId="79FDA62E" w14:textId="77777777" w:rsidR="00E7381C" w:rsidRPr="00DC6DD8" w:rsidRDefault="00E7381C">
            <w:pPr>
              <w:rPr>
                <w:b/>
                <w:noProof/>
                <w:szCs w:val="20"/>
              </w:rPr>
            </w:pPr>
            <w:r>
              <w:rPr>
                <w:b/>
                <w:noProof/>
                <w:szCs w:val="20"/>
              </w:rPr>
              <w:t>Ease of doing business</w:t>
            </w:r>
          </w:p>
        </w:tc>
        <w:tc>
          <w:tcPr>
            <w:tcW w:w="1508" w:type="dxa"/>
          </w:tcPr>
          <w:p w14:paraId="12DD377D" w14:textId="77777777" w:rsidR="00E7381C" w:rsidRPr="00170FBB" w:rsidRDefault="00E7381C">
            <w:pPr>
              <w:rPr>
                <w:b/>
                <w:noProof/>
                <w:sz w:val="18"/>
                <w:szCs w:val="18"/>
              </w:rPr>
            </w:pPr>
            <w:r w:rsidRPr="00170FBB">
              <w:rPr>
                <w:noProof/>
                <w:sz w:val="18"/>
                <w:szCs w:val="18"/>
              </w:rPr>
              <w:t>Score 0-5</w:t>
            </w:r>
          </w:p>
        </w:tc>
        <w:tc>
          <w:tcPr>
            <w:tcW w:w="1042" w:type="dxa"/>
          </w:tcPr>
          <w:p w14:paraId="4BA664CA" w14:textId="79DEEA75" w:rsidR="00E7381C" w:rsidRPr="00592C84" w:rsidRDefault="00592C84" w:rsidP="008F13DF">
            <w:pPr>
              <w:jc w:val="center"/>
              <w:rPr>
                <w:noProof/>
                <w:szCs w:val="20"/>
              </w:rPr>
            </w:pPr>
            <w:r w:rsidRPr="00592C84">
              <w:rPr>
                <w:bCs/>
                <w:noProof/>
                <w:szCs w:val="20"/>
              </w:rPr>
              <w:t>2</w:t>
            </w:r>
          </w:p>
        </w:tc>
        <w:tc>
          <w:tcPr>
            <w:tcW w:w="996" w:type="dxa"/>
          </w:tcPr>
          <w:p w14:paraId="497583EE" w14:textId="32F4CB6A" w:rsidR="00E7381C" w:rsidRPr="00592C84" w:rsidRDefault="00592C84" w:rsidP="008F13DF">
            <w:pPr>
              <w:jc w:val="center"/>
              <w:rPr>
                <w:noProof/>
                <w:szCs w:val="20"/>
              </w:rPr>
            </w:pPr>
            <w:r w:rsidRPr="00592C84">
              <w:rPr>
                <w:bCs/>
                <w:noProof/>
                <w:szCs w:val="20"/>
              </w:rPr>
              <w:t>3</w:t>
            </w:r>
          </w:p>
        </w:tc>
        <w:tc>
          <w:tcPr>
            <w:tcW w:w="994" w:type="dxa"/>
          </w:tcPr>
          <w:p w14:paraId="3C53268A" w14:textId="57AC3E5A" w:rsidR="00E7381C" w:rsidRPr="00592C84" w:rsidRDefault="00F91916" w:rsidP="008F13DF">
            <w:pPr>
              <w:jc w:val="center"/>
              <w:rPr>
                <w:noProof/>
                <w:szCs w:val="20"/>
              </w:rPr>
            </w:pPr>
            <w:r>
              <w:rPr>
                <w:bCs/>
                <w:noProof/>
                <w:szCs w:val="20"/>
              </w:rPr>
              <w:t>4</w:t>
            </w:r>
          </w:p>
        </w:tc>
        <w:tc>
          <w:tcPr>
            <w:tcW w:w="7508" w:type="dxa"/>
          </w:tcPr>
          <w:p w14:paraId="4DE712D3" w14:textId="3060103D" w:rsidR="008426A8" w:rsidRDefault="00217F66" w:rsidP="00687A69">
            <w:pPr>
              <w:jc w:val="both"/>
              <w:rPr>
                <w:noProof/>
                <w:szCs w:val="20"/>
              </w:rPr>
            </w:pPr>
            <w:r w:rsidRPr="00217F66">
              <w:rPr>
                <w:noProof/>
                <w:szCs w:val="20"/>
              </w:rPr>
              <w:t>Policy Option</w:t>
            </w:r>
            <w:r w:rsidR="000E0EDF">
              <w:rPr>
                <w:noProof/>
                <w:szCs w:val="20"/>
              </w:rPr>
              <w:t>s</w:t>
            </w:r>
            <w:r w:rsidRPr="00217F66">
              <w:rPr>
                <w:noProof/>
                <w:szCs w:val="20"/>
              </w:rPr>
              <w:t xml:space="preserve"> 1 ha</w:t>
            </w:r>
            <w:r w:rsidR="00095837">
              <w:rPr>
                <w:noProof/>
                <w:szCs w:val="20"/>
              </w:rPr>
              <w:t>ve</w:t>
            </w:r>
            <w:r w:rsidRPr="00217F66">
              <w:rPr>
                <w:noProof/>
                <w:szCs w:val="20"/>
              </w:rPr>
              <w:t xml:space="preserve"> a horizontal and enabling character. By introducing a common EU corporate legal form with a recognisable identity, </w:t>
            </w:r>
            <w:r w:rsidR="00095837">
              <w:rPr>
                <w:noProof/>
                <w:szCs w:val="20"/>
              </w:rPr>
              <w:t>they</w:t>
            </w:r>
            <w:r w:rsidRPr="00217F66">
              <w:rPr>
                <w:noProof/>
                <w:szCs w:val="20"/>
              </w:rPr>
              <w:t xml:space="preserve"> do not primarily generate standalone efficiency gains but rather create the structural conditions under which the other policy options can operate effectively. The existence of a single, coherent legal form is a necessary precondition for the effective application of common registration procedures, once-only information exchange, </w:t>
            </w:r>
            <w:r w:rsidR="00240456">
              <w:rPr>
                <w:noProof/>
                <w:szCs w:val="20"/>
              </w:rPr>
              <w:t xml:space="preserve">ESOP </w:t>
            </w:r>
            <w:r>
              <w:rPr>
                <w:noProof/>
                <w:szCs w:val="20"/>
              </w:rPr>
              <w:t>schemes</w:t>
            </w:r>
            <w:r w:rsidR="00240456">
              <w:rPr>
                <w:noProof/>
                <w:szCs w:val="20"/>
              </w:rPr>
              <w:t>,</w:t>
            </w:r>
            <w:r w:rsidRPr="00217F66">
              <w:rPr>
                <w:noProof/>
                <w:szCs w:val="20"/>
              </w:rPr>
              <w:t xml:space="preserve"> digital governance, investment-related measures and exit mechanisms introduced under subsequent options. As such, Policy Option</w:t>
            </w:r>
            <w:r w:rsidR="00176F0C">
              <w:rPr>
                <w:noProof/>
                <w:szCs w:val="20"/>
              </w:rPr>
              <w:t>s</w:t>
            </w:r>
            <w:r w:rsidRPr="00217F66">
              <w:rPr>
                <w:noProof/>
                <w:szCs w:val="20"/>
              </w:rPr>
              <w:t xml:space="preserve"> 1 act as a catalyst that amplifies the effectiveness and efficiency of the other policy options and allows their impacts to materialise in a consistent and legally robust manner across Member States</w:t>
            </w:r>
            <w:r w:rsidR="008426A8">
              <w:rPr>
                <w:noProof/>
                <w:szCs w:val="20"/>
              </w:rPr>
              <w:t>.</w:t>
            </w:r>
          </w:p>
          <w:p w14:paraId="13EFF25E" w14:textId="70ED0741" w:rsidR="00A176B5" w:rsidRDefault="00F42103" w:rsidP="00A3519C">
            <w:pPr>
              <w:ind w:right="57"/>
              <w:contextualSpacing/>
              <w:jc w:val="both"/>
              <w:rPr>
                <w:noProof/>
              </w:rPr>
            </w:pPr>
            <w:r w:rsidRPr="2E375142">
              <w:rPr>
                <w:noProof/>
              </w:rPr>
              <w:t xml:space="preserve">These policy options would </w:t>
            </w:r>
            <w:r w:rsidR="00FF18EE" w:rsidRPr="2E375142">
              <w:rPr>
                <w:noProof/>
              </w:rPr>
              <w:t>d</w:t>
            </w:r>
            <w:r w:rsidR="0087341A" w:rsidRPr="2E375142">
              <w:rPr>
                <w:noProof/>
              </w:rPr>
              <w:t xml:space="preserve">irectly </w:t>
            </w:r>
            <w:r w:rsidR="00FF18EE" w:rsidRPr="2E375142">
              <w:rPr>
                <w:noProof/>
              </w:rPr>
              <w:t xml:space="preserve">respond </w:t>
            </w:r>
            <w:r w:rsidR="0087341A" w:rsidRPr="2E375142">
              <w:rPr>
                <w:noProof/>
              </w:rPr>
              <w:t xml:space="preserve">to </w:t>
            </w:r>
            <w:r w:rsidR="00FA0D73" w:rsidRPr="2E375142">
              <w:rPr>
                <w:noProof/>
              </w:rPr>
              <w:t xml:space="preserve">strong </w:t>
            </w:r>
            <w:r w:rsidR="0087341A" w:rsidRPr="2E375142">
              <w:rPr>
                <w:noProof/>
              </w:rPr>
              <w:t xml:space="preserve">calls </w:t>
            </w:r>
            <w:r w:rsidR="003E1068" w:rsidRPr="2E375142">
              <w:rPr>
                <w:noProof/>
              </w:rPr>
              <w:t xml:space="preserve">in particular </w:t>
            </w:r>
            <w:r w:rsidR="0087341A" w:rsidRPr="2E375142">
              <w:rPr>
                <w:noProof/>
              </w:rPr>
              <w:t xml:space="preserve">from the business and </w:t>
            </w:r>
            <w:r w:rsidR="218D5F72" w:rsidRPr="2E375142">
              <w:rPr>
                <w:noProof/>
              </w:rPr>
              <w:t>s</w:t>
            </w:r>
            <w:r w:rsidR="104E5237" w:rsidRPr="2E375142">
              <w:rPr>
                <w:noProof/>
              </w:rPr>
              <w:t>tartup</w:t>
            </w:r>
            <w:r w:rsidR="0087341A" w:rsidRPr="2E375142">
              <w:rPr>
                <w:noProof/>
              </w:rPr>
              <w:t xml:space="preserve"> community</w:t>
            </w:r>
            <w:r w:rsidR="00FA0D73">
              <w:rPr>
                <w:noProof/>
                <w:szCs w:val="20"/>
              </w:rPr>
              <w:t>,</w:t>
            </w:r>
            <w:r w:rsidR="0087341A">
              <w:rPr>
                <w:noProof/>
                <w:szCs w:val="20"/>
              </w:rPr>
              <w:t xml:space="preserve"> </w:t>
            </w:r>
            <w:r w:rsidR="00474467" w:rsidRPr="2E375142">
              <w:rPr>
                <w:noProof/>
              </w:rPr>
              <w:t>as shown in 15</w:t>
            </w:r>
            <w:r w:rsidR="005E4EA4">
              <w:rPr>
                <w:noProof/>
              </w:rPr>
              <w:t> </w:t>
            </w:r>
            <w:r w:rsidR="00474467" w:rsidRPr="2E375142">
              <w:rPr>
                <w:noProof/>
              </w:rPr>
              <w:t>000</w:t>
            </w:r>
            <w:r w:rsidR="00DB3FFA" w:rsidRPr="2E375142">
              <w:rPr>
                <w:noProof/>
              </w:rPr>
              <w:t xml:space="preserve"> signatories to </w:t>
            </w:r>
            <w:r w:rsidR="008857E7" w:rsidRPr="2E375142">
              <w:rPr>
                <w:noProof/>
              </w:rPr>
              <w:t xml:space="preserve">the 2024 </w:t>
            </w:r>
            <w:r w:rsidR="00DB3FFA" w:rsidRPr="2E375142">
              <w:rPr>
                <w:noProof/>
              </w:rPr>
              <w:t>EU Inc petition calling for a standardised pan-European corporate structure</w:t>
            </w:r>
            <w:r w:rsidR="00BA1662">
              <w:rPr>
                <w:noProof/>
                <w:szCs w:val="20"/>
              </w:rPr>
              <w:t xml:space="preserve">, </w:t>
            </w:r>
            <w:r w:rsidR="00D93B3A" w:rsidRPr="2E375142">
              <w:rPr>
                <w:noProof/>
              </w:rPr>
              <w:t>and in</w:t>
            </w:r>
            <w:r w:rsidR="00E56AC4">
              <w:rPr>
                <w:noProof/>
                <w:szCs w:val="20"/>
              </w:rPr>
              <w:t xml:space="preserve"> </w:t>
            </w:r>
            <w:r w:rsidR="00E870FF" w:rsidRPr="2E375142">
              <w:rPr>
                <w:noProof/>
              </w:rPr>
              <w:t xml:space="preserve">continued </w:t>
            </w:r>
            <w:r w:rsidR="00FE5B88" w:rsidRPr="2E375142">
              <w:rPr>
                <w:noProof/>
              </w:rPr>
              <w:t xml:space="preserve">calls from BusinessEurope, MEDEF, </w:t>
            </w:r>
            <w:r w:rsidR="00DA0A1A">
              <w:rPr>
                <w:noProof/>
              </w:rPr>
              <w:t xml:space="preserve">and </w:t>
            </w:r>
            <w:r w:rsidR="00FE5B88" w:rsidRPr="2E375142">
              <w:rPr>
                <w:noProof/>
              </w:rPr>
              <w:t>BDI</w:t>
            </w:r>
            <w:r w:rsidR="00AE4085" w:rsidRPr="2E375142">
              <w:rPr>
                <w:rStyle w:val="FootnoteReference"/>
                <w:noProof/>
              </w:rPr>
              <w:footnoteReference w:id="32"/>
            </w:r>
            <w:r w:rsidR="005319A1">
              <w:rPr>
                <w:noProof/>
                <w:szCs w:val="20"/>
              </w:rPr>
              <w:t>.</w:t>
            </w:r>
            <w:r w:rsidR="00BE6503">
              <w:rPr>
                <w:noProof/>
                <w:szCs w:val="20"/>
              </w:rPr>
              <w:t xml:space="preserve"> </w:t>
            </w:r>
            <w:r w:rsidR="00FE5B88">
              <w:rPr>
                <w:noProof/>
                <w:szCs w:val="20"/>
              </w:rPr>
              <w:t xml:space="preserve"> </w:t>
            </w:r>
          </w:p>
          <w:p w14:paraId="698EF215" w14:textId="77777777" w:rsidR="00A3519C" w:rsidRDefault="00A3519C" w:rsidP="00A3519C">
            <w:pPr>
              <w:ind w:right="57"/>
              <w:contextualSpacing/>
              <w:jc w:val="both"/>
              <w:rPr>
                <w:rFonts w:cs="Times New Roman"/>
                <w:noProof/>
                <w:szCs w:val="20"/>
                <w:lang w:val="en-IE"/>
              </w:rPr>
            </w:pPr>
          </w:p>
          <w:p w14:paraId="4D3D8487" w14:textId="43DBCF8C" w:rsidR="00BE70F5" w:rsidRPr="00BE70F5" w:rsidRDefault="00D33A7F" w:rsidP="00BE70F5">
            <w:pPr>
              <w:jc w:val="both"/>
              <w:rPr>
                <w:rFonts w:cs="Times New Roman"/>
                <w:i/>
                <w:iCs/>
                <w:noProof/>
              </w:rPr>
            </w:pPr>
            <w:r w:rsidRPr="2E375142">
              <w:rPr>
                <w:rFonts w:cs="Times New Roman"/>
                <w:noProof/>
                <w:lang w:val="en-IE"/>
              </w:rPr>
              <w:t>Option</w:t>
            </w:r>
            <w:r w:rsidR="007907BB" w:rsidRPr="2E375142">
              <w:rPr>
                <w:rFonts w:cs="Times New Roman"/>
                <w:noProof/>
                <w:lang w:val="en-IE"/>
              </w:rPr>
              <w:t>s</w:t>
            </w:r>
            <w:r w:rsidRPr="2E375142">
              <w:rPr>
                <w:rFonts w:cs="Times New Roman"/>
                <w:noProof/>
                <w:lang w:val="en-IE"/>
              </w:rPr>
              <w:t xml:space="preserve"> 1</w:t>
            </w:r>
            <w:r w:rsidR="00761D5D" w:rsidRPr="2E375142">
              <w:rPr>
                <w:rFonts w:cs="Times New Roman"/>
                <w:noProof/>
                <w:lang w:val="en-IE"/>
              </w:rPr>
              <w:t>b and 1c</w:t>
            </w:r>
            <w:r w:rsidRPr="2E375142">
              <w:rPr>
                <w:rFonts w:cs="Times New Roman"/>
                <w:noProof/>
                <w:lang w:val="en-IE"/>
              </w:rPr>
              <w:t xml:space="preserve"> would score highe</w:t>
            </w:r>
            <w:r w:rsidR="00761D5D" w:rsidRPr="2E375142">
              <w:rPr>
                <w:rFonts w:cs="Times New Roman"/>
                <w:noProof/>
                <w:lang w:val="en-IE"/>
              </w:rPr>
              <w:t>r than option 1a</w:t>
            </w:r>
            <w:r w:rsidRPr="2E375142">
              <w:rPr>
                <w:rFonts w:cs="Times New Roman"/>
                <w:noProof/>
                <w:lang w:val="en-IE"/>
              </w:rPr>
              <w:t xml:space="preserve"> </w:t>
            </w:r>
            <w:r w:rsidR="008C10A0" w:rsidRPr="2E375142">
              <w:rPr>
                <w:rFonts w:cs="Times New Roman"/>
                <w:noProof/>
                <w:lang w:val="en-IE"/>
              </w:rPr>
              <w:t xml:space="preserve">because </w:t>
            </w:r>
            <w:r w:rsidR="00761D5D" w:rsidRPr="2E375142">
              <w:rPr>
                <w:rFonts w:cs="Times New Roman"/>
                <w:noProof/>
                <w:lang w:val="en-IE"/>
              </w:rPr>
              <w:t>they</w:t>
            </w:r>
            <w:r w:rsidR="008C10A0" w:rsidRPr="2E375142">
              <w:rPr>
                <w:rFonts w:cs="Times New Roman"/>
                <w:noProof/>
                <w:lang w:val="en-IE"/>
              </w:rPr>
              <w:t xml:space="preserve"> would </w:t>
            </w:r>
            <w:r w:rsidR="00025528">
              <w:rPr>
                <w:rFonts w:cs="Times New Roman"/>
                <w:noProof/>
                <w:lang w:val="en-IE"/>
              </w:rPr>
              <w:t xml:space="preserve">not only provide a common legal form </w:t>
            </w:r>
            <w:r w:rsidR="00025528" w:rsidRPr="009705F3">
              <w:rPr>
                <w:rFonts w:eastAsia="Courier New"/>
                <w:noProof/>
                <w:szCs w:val="24"/>
              </w:rPr>
              <w:t>with a recognisable EU brand</w:t>
            </w:r>
            <w:r w:rsidR="00025528">
              <w:rPr>
                <w:rFonts w:eastAsia="Courier New"/>
                <w:noProof/>
                <w:szCs w:val="24"/>
              </w:rPr>
              <w:t xml:space="preserve">, but </w:t>
            </w:r>
            <w:r w:rsidR="007640EA">
              <w:rPr>
                <w:rFonts w:eastAsia="Courier New"/>
                <w:noProof/>
                <w:szCs w:val="24"/>
              </w:rPr>
              <w:t xml:space="preserve">also a harmonised </w:t>
            </w:r>
            <w:r w:rsidR="00425106">
              <w:rPr>
                <w:rFonts w:eastAsia="Courier New"/>
                <w:noProof/>
                <w:szCs w:val="24"/>
              </w:rPr>
              <w:t>28</w:t>
            </w:r>
            <w:r w:rsidR="00425106" w:rsidRPr="00030794">
              <w:rPr>
                <w:rFonts w:eastAsia="Courier New"/>
                <w:noProof/>
                <w:szCs w:val="24"/>
                <w:vertAlign w:val="superscript"/>
              </w:rPr>
              <w:t>th</w:t>
            </w:r>
            <w:r w:rsidR="00425106">
              <w:rPr>
                <w:rFonts w:eastAsia="Courier New"/>
                <w:noProof/>
                <w:szCs w:val="24"/>
              </w:rPr>
              <w:t xml:space="preserve"> regime branch</w:t>
            </w:r>
            <w:r w:rsidR="002015F0">
              <w:rPr>
                <w:rFonts w:eastAsia="Courier New"/>
                <w:noProof/>
                <w:szCs w:val="24"/>
              </w:rPr>
              <w:t xml:space="preserve">. </w:t>
            </w:r>
            <w:r w:rsidR="009F215D">
              <w:rPr>
                <w:rFonts w:eastAsia="Courier New"/>
                <w:noProof/>
                <w:szCs w:val="24"/>
              </w:rPr>
              <w:t>In addition, t</w:t>
            </w:r>
            <w:r w:rsidR="002015F0">
              <w:rPr>
                <w:rFonts w:eastAsia="Courier New"/>
                <w:noProof/>
                <w:szCs w:val="24"/>
              </w:rPr>
              <w:t xml:space="preserve">hey would </w:t>
            </w:r>
            <w:r w:rsidR="005041D3">
              <w:rPr>
                <w:rFonts w:eastAsia="Courier New"/>
                <w:noProof/>
                <w:szCs w:val="24"/>
              </w:rPr>
              <w:t xml:space="preserve">ensure that </w:t>
            </w:r>
            <w:r w:rsidR="00071EF3">
              <w:rPr>
                <w:rFonts w:eastAsia="Courier New"/>
                <w:noProof/>
                <w:szCs w:val="24"/>
              </w:rPr>
              <w:t>not only</w:t>
            </w:r>
            <w:r w:rsidR="005041D3">
              <w:rPr>
                <w:rFonts w:eastAsia="Courier New"/>
                <w:noProof/>
                <w:szCs w:val="24"/>
              </w:rPr>
              <w:t xml:space="preserve"> </w:t>
            </w:r>
            <w:r w:rsidR="000E149C">
              <w:rPr>
                <w:rFonts w:eastAsia="Courier New"/>
                <w:noProof/>
                <w:szCs w:val="24"/>
              </w:rPr>
              <w:t>natural person</w:t>
            </w:r>
            <w:r w:rsidR="00BD515D">
              <w:rPr>
                <w:rFonts w:eastAsia="Courier New"/>
                <w:noProof/>
                <w:szCs w:val="24"/>
              </w:rPr>
              <w:t>s</w:t>
            </w:r>
            <w:r w:rsidR="000E149C">
              <w:rPr>
                <w:rFonts w:eastAsia="Courier New"/>
                <w:noProof/>
                <w:szCs w:val="24"/>
              </w:rPr>
              <w:t xml:space="preserve"> </w:t>
            </w:r>
            <w:r w:rsidR="00071EF3">
              <w:rPr>
                <w:rFonts w:eastAsia="Courier New"/>
                <w:noProof/>
                <w:szCs w:val="24"/>
              </w:rPr>
              <w:t>but</w:t>
            </w:r>
            <w:r w:rsidR="00BA2B63">
              <w:rPr>
                <w:rFonts w:eastAsia="Courier New"/>
                <w:noProof/>
                <w:szCs w:val="24"/>
              </w:rPr>
              <w:t xml:space="preserve"> </w:t>
            </w:r>
            <w:r w:rsidR="000E149C">
              <w:rPr>
                <w:rFonts w:eastAsia="Courier New"/>
                <w:noProof/>
                <w:szCs w:val="24"/>
              </w:rPr>
              <w:t xml:space="preserve">also legal persons </w:t>
            </w:r>
            <w:r w:rsidR="007B6BD9">
              <w:rPr>
                <w:rFonts w:eastAsia="Courier New"/>
                <w:noProof/>
                <w:szCs w:val="24"/>
              </w:rPr>
              <w:t>(</w:t>
            </w:r>
            <w:r w:rsidR="00267C5B">
              <w:rPr>
                <w:rFonts w:eastAsia="Courier New"/>
                <w:noProof/>
                <w:szCs w:val="24"/>
              </w:rPr>
              <w:t xml:space="preserve">e.g. </w:t>
            </w:r>
            <w:r w:rsidR="00071EF3">
              <w:rPr>
                <w:rFonts w:eastAsia="Courier New"/>
                <w:noProof/>
                <w:szCs w:val="24"/>
              </w:rPr>
              <w:t xml:space="preserve">as </w:t>
            </w:r>
            <w:r w:rsidR="007B6BD9">
              <w:rPr>
                <w:rFonts w:eastAsia="Courier New"/>
                <w:noProof/>
                <w:szCs w:val="24"/>
              </w:rPr>
              <w:t>parent compan</w:t>
            </w:r>
            <w:r w:rsidR="00071EF3">
              <w:rPr>
                <w:rFonts w:eastAsia="Courier New"/>
                <w:noProof/>
                <w:szCs w:val="24"/>
              </w:rPr>
              <w:t>ies</w:t>
            </w:r>
            <w:r w:rsidR="007B6BD9">
              <w:rPr>
                <w:rFonts w:eastAsia="Courier New"/>
                <w:noProof/>
                <w:szCs w:val="24"/>
              </w:rPr>
              <w:t xml:space="preserve">) </w:t>
            </w:r>
            <w:r w:rsidR="001414E4">
              <w:rPr>
                <w:rFonts w:eastAsia="Courier New"/>
                <w:noProof/>
                <w:szCs w:val="24"/>
              </w:rPr>
              <w:t>could set up a 28</w:t>
            </w:r>
            <w:r w:rsidR="001414E4" w:rsidRPr="00030794">
              <w:rPr>
                <w:rFonts w:eastAsia="Courier New"/>
                <w:noProof/>
                <w:szCs w:val="24"/>
                <w:vertAlign w:val="superscript"/>
              </w:rPr>
              <w:t>th</w:t>
            </w:r>
            <w:r w:rsidR="001414E4">
              <w:rPr>
                <w:rFonts w:eastAsia="Courier New"/>
                <w:noProof/>
                <w:szCs w:val="24"/>
              </w:rPr>
              <w:t xml:space="preserve"> regime </w:t>
            </w:r>
            <w:r w:rsidR="00575D3F">
              <w:rPr>
                <w:rFonts w:eastAsia="Courier New"/>
                <w:noProof/>
                <w:szCs w:val="24"/>
              </w:rPr>
              <w:t>company</w:t>
            </w:r>
            <w:r w:rsidR="001414E4">
              <w:rPr>
                <w:rFonts w:eastAsia="Courier New"/>
                <w:noProof/>
                <w:szCs w:val="24"/>
              </w:rPr>
              <w:t xml:space="preserve"> </w:t>
            </w:r>
            <w:r w:rsidR="00D9409F">
              <w:rPr>
                <w:rFonts w:eastAsia="Courier New"/>
                <w:noProof/>
                <w:szCs w:val="24"/>
              </w:rPr>
              <w:t>(subsidiary)</w:t>
            </w:r>
            <w:r w:rsidR="00E266B6">
              <w:rPr>
                <w:rFonts w:eastAsia="Courier New"/>
                <w:noProof/>
                <w:szCs w:val="24"/>
              </w:rPr>
              <w:t xml:space="preserve">, thus benefitting also </w:t>
            </w:r>
            <w:r w:rsidR="007B6BD9">
              <w:rPr>
                <w:rFonts w:eastAsia="Courier New"/>
                <w:noProof/>
                <w:szCs w:val="24"/>
              </w:rPr>
              <w:t>groups of companies</w:t>
            </w:r>
            <w:r w:rsidR="00936FD0">
              <w:rPr>
                <w:rFonts w:eastAsia="Courier New"/>
                <w:noProof/>
                <w:szCs w:val="24"/>
              </w:rPr>
              <w:t>. These options would</w:t>
            </w:r>
            <w:r w:rsidR="002A31EB">
              <w:rPr>
                <w:rFonts w:eastAsia="Courier New"/>
                <w:noProof/>
                <w:szCs w:val="24"/>
              </w:rPr>
              <w:t xml:space="preserve"> </w:t>
            </w:r>
            <w:r w:rsidR="002A31EB" w:rsidRPr="2E375142">
              <w:rPr>
                <w:rFonts w:cs="Times New Roman"/>
                <w:noProof/>
                <w:lang w:val="en-IE"/>
              </w:rPr>
              <w:t xml:space="preserve">also </w:t>
            </w:r>
            <w:r w:rsidR="00936FD0">
              <w:rPr>
                <w:rFonts w:cs="Times New Roman"/>
                <w:noProof/>
                <w:lang w:val="en-IE"/>
              </w:rPr>
              <w:t xml:space="preserve">ensure that </w:t>
            </w:r>
            <w:r w:rsidR="00761D5D" w:rsidRPr="2E375142">
              <w:rPr>
                <w:rFonts w:cs="Times New Roman"/>
                <w:noProof/>
                <w:lang w:val="en-IE"/>
              </w:rPr>
              <w:t xml:space="preserve">existing </w:t>
            </w:r>
            <w:r w:rsidR="002A31EB" w:rsidRPr="2E375142">
              <w:rPr>
                <w:rFonts w:cs="Times New Roman"/>
                <w:noProof/>
                <w:lang w:val="en-IE"/>
              </w:rPr>
              <w:t xml:space="preserve">companies </w:t>
            </w:r>
            <w:r w:rsidR="00936FD0">
              <w:rPr>
                <w:rFonts w:cs="Times New Roman"/>
                <w:noProof/>
                <w:lang w:val="en-IE"/>
              </w:rPr>
              <w:t>would have a choice to become 28</w:t>
            </w:r>
            <w:r w:rsidR="00936FD0" w:rsidRPr="00030794">
              <w:rPr>
                <w:rFonts w:cs="Times New Roman"/>
                <w:noProof/>
                <w:vertAlign w:val="superscript"/>
                <w:lang w:val="en-IE"/>
              </w:rPr>
              <w:t>th</w:t>
            </w:r>
            <w:r w:rsidR="00936FD0">
              <w:rPr>
                <w:rFonts w:cs="Times New Roman"/>
                <w:noProof/>
                <w:lang w:val="en-IE"/>
              </w:rPr>
              <w:t xml:space="preserve"> regime company </w:t>
            </w:r>
            <w:r w:rsidR="00527318">
              <w:rPr>
                <w:rFonts w:cs="Times New Roman"/>
                <w:noProof/>
                <w:lang w:val="en-IE"/>
              </w:rPr>
              <w:t xml:space="preserve">through </w:t>
            </w:r>
            <w:r w:rsidR="00201061">
              <w:rPr>
                <w:rFonts w:cs="Times New Roman"/>
                <w:noProof/>
                <w:lang w:val="en-IE"/>
              </w:rPr>
              <w:t xml:space="preserve">domestic </w:t>
            </w:r>
            <w:r w:rsidR="002A31EB" w:rsidRPr="2E375142">
              <w:rPr>
                <w:rFonts w:cs="Times New Roman"/>
                <w:noProof/>
                <w:lang w:val="en-IE"/>
              </w:rPr>
              <w:t>conversions</w:t>
            </w:r>
            <w:r w:rsidR="00761D5D" w:rsidRPr="2E375142">
              <w:rPr>
                <w:rFonts w:cs="Times New Roman"/>
                <w:noProof/>
                <w:lang w:val="en-IE"/>
              </w:rPr>
              <w:t xml:space="preserve">. </w:t>
            </w:r>
            <w:r w:rsidR="003747AA" w:rsidRPr="2E375142">
              <w:rPr>
                <w:rFonts w:cs="Times New Roman"/>
                <w:noProof/>
                <w:lang w:val="en-IE"/>
              </w:rPr>
              <w:t xml:space="preserve">While </w:t>
            </w:r>
            <w:r w:rsidR="00761D5D" w:rsidRPr="2E375142">
              <w:rPr>
                <w:rFonts w:cs="Times New Roman"/>
                <w:noProof/>
                <w:lang w:val="en-IE"/>
              </w:rPr>
              <w:t xml:space="preserve">option 1c would make </w:t>
            </w:r>
            <w:r w:rsidR="003747AA" w:rsidRPr="2E375142">
              <w:rPr>
                <w:rFonts w:cs="Times New Roman"/>
                <w:noProof/>
                <w:lang w:val="en-IE"/>
              </w:rPr>
              <w:t>the 28</w:t>
            </w:r>
            <w:r w:rsidR="003747AA" w:rsidRPr="2E375142">
              <w:rPr>
                <w:rFonts w:cs="Times New Roman"/>
                <w:noProof/>
                <w:vertAlign w:val="superscript"/>
                <w:lang w:val="en-IE"/>
              </w:rPr>
              <w:t>th</w:t>
            </w:r>
            <w:r w:rsidR="003747AA" w:rsidRPr="2E375142">
              <w:rPr>
                <w:rFonts w:cs="Times New Roman"/>
                <w:noProof/>
                <w:lang w:val="en-IE"/>
              </w:rPr>
              <w:t xml:space="preserve"> regime legal form available </w:t>
            </w:r>
            <w:r w:rsidR="00F33B37" w:rsidRPr="2E375142">
              <w:rPr>
                <w:rFonts w:cs="Times New Roman"/>
                <w:noProof/>
                <w:lang w:val="en-IE"/>
              </w:rPr>
              <w:t>through an additional channel</w:t>
            </w:r>
            <w:r w:rsidR="00201061">
              <w:rPr>
                <w:rFonts w:cs="Times New Roman"/>
                <w:noProof/>
                <w:lang w:val="en-IE"/>
              </w:rPr>
              <w:t>,</w:t>
            </w:r>
            <w:r w:rsidR="00F33B37" w:rsidRPr="2E375142">
              <w:rPr>
                <w:rFonts w:cs="Times New Roman"/>
                <w:noProof/>
                <w:lang w:val="en-IE"/>
              </w:rPr>
              <w:t xml:space="preserve"> i.e. </w:t>
            </w:r>
            <w:r w:rsidR="003747AA" w:rsidRPr="2E375142">
              <w:rPr>
                <w:rFonts w:cs="Times New Roman"/>
                <w:noProof/>
                <w:lang w:val="en-IE"/>
              </w:rPr>
              <w:t xml:space="preserve">through </w:t>
            </w:r>
            <w:r w:rsidR="00936520" w:rsidRPr="2E375142">
              <w:rPr>
                <w:rFonts w:cs="Times New Roman"/>
                <w:noProof/>
                <w:lang w:val="en-IE"/>
              </w:rPr>
              <w:t>cross-border mergers</w:t>
            </w:r>
            <w:r w:rsidR="00201061">
              <w:rPr>
                <w:rFonts w:cs="Times New Roman"/>
                <w:noProof/>
                <w:lang w:val="en-IE"/>
              </w:rPr>
              <w:t>,</w:t>
            </w:r>
            <w:r w:rsidR="00936520" w:rsidRPr="2E375142">
              <w:rPr>
                <w:rFonts w:cs="Times New Roman"/>
                <w:noProof/>
                <w:lang w:val="en-IE"/>
              </w:rPr>
              <w:t xml:space="preserve"> divisions and conversions</w:t>
            </w:r>
            <w:r w:rsidR="003747AA" w:rsidRPr="2E375142">
              <w:rPr>
                <w:rFonts w:cs="Times New Roman"/>
                <w:noProof/>
                <w:lang w:val="en-IE"/>
              </w:rPr>
              <w:t>, this option</w:t>
            </w:r>
            <w:r w:rsidR="00AF51A8">
              <w:rPr>
                <w:rFonts w:cs="Times New Roman"/>
                <w:noProof/>
                <w:lang w:val="en-IE"/>
              </w:rPr>
              <w:t xml:space="preserve"> </w:t>
            </w:r>
            <w:r w:rsidR="00E266B6">
              <w:rPr>
                <w:rFonts w:cs="Times New Roman"/>
                <w:noProof/>
                <w:lang w:val="en-IE"/>
              </w:rPr>
              <w:t xml:space="preserve">would </w:t>
            </w:r>
            <w:r w:rsidR="00BA2B63">
              <w:rPr>
                <w:rFonts w:cs="Times New Roman"/>
                <w:noProof/>
                <w:lang w:val="en-IE"/>
              </w:rPr>
              <w:t xml:space="preserve">not address the </w:t>
            </w:r>
            <w:r w:rsidR="00BA2B63">
              <w:rPr>
                <w:noProof/>
              </w:rPr>
              <w:t xml:space="preserve">needs of </w:t>
            </w:r>
            <w:r w:rsidR="0096547F">
              <w:rPr>
                <w:noProof/>
              </w:rPr>
              <w:t>those</w:t>
            </w:r>
            <w:r w:rsidR="00BA2B63">
              <w:rPr>
                <w:noProof/>
              </w:rPr>
              <w:t xml:space="preserve"> startups</w:t>
            </w:r>
            <w:r w:rsidR="004E4E18">
              <w:rPr>
                <w:noProof/>
              </w:rPr>
              <w:t xml:space="preserve"> with limited financial resources (seed capital) </w:t>
            </w:r>
            <w:r w:rsidR="00D824D5">
              <w:rPr>
                <w:noProof/>
              </w:rPr>
              <w:t xml:space="preserve">and the aim </w:t>
            </w:r>
            <w:r w:rsidR="00BA2B63">
              <w:rPr>
                <w:noProof/>
              </w:rPr>
              <w:t>to set up a 28</w:t>
            </w:r>
            <w:r w:rsidR="00BA2B63" w:rsidRPr="0023066D">
              <w:rPr>
                <w:noProof/>
                <w:vertAlign w:val="superscript"/>
              </w:rPr>
              <w:t>th</w:t>
            </w:r>
            <w:r w:rsidR="00BA2B63">
              <w:rPr>
                <w:noProof/>
              </w:rPr>
              <w:t xml:space="preserve"> regime company quickly and </w:t>
            </w:r>
            <w:r w:rsidR="000E1506">
              <w:rPr>
                <w:noProof/>
              </w:rPr>
              <w:t>at low costs</w:t>
            </w:r>
            <w:r w:rsidR="00805CCD" w:rsidRPr="2E375142">
              <w:rPr>
                <w:rFonts w:cs="Times New Roman"/>
                <w:noProof/>
                <w:lang w:val="en-IE"/>
              </w:rPr>
              <w:t xml:space="preserve">. </w:t>
            </w:r>
            <w:r w:rsidR="00086178">
              <w:rPr>
                <w:rFonts w:cs="Times New Roman"/>
                <w:noProof/>
                <w:lang w:val="en-IE"/>
              </w:rPr>
              <w:t>Th</w:t>
            </w:r>
            <w:r w:rsidR="000460E0" w:rsidRPr="2E375142">
              <w:rPr>
                <w:rFonts w:cs="Times New Roman"/>
                <w:noProof/>
                <w:lang w:val="en-IE"/>
              </w:rPr>
              <w:t>e</w:t>
            </w:r>
            <w:r w:rsidR="00086178">
              <w:rPr>
                <w:rFonts w:cs="Times New Roman"/>
                <w:noProof/>
                <w:lang w:val="en-IE"/>
              </w:rPr>
              <w:t>se</w:t>
            </w:r>
            <w:r w:rsidR="000460E0" w:rsidRPr="2E375142">
              <w:rPr>
                <w:rFonts w:cs="Times New Roman"/>
                <w:noProof/>
                <w:lang w:val="en-IE"/>
              </w:rPr>
              <w:t xml:space="preserve"> cross-border operations </w:t>
            </w:r>
            <w:r w:rsidR="00013D57" w:rsidRPr="2E375142">
              <w:rPr>
                <w:rFonts w:cs="Times New Roman"/>
                <w:noProof/>
                <w:lang w:val="en-IE"/>
              </w:rPr>
              <w:t>are relatively costly</w:t>
            </w:r>
            <w:r w:rsidR="00E47AAC">
              <w:rPr>
                <w:rFonts w:cs="Times New Roman"/>
                <w:noProof/>
                <w:lang w:val="en-IE"/>
              </w:rPr>
              <w:t>, time-consuming</w:t>
            </w:r>
            <w:r w:rsidR="00D17551" w:rsidRPr="2E375142">
              <w:rPr>
                <w:rFonts w:cs="Times New Roman"/>
                <w:noProof/>
                <w:lang w:val="en-IE"/>
              </w:rPr>
              <w:t xml:space="preserve"> and involve many steps in at least two Member States</w:t>
            </w:r>
            <w:r w:rsidR="000A33F1">
              <w:rPr>
                <w:rFonts w:cs="Times New Roman"/>
                <w:noProof/>
                <w:lang w:val="en-IE"/>
              </w:rPr>
              <w:t>,</w:t>
            </w:r>
            <w:r w:rsidR="00AA0C3E" w:rsidRPr="2E375142">
              <w:rPr>
                <w:rFonts w:cs="Times New Roman"/>
                <w:noProof/>
                <w:lang w:val="en-IE"/>
              </w:rPr>
              <w:t xml:space="preserve"> including</w:t>
            </w:r>
            <w:r w:rsidR="000A33F1">
              <w:rPr>
                <w:rFonts w:cs="Times New Roman"/>
                <w:noProof/>
                <w:lang w:val="en-IE"/>
              </w:rPr>
              <w:t xml:space="preserve"> the</w:t>
            </w:r>
            <w:r w:rsidR="00AA0C3E" w:rsidRPr="2E375142">
              <w:rPr>
                <w:rFonts w:cs="Times New Roman"/>
                <w:noProof/>
                <w:lang w:val="en-IE"/>
              </w:rPr>
              <w:t xml:space="preserve"> </w:t>
            </w:r>
            <w:r w:rsidR="008E6471" w:rsidRPr="2E375142">
              <w:rPr>
                <w:rFonts w:cs="Times New Roman"/>
                <w:noProof/>
                <w:lang w:val="en-IE"/>
              </w:rPr>
              <w:t xml:space="preserve">possible negotiation of employee participation in company </w:t>
            </w:r>
            <w:r w:rsidR="00AA0C3E" w:rsidRPr="2E375142">
              <w:rPr>
                <w:rFonts w:cs="Times New Roman"/>
                <w:noProof/>
                <w:lang w:val="en-IE"/>
              </w:rPr>
              <w:t>boards</w:t>
            </w:r>
            <w:r w:rsidR="008E6471" w:rsidRPr="2E375142">
              <w:rPr>
                <w:rFonts w:cs="Times New Roman"/>
                <w:noProof/>
                <w:lang w:val="en-IE"/>
              </w:rPr>
              <w:t xml:space="preserve"> and </w:t>
            </w:r>
            <w:r w:rsidR="00AA0C3E" w:rsidRPr="2E375142">
              <w:rPr>
                <w:rFonts w:cs="Times New Roman"/>
                <w:noProof/>
                <w:lang w:val="en-IE"/>
              </w:rPr>
              <w:t xml:space="preserve">anti-abuse checks </w:t>
            </w:r>
            <w:r w:rsidR="00B43DE3" w:rsidRPr="2E375142">
              <w:rPr>
                <w:rFonts w:cs="Times New Roman"/>
                <w:noProof/>
                <w:lang w:val="en-IE"/>
              </w:rPr>
              <w:t>to tackle possible abusive and fraudulent practises</w:t>
            </w:r>
            <w:r w:rsidR="004E4E18">
              <w:rPr>
                <w:rFonts w:cs="Times New Roman"/>
                <w:noProof/>
                <w:lang w:val="en-IE"/>
              </w:rPr>
              <w:t xml:space="preserve"> </w:t>
            </w:r>
            <w:r w:rsidR="00B95680">
              <w:rPr>
                <w:rFonts w:cs="Times New Roman"/>
                <w:noProof/>
                <w:lang w:val="en-IE"/>
              </w:rPr>
              <w:t>(see</w:t>
            </w:r>
            <w:r w:rsidR="004E4E18">
              <w:rPr>
                <w:rFonts w:cs="Times New Roman"/>
                <w:noProof/>
                <w:lang w:val="en-IE"/>
              </w:rPr>
              <w:t xml:space="preserve"> </w:t>
            </w:r>
            <w:r w:rsidR="00B95680">
              <w:rPr>
                <w:rFonts w:cs="Times New Roman"/>
                <w:noProof/>
                <w:lang w:val="en-IE"/>
              </w:rPr>
              <w:t>Directive 2019/</w:t>
            </w:r>
            <w:r w:rsidR="00AF51A8" w:rsidRPr="00DB24D0">
              <w:rPr>
                <w:rFonts w:cs="Times New Roman"/>
                <w:noProof/>
                <w:lang w:val="en-IE"/>
              </w:rPr>
              <w:t>2021)</w:t>
            </w:r>
            <w:r w:rsidR="00B43DE3" w:rsidRPr="00DB24D0">
              <w:rPr>
                <w:rFonts w:cs="Times New Roman"/>
                <w:noProof/>
                <w:lang w:val="en-IE"/>
              </w:rPr>
              <w:t xml:space="preserve">. </w:t>
            </w:r>
            <w:r w:rsidR="004E4E18" w:rsidRPr="00DB24D0">
              <w:rPr>
                <w:rFonts w:cs="Times New Roman"/>
                <w:noProof/>
                <w:lang w:val="en-IE"/>
              </w:rPr>
              <w:t xml:space="preserve">However, the setting up </w:t>
            </w:r>
            <w:r w:rsidR="000A33F1">
              <w:rPr>
                <w:rFonts w:cs="Times New Roman"/>
                <w:noProof/>
                <w:lang w:val="en-IE"/>
              </w:rPr>
              <w:t xml:space="preserve">of </w:t>
            </w:r>
            <w:r w:rsidR="004E4E18" w:rsidRPr="00DB24D0">
              <w:rPr>
                <w:rFonts w:cs="Times New Roman"/>
                <w:noProof/>
                <w:lang w:val="en-IE"/>
              </w:rPr>
              <w:t>a 28</w:t>
            </w:r>
            <w:r w:rsidR="004E4E18" w:rsidRPr="00030794">
              <w:rPr>
                <w:rFonts w:cs="Times New Roman"/>
                <w:noProof/>
                <w:vertAlign w:val="superscript"/>
                <w:lang w:val="en-IE"/>
              </w:rPr>
              <w:t>th</w:t>
            </w:r>
            <w:r w:rsidR="004E4E18" w:rsidRPr="00DB24D0">
              <w:rPr>
                <w:rFonts w:cs="Times New Roman"/>
                <w:noProof/>
                <w:lang w:val="en-IE"/>
              </w:rPr>
              <w:t xml:space="preserve"> regime company through such operations could benefit scaleups</w:t>
            </w:r>
            <w:r w:rsidR="000670BD">
              <w:rPr>
                <w:rFonts w:cs="Times New Roman"/>
                <w:noProof/>
                <w:lang w:val="en-IE"/>
              </w:rPr>
              <w:t xml:space="preserve"> which would see the </w:t>
            </w:r>
            <w:r w:rsidR="00C74608">
              <w:rPr>
                <w:rFonts w:cs="Times New Roman"/>
                <w:noProof/>
                <w:lang w:val="en-IE"/>
              </w:rPr>
              <w:t>28</w:t>
            </w:r>
            <w:r w:rsidR="00C74608" w:rsidRPr="00030794">
              <w:rPr>
                <w:rFonts w:cs="Times New Roman"/>
                <w:noProof/>
                <w:vertAlign w:val="superscript"/>
                <w:lang w:val="en-IE"/>
              </w:rPr>
              <w:t>th</w:t>
            </w:r>
            <w:r w:rsidR="00C74608">
              <w:rPr>
                <w:rFonts w:cs="Times New Roman"/>
                <w:noProof/>
                <w:lang w:val="en-IE"/>
              </w:rPr>
              <w:t xml:space="preserve"> regime </w:t>
            </w:r>
            <w:r w:rsidR="00A73BA4">
              <w:rPr>
                <w:rFonts w:cs="Times New Roman"/>
                <w:noProof/>
                <w:lang w:val="en-IE"/>
              </w:rPr>
              <w:t>legal form to fit its business needs</w:t>
            </w:r>
            <w:r w:rsidR="00BE70F5" w:rsidRPr="00DB24D0">
              <w:rPr>
                <w:rFonts w:cs="Times New Roman"/>
                <w:noProof/>
                <w:lang w:val="en-IE"/>
              </w:rPr>
              <w:t xml:space="preserve">. For example, </w:t>
            </w:r>
            <w:r w:rsidR="004C6FD8">
              <w:rPr>
                <w:rFonts w:cs="Times New Roman"/>
                <w:noProof/>
                <w:lang w:val="en-IE"/>
              </w:rPr>
              <w:t xml:space="preserve">where </w:t>
            </w:r>
            <w:r w:rsidR="00BE70F5" w:rsidRPr="00DB24D0">
              <w:rPr>
                <w:rFonts w:cs="Times New Roman"/>
                <w:noProof/>
                <w:lang w:val="en-IE"/>
              </w:rPr>
              <w:t xml:space="preserve">scaleups </w:t>
            </w:r>
            <w:r w:rsidR="00BE70F5" w:rsidRPr="00030794">
              <w:rPr>
                <w:rFonts w:cs="Times New Roman"/>
                <w:noProof/>
              </w:rPr>
              <w:t>from</w:t>
            </w:r>
            <w:r w:rsidR="00BE70F5" w:rsidRPr="00030794" w:rsidDel="0072726B">
              <w:rPr>
                <w:rFonts w:cs="Times New Roman"/>
                <w:noProof/>
              </w:rPr>
              <w:t xml:space="preserve"> </w:t>
            </w:r>
            <w:r w:rsidR="0072726B">
              <w:rPr>
                <w:rFonts w:cs="Times New Roman"/>
                <w:noProof/>
              </w:rPr>
              <w:t>two</w:t>
            </w:r>
            <w:r w:rsidR="00BE70F5" w:rsidRPr="00030794">
              <w:rPr>
                <w:rFonts w:cs="Times New Roman"/>
                <w:noProof/>
              </w:rPr>
              <w:t xml:space="preserve"> M</w:t>
            </w:r>
            <w:r w:rsidR="00B16870">
              <w:rPr>
                <w:rFonts w:cs="Times New Roman"/>
                <w:noProof/>
              </w:rPr>
              <w:t xml:space="preserve">ember </w:t>
            </w:r>
            <w:r w:rsidR="00BE70F5" w:rsidRPr="00030794">
              <w:rPr>
                <w:rFonts w:cs="Times New Roman"/>
                <w:noProof/>
              </w:rPr>
              <w:t>S</w:t>
            </w:r>
            <w:r w:rsidR="00B16870">
              <w:rPr>
                <w:rFonts w:cs="Times New Roman"/>
                <w:noProof/>
              </w:rPr>
              <w:t>tates</w:t>
            </w:r>
            <w:r w:rsidR="00BE70F5" w:rsidRPr="00030794">
              <w:rPr>
                <w:rFonts w:cs="Times New Roman"/>
                <w:noProof/>
              </w:rPr>
              <w:t xml:space="preserve"> </w:t>
            </w:r>
            <w:r w:rsidR="00D860F5">
              <w:rPr>
                <w:rFonts w:cs="Times New Roman"/>
                <w:noProof/>
              </w:rPr>
              <w:t>intend</w:t>
            </w:r>
            <w:r w:rsidR="00BE70F5" w:rsidRPr="00030794">
              <w:rPr>
                <w:rFonts w:cs="Times New Roman"/>
                <w:noProof/>
              </w:rPr>
              <w:t xml:space="preserve"> to merge</w:t>
            </w:r>
            <w:r w:rsidR="008B5836">
              <w:rPr>
                <w:rFonts w:cs="Times New Roman"/>
                <w:noProof/>
              </w:rPr>
              <w:t>, they m</w:t>
            </w:r>
            <w:r w:rsidR="004C6D21">
              <w:rPr>
                <w:rFonts w:cs="Times New Roman"/>
                <w:noProof/>
              </w:rPr>
              <w:t>ight</w:t>
            </w:r>
            <w:r w:rsidR="00535050">
              <w:rPr>
                <w:rFonts w:cs="Times New Roman"/>
                <w:noProof/>
              </w:rPr>
              <w:t xml:space="preserve"> wish to</w:t>
            </w:r>
            <w:r w:rsidR="00BE70F5" w:rsidRPr="00937A05">
              <w:rPr>
                <w:rFonts w:cs="Times New Roman"/>
                <w:noProof/>
              </w:rPr>
              <w:t xml:space="preserve"> </w:t>
            </w:r>
            <w:r w:rsidR="00BE70F5" w:rsidRPr="00030794">
              <w:rPr>
                <w:rFonts w:cs="Times New Roman"/>
                <w:noProof/>
              </w:rPr>
              <w:t>choose</w:t>
            </w:r>
            <w:r w:rsidR="00BE70F5">
              <w:rPr>
                <w:rFonts w:cs="Times New Roman"/>
                <w:noProof/>
              </w:rPr>
              <w:t xml:space="preserve"> </w:t>
            </w:r>
            <w:r w:rsidR="00535050">
              <w:rPr>
                <w:rFonts w:cs="Times New Roman"/>
                <w:noProof/>
              </w:rPr>
              <w:t>the</w:t>
            </w:r>
            <w:r w:rsidR="00BE70F5" w:rsidRPr="00030794">
              <w:rPr>
                <w:rFonts w:cs="Times New Roman"/>
                <w:noProof/>
              </w:rPr>
              <w:t xml:space="preserve"> 28</w:t>
            </w:r>
            <w:r w:rsidR="00BE70F5" w:rsidRPr="00030794">
              <w:rPr>
                <w:rFonts w:cs="Times New Roman"/>
                <w:noProof/>
                <w:vertAlign w:val="superscript"/>
              </w:rPr>
              <w:t>th</w:t>
            </w:r>
            <w:r w:rsidR="00BE70F5" w:rsidRPr="00030794">
              <w:rPr>
                <w:rFonts w:cs="Times New Roman"/>
                <w:noProof/>
              </w:rPr>
              <w:t xml:space="preserve"> </w:t>
            </w:r>
            <w:r w:rsidR="00D275C4">
              <w:rPr>
                <w:rFonts w:cs="Times New Roman"/>
                <w:noProof/>
              </w:rPr>
              <w:t xml:space="preserve">company </w:t>
            </w:r>
            <w:r w:rsidR="00BE70F5" w:rsidRPr="00030794">
              <w:rPr>
                <w:rFonts w:cs="Times New Roman"/>
                <w:noProof/>
              </w:rPr>
              <w:t xml:space="preserve">legal </w:t>
            </w:r>
            <w:r w:rsidR="00D275C4">
              <w:rPr>
                <w:rFonts w:cs="Times New Roman"/>
                <w:noProof/>
              </w:rPr>
              <w:t>form</w:t>
            </w:r>
            <w:r w:rsidR="00DB24D0" w:rsidRPr="00030794">
              <w:rPr>
                <w:rFonts w:cs="Times New Roman"/>
                <w:noProof/>
              </w:rPr>
              <w:t xml:space="preserve"> </w:t>
            </w:r>
            <w:r w:rsidR="00BE70F5" w:rsidRPr="00030794">
              <w:rPr>
                <w:rFonts w:cs="Times New Roman"/>
                <w:noProof/>
              </w:rPr>
              <w:t>for the merged entity.</w:t>
            </w:r>
          </w:p>
          <w:p w14:paraId="5CFA573F" w14:textId="6A3798BC" w:rsidR="000E0EDF" w:rsidRPr="00DC6DD8" w:rsidRDefault="004E4E18" w:rsidP="006F5B69">
            <w:pPr>
              <w:jc w:val="both"/>
              <w:rPr>
                <w:rFonts w:cs="Times New Roman"/>
                <w:noProof/>
              </w:rPr>
            </w:pPr>
            <w:r>
              <w:rPr>
                <w:rFonts w:cs="Times New Roman"/>
                <w:noProof/>
              </w:rPr>
              <w:t>A</w:t>
            </w:r>
            <w:r w:rsidR="00B43DE3" w:rsidRPr="2E375142">
              <w:rPr>
                <w:rFonts w:cs="Times New Roman"/>
                <w:noProof/>
              </w:rPr>
              <w:t xml:space="preserve">ll </w:t>
            </w:r>
            <w:r w:rsidR="00F23E36" w:rsidRPr="2E375142">
              <w:rPr>
                <w:rFonts w:cs="Times New Roman"/>
                <w:noProof/>
              </w:rPr>
              <w:t xml:space="preserve">the </w:t>
            </w:r>
            <w:r w:rsidR="00B43DE3" w:rsidRPr="2E375142">
              <w:rPr>
                <w:rFonts w:cs="Times New Roman"/>
                <w:noProof/>
              </w:rPr>
              <w:t xml:space="preserve">trade unions </w:t>
            </w:r>
            <w:r w:rsidR="00F23E36" w:rsidRPr="2E375142">
              <w:rPr>
                <w:rFonts w:cs="Times New Roman"/>
                <w:noProof/>
              </w:rPr>
              <w:t xml:space="preserve">that replied to the public consultation were of the opinion </w:t>
            </w:r>
            <w:r w:rsidR="00B43DE3" w:rsidRPr="2E375142">
              <w:rPr>
                <w:rFonts w:cs="Times New Roman"/>
                <w:noProof/>
              </w:rPr>
              <w:t xml:space="preserve">that </w:t>
            </w:r>
            <w:r w:rsidR="00F23E36" w:rsidRPr="2E375142">
              <w:rPr>
                <w:rFonts w:cs="Times New Roman"/>
                <w:noProof/>
              </w:rPr>
              <w:t xml:space="preserve">it </w:t>
            </w:r>
            <w:r w:rsidR="00AC18BA" w:rsidRPr="2E375142">
              <w:rPr>
                <w:rFonts w:cs="Times New Roman"/>
                <w:noProof/>
              </w:rPr>
              <w:t>sh</w:t>
            </w:r>
            <w:r w:rsidR="00F23E36" w:rsidRPr="2E375142">
              <w:rPr>
                <w:rFonts w:cs="Times New Roman"/>
                <w:noProof/>
              </w:rPr>
              <w:t xml:space="preserve">ould only be allowed to create a 28th regime company </w:t>
            </w:r>
            <w:r w:rsidR="00B43DE3" w:rsidRPr="2E375142">
              <w:rPr>
                <w:rFonts w:cs="Times New Roman"/>
                <w:noProof/>
              </w:rPr>
              <w:t>“from scratch”</w:t>
            </w:r>
            <w:r w:rsidR="00F23E36" w:rsidRPr="2E375142">
              <w:rPr>
                <w:rFonts w:cs="Times New Roman"/>
                <w:noProof/>
              </w:rPr>
              <w:t xml:space="preserve"> (i.e. no domestic conversion, no cross-border operations). </w:t>
            </w:r>
            <w:r w:rsidR="00D81592">
              <w:rPr>
                <w:rFonts w:cs="Times New Roman"/>
                <w:noProof/>
              </w:rPr>
              <w:t>By contrast, a</w:t>
            </w:r>
            <w:r w:rsidR="00D81592" w:rsidRPr="007978EF">
              <w:rPr>
                <w:rFonts w:cs="Times New Roman"/>
                <w:noProof/>
              </w:rPr>
              <w:t xml:space="preserve">ll </w:t>
            </w:r>
            <w:r w:rsidR="00FB3BB6">
              <w:rPr>
                <w:rFonts w:cs="Times New Roman"/>
                <w:noProof/>
              </w:rPr>
              <w:t>r</w:t>
            </w:r>
            <w:r w:rsidR="00D81592" w:rsidRPr="007978EF">
              <w:rPr>
                <w:rFonts w:cs="Times New Roman"/>
                <w:noProof/>
              </w:rPr>
              <w:t>eplying public authorities</w:t>
            </w:r>
            <w:r w:rsidR="00FB3BB6">
              <w:rPr>
                <w:rFonts w:cs="Times New Roman"/>
                <w:noProof/>
              </w:rPr>
              <w:t xml:space="preserve"> were in favour of</w:t>
            </w:r>
            <w:r w:rsidR="00E9318D">
              <w:rPr>
                <w:rFonts w:cs="Times New Roman"/>
                <w:noProof/>
              </w:rPr>
              <w:t xml:space="preserve"> </w:t>
            </w:r>
            <w:r w:rsidR="00B716F3">
              <w:rPr>
                <w:rFonts w:cs="Times New Roman"/>
                <w:noProof/>
              </w:rPr>
              <w:t>allowing for 28</w:t>
            </w:r>
            <w:r w:rsidR="00B716F3" w:rsidRPr="00030794">
              <w:rPr>
                <w:rFonts w:cs="Times New Roman"/>
                <w:noProof/>
                <w:vertAlign w:val="superscript"/>
              </w:rPr>
              <w:t>th</w:t>
            </w:r>
            <w:r w:rsidR="00B716F3">
              <w:rPr>
                <w:rFonts w:cs="Times New Roman"/>
                <w:noProof/>
              </w:rPr>
              <w:t xml:space="preserve"> regime companies to be created through conversions.</w:t>
            </w:r>
            <w:r w:rsidR="00FB3BB6">
              <w:rPr>
                <w:rFonts w:cs="Times New Roman"/>
                <w:noProof/>
              </w:rPr>
              <w:t xml:space="preserve"> </w:t>
            </w:r>
            <w:r w:rsidR="007978EF">
              <w:rPr>
                <w:rFonts w:cs="Times New Roman"/>
                <w:noProof/>
              </w:rPr>
              <w:t xml:space="preserve">Overall, </w:t>
            </w:r>
            <w:r w:rsidR="007978EF" w:rsidRPr="007978EF">
              <w:rPr>
                <w:rFonts w:cs="Times New Roman"/>
                <w:noProof/>
              </w:rPr>
              <w:t>a large majority of respondents</w:t>
            </w:r>
            <w:r w:rsidR="004E5AA0">
              <w:rPr>
                <w:rFonts w:cs="Times New Roman"/>
                <w:noProof/>
              </w:rPr>
              <w:t xml:space="preserve"> replied that</w:t>
            </w:r>
            <w:r w:rsidR="007978EF" w:rsidRPr="007978EF">
              <w:rPr>
                <w:rFonts w:cs="Times New Roman"/>
                <w:noProof/>
              </w:rPr>
              <w:t xml:space="preserve"> both </w:t>
            </w:r>
            <w:r w:rsidR="007978EF">
              <w:rPr>
                <w:rFonts w:cs="Times New Roman"/>
                <w:noProof/>
              </w:rPr>
              <w:t>the creation</w:t>
            </w:r>
            <w:r w:rsidR="007978EF" w:rsidRPr="007978EF">
              <w:rPr>
                <w:rFonts w:cs="Times New Roman"/>
                <w:noProof/>
              </w:rPr>
              <w:t xml:space="preserve"> “from scratch” (88%)</w:t>
            </w:r>
            <w:r w:rsidR="007978EF">
              <w:rPr>
                <w:rFonts w:cs="Times New Roman"/>
                <w:noProof/>
              </w:rPr>
              <w:t xml:space="preserve"> </w:t>
            </w:r>
            <w:r w:rsidR="004E5AA0">
              <w:rPr>
                <w:rFonts w:cs="Times New Roman"/>
                <w:noProof/>
              </w:rPr>
              <w:t>and the conversion of</w:t>
            </w:r>
            <w:r w:rsidR="007978EF" w:rsidRPr="007978EF">
              <w:rPr>
                <w:rFonts w:cs="Times New Roman"/>
                <w:noProof/>
              </w:rPr>
              <w:t xml:space="preserve"> an existing company (81%)</w:t>
            </w:r>
            <w:r w:rsidR="00524201">
              <w:rPr>
                <w:rFonts w:cs="Times New Roman"/>
                <w:noProof/>
              </w:rPr>
              <w:t xml:space="preserve"> into a 28</w:t>
            </w:r>
            <w:r w:rsidR="00524201" w:rsidRPr="00030794">
              <w:rPr>
                <w:rFonts w:cs="Times New Roman"/>
                <w:noProof/>
                <w:vertAlign w:val="superscript"/>
              </w:rPr>
              <w:t>th</w:t>
            </w:r>
            <w:r w:rsidR="00524201">
              <w:rPr>
                <w:rFonts w:cs="Times New Roman"/>
                <w:noProof/>
              </w:rPr>
              <w:t xml:space="preserve"> regime company</w:t>
            </w:r>
            <w:r w:rsidR="007978EF" w:rsidRPr="007978EF">
              <w:rPr>
                <w:rFonts w:cs="Times New Roman"/>
                <w:noProof/>
              </w:rPr>
              <w:t xml:space="preserve"> should be available.</w:t>
            </w:r>
          </w:p>
        </w:tc>
      </w:tr>
      <w:tr w:rsidR="00E7381C" w:rsidRPr="00DC6DD8" w14:paraId="07A7D522" w14:textId="77777777" w:rsidTr="004F5C87">
        <w:trPr>
          <w:trHeight w:val="980"/>
        </w:trPr>
        <w:tc>
          <w:tcPr>
            <w:tcW w:w="2122" w:type="dxa"/>
            <w:vAlign w:val="center"/>
          </w:tcPr>
          <w:p w14:paraId="7C4EEA84" w14:textId="77777777" w:rsidR="00E7381C" w:rsidRDefault="00E7381C">
            <w:pPr>
              <w:rPr>
                <w:b/>
                <w:noProof/>
                <w:szCs w:val="20"/>
              </w:rPr>
            </w:pPr>
            <w:r w:rsidRPr="004F5C87">
              <w:rPr>
                <w:b/>
                <w:noProof/>
                <w:szCs w:val="20"/>
              </w:rPr>
              <w:t>Ease of attracting investment</w:t>
            </w:r>
          </w:p>
        </w:tc>
        <w:tc>
          <w:tcPr>
            <w:tcW w:w="1508" w:type="dxa"/>
          </w:tcPr>
          <w:p w14:paraId="7A87C4E8" w14:textId="77777777" w:rsidR="00E7381C" w:rsidRPr="00170FBB" w:rsidRDefault="00E7381C">
            <w:pPr>
              <w:rPr>
                <w:noProof/>
                <w:sz w:val="18"/>
                <w:szCs w:val="18"/>
              </w:rPr>
            </w:pPr>
            <w:r w:rsidRPr="00170FBB">
              <w:rPr>
                <w:noProof/>
                <w:sz w:val="18"/>
                <w:szCs w:val="18"/>
              </w:rPr>
              <w:t>Score 0-5</w:t>
            </w:r>
          </w:p>
          <w:p w14:paraId="4599FB55" w14:textId="77777777" w:rsidR="00E7381C" w:rsidRPr="00170FBB" w:rsidRDefault="00E7381C">
            <w:pPr>
              <w:rPr>
                <w:noProof/>
                <w:sz w:val="18"/>
                <w:szCs w:val="18"/>
              </w:rPr>
            </w:pPr>
          </w:p>
          <w:p w14:paraId="3F4BB9E1" w14:textId="77777777" w:rsidR="00E7381C" w:rsidRPr="00170FBB" w:rsidRDefault="00E7381C">
            <w:pPr>
              <w:rPr>
                <w:noProof/>
                <w:sz w:val="18"/>
                <w:szCs w:val="18"/>
              </w:rPr>
            </w:pPr>
          </w:p>
        </w:tc>
        <w:tc>
          <w:tcPr>
            <w:tcW w:w="1042" w:type="dxa"/>
          </w:tcPr>
          <w:p w14:paraId="5726C9F3" w14:textId="3FC143D6" w:rsidR="00E7381C" w:rsidRPr="00270139" w:rsidRDefault="00270139" w:rsidP="00270139">
            <w:pPr>
              <w:jc w:val="center"/>
              <w:rPr>
                <w:bCs/>
                <w:noProof/>
                <w:szCs w:val="20"/>
              </w:rPr>
            </w:pPr>
            <w:r w:rsidRPr="00270139">
              <w:rPr>
                <w:bCs/>
                <w:noProof/>
                <w:szCs w:val="20"/>
              </w:rPr>
              <w:t>2</w:t>
            </w:r>
          </w:p>
        </w:tc>
        <w:tc>
          <w:tcPr>
            <w:tcW w:w="996" w:type="dxa"/>
          </w:tcPr>
          <w:p w14:paraId="061E479F" w14:textId="0D1C3F16" w:rsidR="00E7381C" w:rsidRPr="00270139" w:rsidRDefault="00270139" w:rsidP="00270139">
            <w:pPr>
              <w:jc w:val="center"/>
              <w:rPr>
                <w:bCs/>
                <w:noProof/>
                <w:szCs w:val="20"/>
              </w:rPr>
            </w:pPr>
            <w:r w:rsidRPr="00270139">
              <w:rPr>
                <w:bCs/>
                <w:noProof/>
                <w:szCs w:val="20"/>
              </w:rPr>
              <w:t>3</w:t>
            </w:r>
          </w:p>
        </w:tc>
        <w:tc>
          <w:tcPr>
            <w:tcW w:w="994" w:type="dxa"/>
          </w:tcPr>
          <w:p w14:paraId="52AE5828" w14:textId="5B5D27A7" w:rsidR="00E7381C" w:rsidRPr="00270139" w:rsidRDefault="001E6870" w:rsidP="00270139">
            <w:pPr>
              <w:jc w:val="center"/>
              <w:rPr>
                <w:bCs/>
                <w:noProof/>
                <w:szCs w:val="20"/>
              </w:rPr>
            </w:pPr>
            <w:r>
              <w:rPr>
                <w:bCs/>
                <w:noProof/>
                <w:szCs w:val="20"/>
              </w:rPr>
              <w:t>4</w:t>
            </w:r>
          </w:p>
        </w:tc>
        <w:tc>
          <w:tcPr>
            <w:tcW w:w="7508" w:type="dxa"/>
          </w:tcPr>
          <w:p w14:paraId="056E30A6" w14:textId="15B86D69" w:rsidR="00A51729" w:rsidRDefault="0083419F" w:rsidP="00200E88">
            <w:pPr>
              <w:jc w:val="both"/>
              <w:rPr>
                <w:rFonts w:cs="Times New Roman"/>
                <w:noProof/>
                <w:szCs w:val="20"/>
                <w:lang w:val="en-IE"/>
              </w:rPr>
            </w:pPr>
            <w:r>
              <w:rPr>
                <w:noProof/>
                <w:szCs w:val="20"/>
              </w:rPr>
              <w:t>A</w:t>
            </w:r>
            <w:r w:rsidR="00991E44">
              <w:rPr>
                <w:noProof/>
                <w:szCs w:val="20"/>
              </w:rPr>
              <w:t>s</w:t>
            </w:r>
            <w:r w:rsidR="00153786">
              <w:rPr>
                <w:noProof/>
                <w:szCs w:val="20"/>
              </w:rPr>
              <w:t xml:space="preserve"> </w:t>
            </w:r>
            <w:r w:rsidR="00056FAF">
              <w:rPr>
                <w:noProof/>
                <w:szCs w:val="20"/>
              </w:rPr>
              <w:t>described for</w:t>
            </w:r>
            <w:r w:rsidR="00991E44">
              <w:rPr>
                <w:noProof/>
                <w:szCs w:val="20"/>
              </w:rPr>
              <w:t xml:space="preserve"> the </w:t>
            </w:r>
            <w:r w:rsidR="00A54164">
              <w:rPr>
                <w:noProof/>
                <w:szCs w:val="20"/>
              </w:rPr>
              <w:t xml:space="preserve">ease of doing business, the introduction of </w:t>
            </w:r>
            <w:r w:rsidR="00A54164" w:rsidRPr="00217F66">
              <w:rPr>
                <w:noProof/>
                <w:szCs w:val="20"/>
              </w:rPr>
              <w:t>a common EU corporate legal form with a recognisable identity</w:t>
            </w:r>
            <w:r w:rsidR="00A54164">
              <w:rPr>
                <w:noProof/>
                <w:szCs w:val="20"/>
              </w:rPr>
              <w:t xml:space="preserve"> </w:t>
            </w:r>
            <w:r w:rsidR="00991E44">
              <w:rPr>
                <w:noProof/>
                <w:szCs w:val="20"/>
              </w:rPr>
              <w:t xml:space="preserve">would </w:t>
            </w:r>
            <w:r w:rsidR="00A54164" w:rsidRPr="00217F66">
              <w:rPr>
                <w:noProof/>
                <w:szCs w:val="20"/>
              </w:rPr>
              <w:t>creat</w:t>
            </w:r>
            <w:r w:rsidR="00991E44">
              <w:rPr>
                <w:noProof/>
                <w:szCs w:val="20"/>
              </w:rPr>
              <w:t>e t</w:t>
            </w:r>
            <w:r w:rsidR="00A54164" w:rsidRPr="00217F66">
              <w:rPr>
                <w:noProof/>
                <w:szCs w:val="20"/>
              </w:rPr>
              <w:t xml:space="preserve">he </w:t>
            </w:r>
            <w:r w:rsidR="00991E44">
              <w:rPr>
                <w:noProof/>
                <w:szCs w:val="20"/>
              </w:rPr>
              <w:t xml:space="preserve">framework </w:t>
            </w:r>
            <w:r w:rsidR="00A54164" w:rsidRPr="00217F66">
              <w:rPr>
                <w:noProof/>
                <w:szCs w:val="20"/>
              </w:rPr>
              <w:t>conditions under which the other policy options can operate effectively.</w:t>
            </w:r>
            <w:r w:rsidR="00BC4CF4">
              <w:rPr>
                <w:noProof/>
                <w:szCs w:val="20"/>
              </w:rPr>
              <w:t xml:space="preserve"> R</w:t>
            </w:r>
            <w:r w:rsidR="00D76684">
              <w:rPr>
                <w:noProof/>
                <w:szCs w:val="20"/>
              </w:rPr>
              <w:t xml:space="preserve">espondents to the public consultation </w:t>
            </w:r>
            <w:r w:rsidR="00401D04" w:rsidRPr="009F657F">
              <w:rPr>
                <w:rFonts w:cs="Times New Roman"/>
                <w:noProof/>
                <w:szCs w:val="20"/>
                <w:lang w:val="en-IE"/>
              </w:rPr>
              <w:t xml:space="preserve">considered that the most significant benefit </w:t>
            </w:r>
            <w:r w:rsidR="008339AF">
              <w:rPr>
                <w:rFonts w:cs="Times New Roman"/>
                <w:noProof/>
                <w:szCs w:val="20"/>
                <w:lang w:val="en-IE"/>
              </w:rPr>
              <w:t>of having a</w:t>
            </w:r>
            <w:r w:rsidR="00CC3CCE">
              <w:rPr>
                <w:rFonts w:cs="Times New Roman"/>
                <w:noProof/>
                <w:szCs w:val="20"/>
                <w:lang w:val="en-IE"/>
              </w:rPr>
              <w:t>n</w:t>
            </w:r>
            <w:r w:rsidR="008339AF">
              <w:rPr>
                <w:rFonts w:cs="Times New Roman"/>
                <w:noProof/>
                <w:szCs w:val="20"/>
                <w:lang w:val="en-IE"/>
              </w:rPr>
              <w:t xml:space="preserve"> EU brand </w:t>
            </w:r>
            <w:r w:rsidR="00401D04" w:rsidRPr="009F657F">
              <w:rPr>
                <w:rFonts w:cs="Times New Roman"/>
                <w:noProof/>
                <w:szCs w:val="20"/>
                <w:lang w:val="en-IE"/>
              </w:rPr>
              <w:t>was that investors would be attracted to invest in 28</w:t>
            </w:r>
            <w:r w:rsidR="00401D04" w:rsidRPr="00E57C3A">
              <w:rPr>
                <w:rFonts w:cs="Times New Roman"/>
                <w:noProof/>
                <w:szCs w:val="20"/>
                <w:vertAlign w:val="superscript"/>
                <w:lang w:val="en-IE"/>
              </w:rPr>
              <w:t>th</w:t>
            </w:r>
            <w:r w:rsidR="00401D04" w:rsidRPr="009F657F">
              <w:rPr>
                <w:rFonts w:cs="Times New Roman"/>
                <w:noProof/>
                <w:szCs w:val="20"/>
                <w:lang w:val="en-IE"/>
              </w:rPr>
              <w:t xml:space="preserve"> regime companies, with 93% considering that this would be the case to a large or very large extent (and 73% as very large).</w:t>
            </w:r>
            <w:r w:rsidR="00153A2A">
              <w:rPr>
                <w:rFonts w:cs="Times New Roman"/>
                <w:noProof/>
                <w:szCs w:val="20"/>
                <w:lang w:val="en-IE"/>
              </w:rPr>
              <w:t xml:space="preserve"> </w:t>
            </w:r>
            <w:r w:rsidR="00200E88">
              <w:rPr>
                <w:rFonts w:cs="Times New Roman"/>
                <w:noProof/>
                <w:szCs w:val="20"/>
              </w:rPr>
              <w:t>For investors, a</w:t>
            </w:r>
            <w:r w:rsidR="00200E88">
              <w:rPr>
                <w:rFonts w:cs="Times New Roman"/>
                <w:noProof/>
                <w:szCs w:val="20"/>
                <w:lang w:val="en-IE"/>
              </w:rPr>
              <w:t xml:space="preserve"> common set of rules with a recognisable brand would mean that </w:t>
            </w:r>
            <w:r w:rsidR="002312AD">
              <w:rPr>
                <w:rFonts w:cs="Times New Roman"/>
                <w:noProof/>
                <w:szCs w:val="20"/>
                <w:lang w:val="en-IE"/>
              </w:rPr>
              <w:t>they</w:t>
            </w:r>
            <w:r w:rsidR="00200E88">
              <w:rPr>
                <w:rFonts w:cs="Times New Roman"/>
                <w:noProof/>
                <w:szCs w:val="20"/>
                <w:lang w:val="en-IE"/>
              </w:rPr>
              <w:t xml:space="preserve"> would not need to carry out a due diligence of all the different national legal frameworks where the</w:t>
            </w:r>
            <w:r w:rsidR="002312AD">
              <w:rPr>
                <w:rFonts w:cs="Times New Roman"/>
                <w:noProof/>
                <w:szCs w:val="20"/>
                <w:lang w:val="en-IE"/>
              </w:rPr>
              <w:t>y</w:t>
            </w:r>
            <w:r w:rsidR="00200E88">
              <w:rPr>
                <w:rFonts w:cs="Times New Roman"/>
                <w:noProof/>
                <w:szCs w:val="20"/>
                <w:lang w:val="en-IE"/>
              </w:rPr>
              <w:t xml:space="preserve"> would plan to invest.</w:t>
            </w:r>
            <w:r w:rsidR="002312AD">
              <w:rPr>
                <w:rFonts w:cs="Times New Roman"/>
                <w:noProof/>
                <w:szCs w:val="20"/>
                <w:lang w:val="en-IE"/>
              </w:rPr>
              <w:t xml:space="preserve"> The</w:t>
            </w:r>
            <w:r w:rsidR="00C54ACD">
              <w:rPr>
                <w:rFonts w:cs="Times New Roman"/>
                <w:noProof/>
                <w:szCs w:val="20"/>
                <w:lang w:val="en-IE"/>
              </w:rPr>
              <w:t xml:space="preserve"> importance of the recognisable EU brand was also</w:t>
            </w:r>
            <w:r w:rsidR="00DC132B">
              <w:rPr>
                <w:rFonts w:cs="Times New Roman"/>
                <w:noProof/>
                <w:szCs w:val="20"/>
                <w:lang w:val="en-IE"/>
              </w:rPr>
              <w:t xml:space="preserve"> clear</w:t>
            </w:r>
            <w:r w:rsidR="002312AD">
              <w:rPr>
                <w:rFonts w:cs="Times New Roman"/>
                <w:noProof/>
                <w:szCs w:val="20"/>
                <w:lang w:val="en-IE"/>
              </w:rPr>
              <w:t xml:space="preserve">ly underlined by the </w:t>
            </w:r>
            <w:r w:rsidR="002312AD">
              <w:rPr>
                <w:noProof/>
                <w:szCs w:val="20"/>
              </w:rPr>
              <w:t>participants to</w:t>
            </w:r>
            <w:r w:rsidR="002312AD">
              <w:rPr>
                <w:rFonts w:cs="Times New Roman"/>
                <w:noProof/>
                <w:szCs w:val="20"/>
                <w:lang w:val="en-IE"/>
              </w:rPr>
              <w:t xml:space="preserve"> the workshops</w:t>
            </w:r>
            <w:r w:rsidR="001A5990">
              <w:rPr>
                <w:rFonts w:cs="Times New Roman"/>
                <w:noProof/>
                <w:szCs w:val="20"/>
                <w:lang w:val="en-IE"/>
              </w:rPr>
              <w:t xml:space="preserve">. </w:t>
            </w:r>
            <w:r w:rsidR="00A65C98">
              <w:rPr>
                <w:rFonts w:cs="Times New Roman"/>
                <w:noProof/>
                <w:szCs w:val="20"/>
                <w:lang w:val="en-IE"/>
              </w:rPr>
              <w:t>For example, t</w:t>
            </w:r>
            <w:r w:rsidR="001A5990">
              <w:rPr>
                <w:rFonts w:cs="Times New Roman"/>
                <w:noProof/>
                <w:szCs w:val="20"/>
                <w:lang w:val="en-IE"/>
              </w:rPr>
              <w:t xml:space="preserve">he possibility of </w:t>
            </w:r>
            <w:r w:rsidR="008C3722">
              <w:rPr>
                <w:rFonts w:cs="Times New Roman"/>
                <w:noProof/>
                <w:szCs w:val="20"/>
                <w:lang w:val="en-IE"/>
              </w:rPr>
              <w:t>keep</w:t>
            </w:r>
            <w:r w:rsidR="00C54ACD">
              <w:rPr>
                <w:rFonts w:cs="Times New Roman"/>
                <w:noProof/>
                <w:szCs w:val="20"/>
                <w:lang w:val="en-IE"/>
              </w:rPr>
              <w:t>ing</w:t>
            </w:r>
            <w:r w:rsidR="00BC4CF4">
              <w:rPr>
                <w:rFonts w:cs="Times New Roman"/>
                <w:noProof/>
                <w:szCs w:val="20"/>
                <w:lang w:val="en-IE"/>
              </w:rPr>
              <w:t xml:space="preserve"> a recognisable EU-brand </w:t>
            </w:r>
            <w:r w:rsidR="00C54ACD">
              <w:rPr>
                <w:rFonts w:cs="Times New Roman"/>
                <w:noProof/>
                <w:szCs w:val="20"/>
                <w:lang w:val="en-IE"/>
              </w:rPr>
              <w:t xml:space="preserve">in case the company decides to access regulated market was considered to </w:t>
            </w:r>
            <w:r w:rsidR="001A5990">
              <w:rPr>
                <w:rFonts w:cs="Times New Roman"/>
                <w:noProof/>
                <w:szCs w:val="20"/>
                <w:lang w:val="en-IE"/>
              </w:rPr>
              <w:t xml:space="preserve">bring </w:t>
            </w:r>
            <w:r w:rsidR="00DC132B">
              <w:rPr>
                <w:rFonts w:cs="Times New Roman"/>
                <w:noProof/>
                <w:szCs w:val="20"/>
                <w:lang w:val="en-IE"/>
              </w:rPr>
              <w:t xml:space="preserve">high </w:t>
            </w:r>
            <w:r w:rsidR="001A5990">
              <w:rPr>
                <w:rFonts w:cs="Times New Roman"/>
                <w:noProof/>
                <w:szCs w:val="20"/>
                <w:lang w:val="en-IE"/>
              </w:rPr>
              <w:t xml:space="preserve">benefits </w:t>
            </w:r>
            <w:r w:rsidR="00C66310">
              <w:rPr>
                <w:rFonts w:cs="Times New Roman"/>
                <w:noProof/>
                <w:szCs w:val="20"/>
                <w:lang w:val="en-IE"/>
              </w:rPr>
              <w:t>(</w:t>
            </w:r>
            <w:r w:rsidR="00DC132B">
              <w:rPr>
                <w:rFonts w:cs="Times New Roman"/>
                <w:noProof/>
                <w:szCs w:val="20"/>
                <w:lang w:val="en-IE"/>
              </w:rPr>
              <w:t xml:space="preserve">5.6 </w:t>
            </w:r>
            <w:r w:rsidR="00C66310">
              <w:rPr>
                <w:rFonts w:cs="Times New Roman"/>
                <w:noProof/>
                <w:szCs w:val="20"/>
                <w:lang w:val="en-IE"/>
              </w:rPr>
              <w:t xml:space="preserve">on the scale </w:t>
            </w:r>
            <w:r w:rsidR="00DC132B">
              <w:rPr>
                <w:rFonts w:cs="Times New Roman"/>
                <w:noProof/>
                <w:szCs w:val="20"/>
                <w:lang w:val="en-IE"/>
              </w:rPr>
              <w:t>of 1</w:t>
            </w:r>
            <w:r w:rsidR="00C66310">
              <w:rPr>
                <w:rFonts w:cs="Times New Roman"/>
                <w:noProof/>
                <w:szCs w:val="20"/>
                <w:lang w:val="en-IE"/>
              </w:rPr>
              <w:t>-6</w:t>
            </w:r>
            <w:r w:rsidR="00F35E14">
              <w:rPr>
                <w:rFonts w:cs="Times New Roman"/>
                <w:noProof/>
                <w:szCs w:val="20"/>
                <w:lang w:val="en-IE"/>
              </w:rPr>
              <w:t xml:space="preserve">, corresponding to </w:t>
            </w:r>
            <w:r w:rsidR="00EE5E71">
              <w:rPr>
                <w:rFonts w:cs="Times New Roman"/>
                <w:noProof/>
                <w:szCs w:val="20"/>
                <w:lang w:val="en-IE"/>
              </w:rPr>
              <w:t xml:space="preserve">benefits of </w:t>
            </w:r>
            <w:r w:rsidR="00F35E14">
              <w:rPr>
                <w:rFonts w:cs="Times New Roman"/>
                <w:noProof/>
                <w:szCs w:val="20"/>
                <w:lang w:val="en-IE"/>
              </w:rPr>
              <w:t>more than 80%)</w:t>
            </w:r>
            <w:r w:rsidR="00EE5E71">
              <w:rPr>
                <w:rFonts w:cs="Times New Roman"/>
                <w:noProof/>
                <w:szCs w:val="20"/>
                <w:lang w:val="en-IE"/>
              </w:rPr>
              <w:t>.</w:t>
            </w:r>
          </w:p>
          <w:p w14:paraId="0578D59F" w14:textId="0FB3821C" w:rsidR="0080459E" w:rsidRPr="00DC6DD8" w:rsidRDefault="002D7F50" w:rsidP="00200E88">
            <w:pPr>
              <w:jc w:val="both"/>
              <w:rPr>
                <w:noProof/>
                <w:szCs w:val="20"/>
              </w:rPr>
            </w:pPr>
            <w:r>
              <w:rPr>
                <w:rFonts w:cs="Times New Roman"/>
                <w:noProof/>
                <w:szCs w:val="20"/>
                <w:lang w:val="en-IE"/>
              </w:rPr>
              <w:t xml:space="preserve">Among the 3 options, PO1c scores highest as it </w:t>
            </w:r>
            <w:r w:rsidR="005200AD">
              <w:rPr>
                <w:rFonts w:cs="Times New Roman"/>
                <w:noProof/>
                <w:szCs w:val="20"/>
                <w:lang w:val="en-IE"/>
              </w:rPr>
              <w:t xml:space="preserve">enables </w:t>
            </w:r>
            <w:r w:rsidR="003F6356">
              <w:rPr>
                <w:rFonts w:cs="Times New Roman"/>
                <w:noProof/>
                <w:szCs w:val="20"/>
                <w:lang w:val="en-IE"/>
              </w:rPr>
              <w:t xml:space="preserve">the </w:t>
            </w:r>
            <w:r w:rsidR="00694CF2">
              <w:rPr>
                <w:rFonts w:cs="Times New Roman"/>
                <w:noProof/>
                <w:szCs w:val="20"/>
                <w:lang w:val="en-IE"/>
              </w:rPr>
              <w:t>most</w:t>
            </w:r>
            <w:r w:rsidR="003F6356">
              <w:rPr>
                <w:rFonts w:cs="Times New Roman"/>
                <w:noProof/>
                <w:szCs w:val="20"/>
                <w:lang w:val="en-IE"/>
              </w:rPr>
              <w:t xml:space="preserve"> businesses to </w:t>
            </w:r>
            <w:r w:rsidR="00656DE8">
              <w:rPr>
                <w:rFonts w:cs="Times New Roman"/>
                <w:noProof/>
                <w:szCs w:val="20"/>
                <w:lang w:val="en-IE"/>
              </w:rPr>
              <w:t>increase their attractiveness to investors by choosing the 28</w:t>
            </w:r>
            <w:r w:rsidR="00656DE8" w:rsidRPr="00DB33CC">
              <w:rPr>
                <w:rFonts w:cs="Times New Roman"/>
                <w:noProof/>
                <w:szCs w:val="20"/>
                <w:vertAlign w:val="superscript"/>
                <w:lang w:val="en-IE"/>
              </w:rPr>
              <w:t>th</w:t>
            </w:r>
            <w:r w:rsidR="00656DE8">
              <w:rPr>
                <w:rFonts w:cs="Times New Roman"/>
                <w:noProof/>
                <w:szCs w:val="20"/>
                <w:lang w:val="en-IE"/>
              </w:rPr>
              <w:t xml:space="preserve"> regime corporate legal form. </w:t>
            </w:r>
          </w:p>
        </w:tc>
      </w:tr>
      <w:tr w:rsidR="00E7381C" w:rsidRPr="00DC6DD8" w14:paraId="6D901E4B" w14:textId="77777777" w:rsidTr="004F5C87">
        <w:tc>
          <w:tcPr>
            <w:tcW w:w="2122" w:type="dxa"/>
            <w:vAlign w:val="center"/>
          </w:tcPr>
          <w:p w14:paraId="4CA83ECF" w14:textId="77777777" w:rsidR="00E7381C" w:rsidRPr="00DC6DD8" w:rsidRDefault="00E7381C">
            <w:pPr>
              <w:rPr>
                <w:b/>
                <w:noProof/>
                <w:szCs w:val="20"/>
              </w:rPr>
            </w:pPr>
            <w:r w:rsidRPr="004F5C87">
              <w:rPr>
                <w:b/>
                <w:noProof/>
                <w:szCs w:val="20"/>
              </w:rPr>
              <w:t>Administrative burden reduction (benefit)</w:t>
            </w:r>
          </w:p>
        </w:tc>
        <w:tc>
          <w:tcPr>
            <w:tcW w:w="1508" w:type="dxa"/>
          </w:tcPr>
          <w:p w14:paraId="72A096D9" w14:textId="0136A783" w:rsidR="00270139" w:rsidRDefault="00270139">
            <w:pPr>
              <w:rPr>
                <w:noProof/>
                <w:sz w:val="18"/>
                <w:szCs w:val="18"/>
              </w:rPr>
            </w:pPr>
            <w:r>
              <w:rPr>
                <w:noProof/>
                <w:sz w:val="18"/>
                <w:szCs w:val="18"/>
              </w:rPr>
              <w:t>Score 0-5</w:t>
            </w:r>
          </w:p>
          <w:p w14:paraId="6D7E73A6" w14:textId="4C750F4D" w:rsidR="00E7381C" w:rsidRPr="00170FBB" w:rsidRDefault="00E7381C">
            <w:pPr>
              <w:rPr>
                <w:noProof/>
                <w:sz w:val="18"/>
                <w:szCs w:val="18"/>
              </w:rPr>
            </w:pPr>
          </w:p>
        </w:tc>
        <w:tc>
          <w:tcPr>
            <w:tcW w:w="1042" w:type="dxa"/>
          </w:tcPr>
          <w:p w14:paraId="27278917" w14:textId="654B2855" w:rsidR="00E7381C" w:rsidRDefault="00BA1889" w:rsidP="008F13DF">
            <w:pPr>
              <w:jc w:val="center"/>
              <w:rPr>
                <w:noProof/>
                <w:szCs w:val="20"/>
              </w:rPr>
            </w:pPr>
            <w:r>
              <w:rPr>
                <w:noProof/>
                <w:szCs w:val="20"/>
              </w:rPr>
              <w:t>2</w:t>
            </w:r>
          </w:p>
        </w:tc>
        <w:tc>
          <w:tcPr>
            <w:tcW w:w="996" w:type="dxa"/>
          </w:tcPr>
          <w:p w14:paraId="32C2EC7B" w14:textId="2971F122" w:rsidR="00E7381C" w:rsidRDefault="008F13DF" w:rsidP="00270139">
            <w:pPr>
              <w:jc w:val="center"/>
              <w:rPr>
                <w:noProof/>
                <w:szCs w:val="20"/>
              </w:rPr>
            </w:pPr>
            <w:r>
              <w:rPr>
                <w:noProof/>
                <w:szCs w:val="20"/>
              </w:rPr>
              <w:t>3</w:t>
            </w:r>
          </w:p>
        </w:tc>
        <w:tc>
          <w:tcPr>
            <w:tcW w:w="994" w:type="dxa"/>
          </w:tcPr>
          <w:p w14:paraId="7AF6FC34" w14:textId="5FE01B0D" w:rsidR="00E7381C" w:rsidRDefault="001E6870" w:rsidP="008F13DF">
            <w:pPr>
              <w:jc w:val="center"/>
              <w:rPr>
                <w:noProof/>
                <w:szCs w:val="20"/>
              </w:rPr>
            </w:pPr>
            <w:r>
              <w:rPr>
                <w:noProof/>
                <w:szCs w:val="20"/>
              </w:rPr>
              <w:t>4</w:t>
            </w:r>
          </w:p>
        </w:tc>
        <w:tc>
          <w:tcPr>
            <w:tcW w:w="7508" w:type="dxa"/>
          </w:tcPr>
          <w:p w14:paraId="703648B4" w14:textId="154DC97F" w:rsidR="00545B85" w:rsidRPr="003454BA" w:rsidRDefault="00C30B2B" w:rsidP="00394896">
            <w:pPr>
              <w:jc w:val="both"/>
              <w:rPr>
                <w:noProof/>
                <w:szCs w:val="20"/>
              </w:rPr>
            </w:pPr>
            <w:r>
              <w:rPr>
                <w:noProof/>
                <w:szCs w:val="20"/>
              </w:rPr>
              <w:t xml:space="preserve">The participants to the workshops estimated that </w:t>
            </w:r>
            <w:r w:rsidR="00114225">
              <w:rPr>
                <w:noProof/>
                <w:szCs w:val="20"/>
              </w:rPr>
              <w:t xml:space="preserve">a harmonised legal form with </w:t>
            </w:r>
            <w:r w:rsidR="00F7672D">
              <w:rPr>
                <w:noProof/>
                <w:szCs w:val="20"/>
              </w:rPr>
              <w:t xml:space="preserve">a </w:t>
            </w:r>
            <w:r w:rsidR="00114225">
              <w:rPr>
                <w:noProof/>
                <w:szCs w:val="20"/>
              </w:rPr>
              <w:t>recognisable EU brand would significantly reduce the time spent on legal advice</w:t>
            </w:r>
            <w:r w:rsidR="00303C13">
              <w:rPr>
                <w:noProof/>
                <w:szCs w:val="20"/>
              </w:rPr>
              <w:t xml:space="preserve">. On the scale of </w:t>
            </w:r>
            <w:r w:rsidR="00C66310">
              <w:rPr>
                <w:noProof/>
                <w:szCs w:val="20"/>
              </w:rPr>
              <w:t>1</w:t>
            </w:r>
            <w:r w:rsidR="00303C13">
              <w:rPr>
                <w:noProof/>
                <w:szCs w:val="20"/>
              </w:rPr>
              <w:t>-6</w:t>
            </w:r>
            <w:r w:rsidR="00F37177">
              <w:rPr>
                <w:noProof/>
                <w:szCs w:val="20"/>
              </w:rPr>
              <w:t xml:space="preserve"> (20% scale)</w:t>
            </w:r>
            <w:r w:rsidR="00303C13">
              <w:rPr>
                <w:noProof/>
                <w:szCs w:val="20"/>
              </w:rPr>
              <w:t xml:space="preserve">, </w:t>
            </w:r>
            <w:r w:rsidR="00C32BB6">
              <w:rPr>
                <w:noProof/>
                <w:szCs w:val="20"/>
              </w:rPr>
              <w:t>the</w:t>
            </w:r>
            <w:r w:rsidR="00314F47">
              <w:rPr>
                <w:noProof/>
                <w:szCs w:val="20"/>
              </w:rPr>
              <w:t xml:space="preserve">y </w:t>
            </w:r>
            <w:r w:rsidR="003B236F">
              <w:rPr>
                <w:noProof/>
                <w:szCs w:val="20"/>
              </w:rPr>
              <w:t xml:space="preserve">considered the reduction to be </w:t>
            </w:r>
            <w:r w:rsidR="00C32BB6">
              <w:rPr>
                <w:noProof/>
                <w:szCs w:val="20"/>
              </w:rPr>
              <w:t>around 4.</w:t>
            </w:r>
            <w:r w:rsidR="00A856A1">
              <w:rPr>
                <w:noProof/>
                <w:szCs w:val="20"/>
              </w:rPr>
              <w:t>7</w:t>
            </w:r>
            <w:r w:rsidR="00C32BB6">
              <w:rPr>
                <w:noProof/>
                <w:szCs w:val="20"/>
              </w:rPr>
              <w:t xml:space="preserve"> corresp</w:t>
            </w:r>
            <w:r w:rsidR="00824B52">
              <w:rPr>
                <w:noProof/>
                <w:szCs w:val="20"/>
              </w:rPr>
              <w:t>on</w:t>
            </w:r>
            <w:r w:rsidR="00C32BB6">
              <w:rPr>
                <w:noProof/>
                <w:szCs w:val="20"/>
              </w:rPr>
              <w:t xml:space="preserve">ding to </w:t>
            </w:r>
            <w:r w:rsidR="00F37177">
              <w:rPr>
                <w:noProof/>
                <w:szCs w:val="20"/>
              </w:rPr>
              <w:t xml:space="preserve">almost 80%. </w:t>
            </w:r>
            <w:r w:rsidR="00314F47">
              <w:rPr>
                <w:noProof/>
                <w:szCs w:val="20"/>
              </w:rPr>
              <w:t>T</w:t>
            </w:r>
            <w:r w:rsidR="007C29DD">
              <w:rPr>
                <w:noProof/>
                <w:szCs w:val="20"/>
              </w:rPr>
              <w:t xml:space="preserve">he respondents </w:t>
            </w:r>
            <w:r w:rsidR="006F63B4">
              <w:rPr>
                <w:noProof/>
                <w:szCs w:val="20"/>
              </w:rPr>
              <w:t xml:space="preserve">also </w:t>
            </w:r>
            <w:r w:rsidR="00314F47">
              <w:rPr>
                <w:noProof/>
                <w:szCs w:val="20"/>
              </w:rPr>
              <w:t>expected</w:t>
            </w:r>
            <w:r w:rsidR="007C29DD">
              <w:rPr>
                <w:noProof/>
                <w:szCs w:val="20"/>
              </w:rPr>
              <w:t xml:space="preserve"> the reduction </w:t>
            </w:r>
            <w:r w:rsidR="006F63B4">
              <w:rPr>
                <w:noProof/>
                <w:szCs w:val="20"/>
              </w:rPr>
              <w:t>in the c</w:t>
            </w:r>
            <w:r w:rsidR="006F63B4" w:rsidRPr="007C29DD">
              <w:rPr>
                <w:noProof/>
                <w:szCs w:val="20"/>
              </w:rPr>
              <w:t>osts of legal advice (notaries, lawyers, other professional advisers)</w:t>
            </w:r>
            <w:r w:rsidR="006F63B4">
              <w:rPr>
                <w:noProof/>
                <w:szCs w:val="20"/>
              </w:rPr>
              <w:t xml:space="preserve"> </w:t>
            </w:r>
            <w:r w:rsidR="007C29DD">
              <w:rPr>
                <w:noProof/>
                <w:szCs w:val="20"/>
              </w:rPr>
              <w:t xml:space="preserve">to be </w:t>
            </w:r>
            <w:r w:rsidR="007637AF">
              <w:rPr>
                <w:noProof/>
                <w:szCs w:val="20"/>
              </w:rPr>
              <w:t xml:space="preserve">around </w:t>
            </w:r>
            <w:r w:rsidR="00394896">
              <w:rPr>
                <w:noProof/>
                <w:szCs w:val="20"/>
              </w:rPr>
              <w:t xml:space="preserve">60%. </w:t>
            </w:r>
            <w:r w:rsidR="00134F7F">
              <w:rPr>
                <w:noProof/>
                <w:szCs w:val="20"/>
              </w:rPr>
              <w:t>Al</w:t>
            </w:r>
            <w:r w:rsidR="00514E91">
              <w:rPr>
                <w:noProof/>
                <w:szCs w:val="20"/>
              </w:rPr>
              <w:t>so</w:t>
            </w:r>
            <w:r w:rsidR="007E6B57">
              <w:rPr>
                <w:noProof/>
                <w:szCs w:val="20"/>
              </w:rPr>
              <w:t>,</w:t>
            </w:r>
            <w:r w:rsidR="00134F7F">
              <w:rPr>
                <w:noProof/>
                <w:szCs w:val="20"/>
              </w:rPr>
              <w:t xml:space="preserve"> 86% of the respondents to the public consultation considered that l</w:t>
            </w:r>
            <w:r w:rsidR="0032236A" w:rsidRPr="008E4885">
              <w:rPr>
                <w:rFonts w:cs="Times New Roman"/>
                <w:noProof/>
                <w:szCs w:val="20"/>
                <w:lang w:val="en-IE"/>
              </w:rPr>
              <w:t xml:space="preserve">egal advice </w:t>
            </w:r>
            <w:r w:rsidR="00134F7F">
              <w:rPr>
                <w:rFonts w:cs="Times New Roman"/>
                <w:noProof/>
                <w:szCs w:val="20"/>
                <w:lang w:val="en-IE"/>
              </w:rPr>
              <w:t xml:space="preserve">was </w:t>
            </w:r>
            <w:r w:rsidR="0032236A" w:rsidRPr="008E4885">
              <w:rPr>
                <w:rFonts w:cs="Times New Roman"/>
                <w:noProof/>
                <w:szCs w:val="20"/>
                <w:lang w:val="en-IE"/>
              </w:rPr>
              <w:t>needed due to complexity related to different company legal forms and/or the procedure to invest in companies in other Member States</w:t>
            </w:r>
            <w:r w:rsidR="00134F7F">
              <w:rPr>
                <w:rFonts w:cs="Times New Roman"/>
                <w:noProof/>
                <w:szCs w:val="20"/>
                <w:lang w:val="en-IE"/>
              </w:rPr>
              <w:t xml:space="preserve">. </w:t>
            </w:r>
            <w:r w:rsidR="00E82128">
              <w:rPr>
                <w:rFonts w:cs="Times New Roman"/>
                <w:noProof/>
                <w:szCs w:val="20"/>
                <w:lang w:val="en-IE"/>
              </w:rPr>
              <w:t>PO1c scores highest as it enables</w:t>
            </w:r>
            <w:r w:rsidR="000257B6">
              <w:rPr>
                <w:rFonts w:cs="Times New Roman"/>
                <w:noProof/>
                <w:szCs w:val="20"/>
                <w:lang w:val="en-IE"/>
              </w:rPr>
              <w:t xml:space="preserve"> the </w:t>
            </w:r>
            <w:r w:rsidR="00694CF2">
              <w:rPr>
                <w:rFonts w:cs="Times New Roman"/>
                <w:noProof/>
                <w:szCs w:val="20"/>
                <w:lang w:val="en-IE"/>
              </w:rPr>
              <w:t>most</w:t>
            </w:r>
            <w:r w:rsidR="00870B0E">
              <w:rPr>
                <w:rFonts w:cs="Times New Roman"/>
                <w:noProof/>
                <w:szCs w:val="20"/>
                <w:lang w:val="en-IE"/>
              </w:rPr>
              <w:t xml:space="preserve"> </w:t>
            </w:r>
            <w:r w:rsidR="000257B6">
              <w:rPr>
                <w:rFonts w:cs="Times New Roman"/>
                <w:noProof/>
                <w:szCs w:val="20"/>
                <w:lang w:val="en-IE"/>
              </w:rPr>
              <w:t>businesses to</w:t>
            </w:r>
            <w:r w:rsidR="001934AC">
              <w:rPr>
                <w:rFonts w:cs="Times New Roman"/>
                <w:noProof/>
                <w:szCs w:val="20"/>
                <w:lang w:val="en-IE"/>
              </w:rPr>
              <w:t xml:space="preserve"> </w:t>
            </w:r>
            <w:r w:rsidR="006B5D97">
              <w:rPr>
                <w:rFonts w:cs="Times New Roman"/>
                <w:noProof/>
                <w:szCs w:val="20"/>
                <w:lang w:val="en-IE"/>
              </w:rPr>
              <w:t>choose the 28</w:t>
            </w:r>
            <w:r w:rsidR="006B5D97" w:rsidRPr="00E57C3A">
              <w:rPr>
                <w:rFonts w:cs="Times New Roman"/>
                <w:noProof/>
                <w:szCs w:val="20"/>
                <w:vertAlign w:val="superscript"/>
                <w:lang w:val="en-IE"/>
              </w:rPr>
              <w:t>th</w:t>
            </w:r>
            <w:r w:rsidR="006B5D97">
              <w:rPr>
                <w:rFonts w:cs="Times New Roman"/>
                <w:noProof/>
                <w:szCs w:val="20"/>
                <w:lang w:val="en-IE"/>
              </w:rPr>
              <w:t xml:space="preserve"> regime </w:t>
            </w:r>
            <w:r w:rsidR="00EE0C1C">
              <w:rPr>
                <w:rFonts w:cs="Times New Roman"/>
                <w:noProof/>
                <w:szCs w:val="20"/>
                <w:lang w:val="en-IE"/>
              </w:rPr>
              <w:t xml:space="preserve">and </w:t>
            </w:r>
            <w:r w:rsidR="00F1692A">
              <w:rPr>
                <w:rFonts w:cs="Times New Roman"/>
                <w:noProof/>
                <w:szCs w:val="20"/>
                <w:lang w:val="en-IE"/>
              </w:rPr>
              <w:t xml:space="preserve">profit from </w:t>
            </w:r>
            <w:r w:rsidR="008107A8">
              <w:rPr>
                <w:rFonts w:cs="Times New Roman"/>
                <w:noProof/>
                <w:szCs w:val="20"/>
                <w:lang w:val="en-IE"/>
              </w:rPr>
              <w:t>reduc</w:t>
            </w:r>
            <w:r w:rsidR="00870B0E">
              <w:rPr>
                <w:rFonts w:cs="Times New Roman"/>
                <w:noProof/>
                <w:szCs w:val="20"/>
                <w:lang w:val="en-IE"/>
              </w:rPr>
              <w:t>ed</w:t>
            </w:r>
            <w:r w:rsidR="008107A8">
              <w:rPr>
                <w:rFonts w:cs="Times New Roman"/>
                <w:noProof/>
                <w:szCs w:val="20"/>
                <w:lang w:val="en-IE"/>
              </w:rPr>
              <w:t xml:space="preserve"> legal advi</w:t>
            </w:r>
            <w:r w:rsidR="00870B0E">
              <w:rPr>
                <w:rFonts w:cs="Times New Roman"/>
                <w:noProof/>
                <w:szCs w:val="20"/>
                <w:lang w:val="en-IE"/>
              </w:rPr>
              <w:t>sory</w:t>
            </w:r>
            <w:r w:rsidR="008107A8">
              <w:rPr>
                <w:rFonts w:cs="Times New Roman"/>
                <w:noProof/>
                <w:szCs w:val="20"/>
                <w:lang w:val="en-IE"/>
              </w:rPr>
              <w:t xml:space="preserve"> </w:t>
            </w:r>
            <w:r w:rsidR="00B700D7">
              <w:rPr>
                <w:rFonts w:cs="Times New Roman"/>
                <w:noProof/>
                <w:szCs w:val="20"/>
                <w:lang w:val="en-IE"/>
              </w:rPr>
              <w:t>costs</w:t>
            </w:r>
            <w:r w:rsidR="006B5D97">
              <w:rPr>
                <w:rFonts w:cs="Times New Roman"/>
                <w:noProof/>
                <w:szCs w:val="20"/>
                <w:lang w:val="en-IE"/>
              </w:rPr>
              <w:t>.</w:t>
            </w:r>
            <w:r w:rsidR="00B700D7">
              <w:rPr>
                <w:rFonts w:cs="Times New Roman"/>
                <w:noProof/>
                <w:szCs w:val="20"/>
                <w:lang w:val="en-IE"/>
              </w:rPr>
              <w:t xml:space="preserve"> </w:t>
            </w:r>
            <w:r w:rsidR="006B5D97">
              <w:rPr>
                <w:rFonts w:cs="Times New Roman"/>
                <w:noProof/>
                <w:szCs w:val="20"/>
                <w:lang w:val="en-IE"/>
              </w:rPr>
              <w:t>PO1a</w:t>
            </w:r>
            <w:r w:rsidR="00EE0C1C">
              <w:rPr>
                <w:rFonts w:cs="Times New Roman"/>
                <w:noProof/>
                <w:szCs w:val="20"/>
                <w:lang w:val="en-IE"/>
              </w:rPr>
              <w:t xml:space="preserve"> are </w:t>
            </w:r>
            <w:r w:rsidR="006B5D97">
              <w:rPr>
                <w:rFonts w:cs="Times New Roman"/>
                <w:noProof/>
                <w:szCs w:val="20"/>
                <w:lang w:val="en-IE"/>
              </w:rPr>
              <w:t>also</w:t>
            </w:r>
            <w:r w:rsidR="00EE0C1C">
              <w:rPr>
                <w:rFonts w:cs="Times New Roman"/>
                <w:noProof/>
                <w:szCs w:val="20"/>
                <w:lang w:val="en-IE"/>
              </w:rPr>
              <w:t xml:space="preserve"> assessed to bring more benefits </w:t>
            </w:r>
            <w:r w:rsidR="006B5D97">
              <w:rPr>
                <w:rFonts w:cs="Times New Roman"/>
                <w:noProof/>
                <w:szCs w:val="20"/>
                <w:lang w:val="en-IE"/>
              </w:rPr>
              <w:t>than PO1a</w:t>
            </w:r>
            <w:r w:rsidR="00EE0C1C">
              <w:rPr>
                <w:rFonts w:cs="Times New Roman"/>
                <w:noProof/>
                <w:szCs w:val="20"/>
                <w:lang w:val="en-IE"/>
              </w:rPr>
              <w:t xml:space="preserve"> because</w:t>
            </w:r>
            <w:r w:rsidR="00DF1875">
              <w:rPr>
                <w:rFonts w:cs="Times New Roman"/>
                <w:noProof/>
                <w:szCs w:val="20"/>
                <w:lang w:val="en-IE"/>
              </w:rPr>
              <w:t xml:space="preserve">, in addition to a </w:t>
            </w:r>
            <w:r w:rsidR="007F0BB5">
              <w:rPr>
                <w:rFonts w:cs="Times New Roman"/>
                <w:noProof/>
                <w:szCs w:val="20"/>
                <w:lang w:val="en-IE"/>
              </w:rPr>
              <w:t>harmonised legal form,</w:t>
            </w:r>
            <w:r w:rsidR="00EE0C1C">
              <w:rPr>
                <w:rFonts w:cs="Times New Roman"/>
                <w:noProof/>
                <w:szCs w:val="20"/>
                <w:lang w:val="en-IE"/>
              </w:rPr>
              <w:t xml:space="preserve"> they also provide </w:t>
            </w:r>
            <w:r w:rsidR="00042761">
              <w:rPr>
                <w:rFonts w:eastAsia="Courier New"/>
                <w:noProof/>
                <w:szCs w:val="24"/>
              </w:rPr>
              <w:t>a harmonised 28</w:t>
            </w:r>
            <w:r w:rsidR="00042761" w:rsidRPr="003A3143">
              <w:rPr>
                <w:rFonts w:eastAsia="Courier New"/>
                <w:noProof/>
                <w:szCs w:val="24"/>
                <w:vertAlign w:val="superscript"/>
              </w:rPr>
              <w:t>th</w:t>
            </w:r>
            <w:r w:rsidR="00042761">
              <w:rPr>
                <w:rFonts w:eastAsia="Courier New"/>
                <w:noProof/>
                <w:szCs w:val="24"/>
              </w:rPr>
              <w:t xml:space="preserve"> regime branch.</w:t>
            </w:r>
            <w:r w:rsidR="00962413">
              <w:rPr>
                <w:rFonts w:eastAsia="Courier New"/>
                <w:noProof/>
                <w:szCs w:val="24"/>
              </w:rPr>
              <w:t xml:space="preserve"> </w:t>
            </w:r>
          </w:p>
        </w:tc>
      </w:tr>
      <w:tr w:rsidR="00E7381C" w:rsidRPr="00DC6DD8" w14:paraId="51EA2151" w14:textId="77777777" w:rsidTr="004F5C87">
        <w:tc>
          <w:tcPr>
            <w:tcW w:w="2122" w:type="dxa"/>
            <w:vAlign w:val="center"/>
          </w:tcPr>
          <w:p w14:paraId="4CE71BA8" w14:textId="29D10BC2" w:rsidR="00E7381C" w:rsidRPr="00154739" w:rsidRDefault="00E7381C">
            <w:pPr>
              <w:rPr>
                <w:b/>
                <w:noProof/>
                <w:szCs w:val="20"/>
              </w:rPr>
            </w:pPr>
            <w:r w:rsidRPr="00154739">
              <w:rPr>
                <w:b/>
                <w:noProof/>
                <w:szCs w:val="20"/>
              </w:rPr>
              <w:t>Administrative and adjustment costs</w:t>
            </w:r>
            <w:r w:rsidR="001C6CB8">
              <w:rPr>
                <w:b/>
                <w:noProof/>
                <w:szCs w:val="20"/>
              </w:rPr>
              <w:t xml:space="preserve"> (cost)</w:t>
            </w:r>
          </w:p>
        </w:tc>
        <w:tc>
          <w:tcPr>
            <w:tcW w:w="1508" w:type="dxa"/>
          </w:tcPr>
          <w:p w14:paraId="591CD1F9" w14:textId="10AC779E" w:rsidR="00E7381C" w:rsidRPr="00170FBB" w:rsidRDefault="00725434">
            <w:pPr>
              <w:rPr>
                <w:noProof/>
                <w:sz w:val="18"/>
                <w:szCs w:val="18"/>
              </w:rPr>
            </w:pPr>
            <w:r>
              <w:rPr>
                <w:noProof/>
                <w:sz w:val="18"/>
                <w:szCs w:val="18"/>
              </w:rPr>
              <w:t>S</w:t>
            </w:r>
            <w:r w:rsidR="00E7381C" w:rsidRPr="00170FBB">
              <w:rPr>
                <w:noProof/>
                <w:sz w:val="18"/>
                <w:szCs w:val="18"/>
              </w:rPr>
              <w:t>core 0-5</w:t>
            </w:r>
          </w:p>
        </w:tc>
        <w:tc>
          <w:tcPr>
            <w:tcW w:w="1042" w:type="dxa"/>
          </w:tcPr>
          <w:p w14:paraId="41B02469" w14:textId="129A9EE6" w:rsidR="00E7381C" w:rsidRDefault="001C6CB8" w:rsidP="00171B44">
            <w:pPr>
              <w:jc w:val="center"/>
              <w:rPr>
                <w:noProof/>
                <w:szCs w:val="20"/>
              </w:rPr>
            </w:pPr>
            <w:r>
              <w:rPr>
                <w:noProof/>
                <w:szCs w:val="20"/>
              </w:rPr>
              <w:t>0</w:t>
            </w:r>
          </w:p>
        </w:tc>
        <w:tc>
          <w:tcPr>
            <w:tcW w:w="996" w:type="dxa"/>
          </w:tcPr>
          <w:p w14:paraId="1D7199A7" w14:textId="132CD89F" w:rsidR="00E7381C" w:rsidRDefault="001B2AB8" w:rsidP="001C6CB8">
            <w:pPr>
              <w:jc w:val="center"/>
              <w:rPr>
                <w:noProof/>
                <w:szCs w:val="20"/>
              </w:rPr>
            </w:pPr>
            <w:r>
              <w:rPr>
                <w:noProof/>
                <w:szCs w:val="20"/>
              </w:rPr>
              <w:t>1</w:t>
            </w:r>
          </w:p>
        </w:tc>
        <w:tc>
          <w:tcPr>
            <w:tcW w:w="994" w:type="dxa"/>
          </w:tcPr>
          <w:p w14:paraId="2A20566A" w14:textId="5187AD7A" w:rsidR="00E7381C" w:rsidRDefault="001B2AB8" w:rsidP="008F13DF">
            <w:pPr>
              <w:jc w:val="center"/>
              <w:rPr>
                <w:noProof/>
                <w:szCs w:val="20"/>
              </w:rPr>
            </w:pPr>
            <w:r>
              <w:rPr>
                <w:noProof/>
                <w:szCs w:val="20"/>
              </w:rPr>
              <w:t>2</w:t>
            </w:r>
          </w:p>
        </w:tc>
        <w:tc>
          <w:tcPr>
            <w:tcW w:w="7508" w:type="dxa"/>
          </w:tcPr>
          <w:p w14:paraId="45CD2E89" w14:textId="2377F64F" w:rsidR="00785881" w:rsidRDefault="00270139" w:rsidP="00EE4111">
            <w:pPr>
              <w:jc w:val="both"/>
              <w:rPr>
                <w:noProof/>
              </w:rPr>
            </w:pPr>
            <w:r>
              <w:rPr>
                <w:noProof/>
              </w:rPr>
              <w:t xml:space="preserve">The </w:t>
            </w:r>
            <w:r w:rsidR="00A42B04">
              <w:rPr>
                <w:noProof/>
              </w:rPr>
              <w:t>setting up a 28</w:t>
            </w:r>
            <w:r w:rsidR="00A42B04" w:rsidRPr="7EC237E5">
              <w:rPr>
                <w:noProof/>
                <w:vertAlign w:val="superscript"/>
              </w:rPr>
              <w:t>th</w:t>
            </w:r>
            <w:r w:rsidR="00A42B04">
              <w:rPr>
                <w:noProof/>
              </w:rPr>
              <w:t xml:space="preserve"> regime company (from </w:t>
            </w:r>
            <w:r w:rsidR="00C66E87">
              <w:rPr>
                <w:noProof/>
              </w:rPr>
              <w:t>scratch</w:t>
            </w:r>
            <w:r w:rsidR="00A42B04">
              <w:rPr>
                <w:noProof/>
              </w:rPr>
              <w:t xml:space="preserve">) would not </w:t>
            </w:r>
            <w:r w:rsidR="00D65772">
              <w:rPr>
                <w:noProof/>
              </w:rPr>
              <w:t>c</w:t>
            </w:r>
            <w:r w:rsidR="00A42B04">
              <w:rPr>
                <w:noProof/>
              </w:rPr>
              <w:t>r</w:t>
            </w:r>
            <w:r w:rsidR="00D65772">
              <w:rPr>
                <w:noProof/>
              </w:rPr>
              <w:t>e</w:t>
            </w:r>
            <w:r w:rsidR="00A42B04">
              <w:rPr>
                <w:noProof/>
              </w:rPr>
              <w:t xml:space="preserve">ate any adjustment costs given that </w:t>
            </w:r>
            <w:r w:rsidR="00C66E87">
              <w:rPr>
                <w:noProof/>
              </w:rPr>
              <w:t xml:space="preserve">it would be a new company. </w:t>
            </w:r>
            <w:r w:rsidR="008B0B4A">
              <w:rPr>
                <w:noProof/>
              </w:rPr>
              <w:t>P</w:t>
            </w:r>
            <w:r w:rsidR="00C66E87">
              <w:rPr>
                <w:noProof/>
              </w:rPr>
              <w:t>ossibl</w:t>
            </w:r>
            <w:r w:rsidR="003D00B8">
              <w:rPr>
                <w:noProof/>
              </w:rPr>
              <w:t xml:space="preserve">e adjustment </w:t>
            </w:r>
            <w:r w:rsidR="00156296">
              <w:rPr>
                <w:noProof/>
              </w:rPr>
              <w:t>costs</w:t>
            </w:r>
            <w:r w:rsidR="003D00B8">
              <w:rPr>
                <w:noProof/>
              </w:rPr>
              <w:t xml:space="preserve"> (such as changing </w:t>
            </w:r>
            <w:r w:rsidR="00156296">
              <w:rPr>
                <w:noProof/>
              </w:rPr>
              <w:t>letterheads</w:t>
            </w:r>
            <w:r w:rsidR="003D00B8">
              <w:rPr>
                <w:noProof/>
              </w:rPr>
              <w:t>, order forms etc. of the company, or adapting the articles of associations o</w:t>
            </w:r>
            <w:r w:rsidR="00156296">
              <w:rPr>
                <w:noProof/>
              </w:rPr>
              <w:t>r</w:t>
            </w:r>
            <w:r w:rsidR="003D00B8">
              <w:rPr>
                <w:noProof/>
              </w:rPr>
              <w:t xml:space="preserve"> </w:t>
            </w:r>
            <w:r w:rsidR="00156296">
              <w:rPr>
                <w:noProof/>
              </w:rPr>
              <w:t xml:space="preserve">governance structure) would </w:t>
            </w:r>
            <w:r w:rsidR="00141F86">
              <w:rPr>
                <w:noProof/>
              </w:rPr>
              <w:t xml:space="preserve">however </w:t>
            </w:r>
            <w:r w:rsidR="00220D51">
              <w:rPr>
                <w:noProof/>
              </w:rPr>
              <w:t xml:space="preserve">be relevant </w:t>
            </w:r>
            <w:r w:rsidR="00156296">
              <w:rPr>
                <w:noProof/>
              </w:rPr>
              <w:t>where an existing company would con</w:t>
            </w:r>
            <w:r w:rsidR="00D65772">
              <w:rPr>
                <w:noProof/>
              </w:rPr>
              <w:t xml:space="preserve">vert </w:t>
            </w:r>
            <w:r w:rsidR="00171B44">
              <w:rPr>
                <w:noProof/>
              </w:rPr>
              <w:t xml:space="preserve">into </w:t>
            </w:r>
            <w:r w:rsidR="00220D51">
              <w:rPr>
                <w:noProof/>
              </w:rPr>
              <w:t>a</w:t>
            </w:r>
            <w:r w:rsidR="00171B44">
              <w:rPr>
                <w:noProof/>
              </w:rPr>
              <w:t xml:space="preserve"> 28</w:t>
            </w:r>
            <w:r w:rsidR="00171B44" w:rsidRPr="7EC237E5">
              <w:rPr>
                <w:noProof/>
                <w:vertAlign w:val="superscript"/>
              </w:rPr>
              <w:t>th</w:t>
            </w:r>
            <w:r w:rsidR="00171B44">
              <w:rPr>
                <w:noProof/>
              </w:rPr>
              <w:t xml:space="preserve"> regime company under option 1b or in case of cross-border conversions, divisions or mergers under option 1c</w:t>
            </w:r>
            <w:r w:rsidR="00141F86">
              <w:rPr>
                <w:noProof/>
              </w:rPr>
              <w:t>.</w:t>
            </w:r>
            <w:r w:rsidR="00171B44">
              <w:rPr>
                <w:noProof/>
              </w:rPr>
              <w:t xml:space="preserve"> </w:t>
            </w:r>
          </w:p>
          <w:p w14:paraId="359FE392" w14:textId="0B283972" w:rsidR="009F3BA1" w:rsidRPr="003454BA" w:rsidRDefault="00CB466F" w:rsidP="00B555AD">
            <w:pPr>
              <w:jc w:val="both"/>
              <w:rPr>
                <w:noProof/>
              </w:rPr>
            </w:pPr>
            <w:r>
              <w:rPr>
                <w:noProof/>
              </w:rPr>
              <w:t>The possibility to create a 28</w:t>
            </w:r>
            <w:r w:rsidRPr="000C2F4E">
              <w:rPr>
                <w:noProof/>
                <w:vertAlign w:val="superscript"/>
              </w:rPr>
              <w:t>th</w:t>
            </w:r>
            <w:r>
              <w:rPr>
                <w:noProof/>
              </w:rPr>
              <w:t xml:space="preserve"> regime company through cross-border conversions, divisions or mergers under option 1c </w:t>
            </w:r>
            <w:r w:rsidR="00E02E5E">
              <w:rPr>
                <w:noProof/>
                <w:szCs w:val="20"/>
              </w:rPr>
              <w:t>is assessed to be mo</w:t>
            </w:r>
            <w:r w:rsidR="00141F86">
              <w:rPr>
                <w:noProof/>
                <w:szCs w:val="20"/>
              </w:rPr>
              <w:t>st</w:t>
            </w:r>
            <w:r w:rsidR="00E02E5E">
              <w:rPr>
                <w:noProof/>
                <w:szCs w:val="20"/>
              </w:rPr>
              <w:t xml:space="preserve"> burdensome and costly because </w:t>
            </w:r>
            <w:r w:rsidR="000A1A79">
              <w:rPr>
                <w:noProof/>
                <w:szCs w:val="20"/>
              </w:rPr>
              <w:t xml:space="preserve">it </w:t>
            </w:r>
            <w:r w:rsidR="00E02E5E">
              <w:rPr>
                <w:noProof/>
                <w:szCs w:val="20"/>
              </w:rPr>
              <w:t>would require i.</w:t>
            </w:r>
            <w:r w:rsidR="005D5DCD">
              <w:rPr>
                <w:noProof/>
                <w:szCs w:val="20"/>
              </w:rPr>
              <w:t>a</w:t>
            </w:r>
            <w:r w:rsidR="00E02E5E">
              <w:rPr>
                <w:noProof/>
                <w:szCs w:val="20"/>
              </w:rPr>
              <w:t>. establishing draft terms of the cross-border operations, consultation of stakeholders, consultation of employees and possibly negotiations on employee participation in company board</w:t>
            </w:r>
            <w:r w:rsidR="00CE79EF">
              <w:rPr>
                <w:noProof/>
                <w:szCs w:val="20"/>
              </w:rPr>
              <w:t>, and</w:t>
            </w:r>
            <w:r w:rsidR="007360F5">
              <w:rPr>
                <w:noProof/>
                <w:szCs w:val="20"/>
              </w:rPr>
              <w:t xml:space="preserve"> would be subject to scrutiny in both the “home” and “destination” Member State</w:t>
            </w:r>
            <w:r w:rsidR="00E02E5E">
              <w:rPr>
                <w:noProof/>
                <w:szCs w:val="20"/>
              </w:rPr>
              <w:t xml:space="preserve">. </w:t>
            </w:r>
            <w:r w:rsidR="00B555AD">
              <w:rPr>
                <w:noProof/>
                <w:szCs w:val="20"/>
              </w:rPr>
              <w:t>In addition to involvement of lawyers or other intermediaries, t</w:t>
            </w:r>
            <w:r w:rsidR="00E02E5E">
              <w:rPr>
                <w:noProof/>
                <w:szCs w:val="20"/>
              </w:rPr>
              <w:t xml:space="preserve">he filing of the draft terms and other documents to the business register would normally be against a fee </w:t>
            </w:r>
            <w:r>
              <w:rPr>
                <w:noProof/>
              </w:rPr>
              <w:t xml:space="preserve">(see Directive 2019/2121 on Cross-border mergers, divisions and </w:t>
            </w:r>
            <w:r w:rsidR="003B3334">
              <w:rPr>
                <w:noProof/>
              </w:rPr>
              <w:t>conversions</w:t>
            </w:r>
            <w:r w:rsidR="00B04C25">
              <w:rPr>
                <w:noProof/>
              </w:rPr>
              <w:t>)</w:t>
            </w:r>
            <w:r>
              <w:rPr>
                <w:noProof/>
              </w:rPr>
              <w:t>.</w:t>
            </w:r>
            <w:r w:rsidR="00EE4111">
              <w:rPr>
                <w:rStyle w:val="FootnoteReference"/>
                <w:noProof/>
              </w:rPr>
              <w:footnoteReference w:id="33"/>
            </w:r>
            <w:r w:rsidR="009F3BA1">
              <w:rPr>
                <w:noProof/>
                <w:szCs w:val="20"/>
              </w:rPr>
              <w:t xml:space="preserve">  </w:t>
            </w:r>
          </w:p>
        </w:tc>
      </w:tr>
      <w:tr w:rsidR="00E7381C" w:rsidRPr="00DC6DD8" w14:paraId="769E69B2" w14:textId="77777777" w:rsidTr="004F5C87">
        <w:tc>
          <w:tcPr>
            <w:tcW w:w="14170" w:type="dxa"/>
            <w:gridSpan w:val="6"/>
            <w:shd w:val="clear" w:color="auto" w:fill="92D050"/>
            <w:vAlign w:val="center"/>
          </w:tcPr>
          <w:p w14:paraId="1E0D12FE" w14:textId="77777777" w:rsidR="00E7381C" w:rsidRPr="00DC6DD8" w:rsidRDefault="00E7381C">
            <w:pPr>
              <w:rPr>
                <w:b/>
                <w:noProof/>
                <w:szCs w:val="20"/>
              </w:rPr>
            </w:pPr>
            <w:r w:rsidRPr="00D345EC">
              <w:rPr>
                <w:b/>
                <w:noProof/>
                <w:sz w:val="24"/>
                <w:szCs w:val="24"/>
              </w:rPr>
              <w:t>Public authorities</w:t>
            </w:r>
          </w:p>
        </w:tc>
      </w:tr>
      <w:tr w:rsidR="00E7381C" w:rsidRPr="00DC6DD8" w14:paraId="35280561" w14:textId="77777777" w:rsidTr="004F5C87">
        <w:tc>
          <w:tcPr>
            <w:tcW w:w="2122" w:type="dxa"/>
          </w:tcPr>
          <w:p w14:paraId="3649C02F" w14:textId="77777777" w:rsidR="00E7381C" w:rsidRPr="0074616C" w:rsidRDefault="00E7381C">
            <w:pPr>
              <w:rPr>
                <w:b/>
                <w:noProof/>
                <w:szCs w:val="20"/>
              </w:rPr>
            </w:pPr>
            <w:r>
              <w:rPr>
                <w:b/>
                <w:noProof/>
                <w:szCs w:val="20"/>
              </w:rPr>
              <w:t>Costs</w:t>
            </w:r>
          </w:p>
        </w:tc>
        <w:tc>
          <w:tcPr>
            <w:tcW w:w="1508" w:type="dxa"/>
          </w:tcPr>
          <w:p w14:paraId="465EA1EB" w14:textId="77777777" w:rsidR="00E7381C" w:rsidRPr="00170FBB" w:rsidRDefault="00E7381C">
            <w:pPr>
              <w:rPr>
                <w:noProof/>
                <w:sz w:val="18"/>
                <w:szCs w:val="18"/>
              </w:rPr>
            </w:pPr>
            <w:r w:rsidRPr="00170FBB">
              <w:rPr>
                <w:noProof/>
                <w:sz w:val="18"/>
                <w:szCs w:val="18"/>
              </w:rPr>
              <w:t>Score 0-5</w:t>
            </w:r>
          </w:p>
        </w:tc>
        <w:tc>
          <w:tcPr>
            <w:tcW w:w="1042" w:type="dxa"/>
          </w:tcPr>
          <w:p w14:paraId="37767BDB" w14:textId="1C5B97AE" w:rsidR="00E7381C" w:rsidRPr="0029649C" w:rsidRDefault="00725434" w:rsidP="00725434">
            <w:pPr>
              <w:jc w:val="center"/>
              <w:rPr>
                <w:noProof/>
                <w:szCs w:val="20"/>
              </w:rPr>
            </w:pPr>
            <w:r>
              <w:rPr>
                <w:noProof/>
                <w:szCs w:val="20"/>
              </w:rPr>
              <w:t>1</w:t>
            </w:r>
          </w:p>
        </w:tc>
        <w:tc>
          <w:tcPr>
            <w:tcW w:w="996" w:type="dxa"/>
          </w:tcPr>
          <w:p w14:paraId="577A3EF9" w14:textId="00D6A4B0" w:rsidR="00E7381C" w:rsidRPr="0029649C" w:rsidRDefault="00725434" w:rsidP="00725434">
            <w:pPr>
              <w:jc w:val="center"/>
              <w:rPr>
                <w:noProof/>
                <w:szCs w:val="20"/>
              </w:rPr>
            </w:pPr>
            <w:r>
              <w:rPr>
                <w:noProof/>
                <w:szCs w:val="20"/>
              </w:rPr>
              <w:t>2</w:t>
            </w:r>
          </w:p>
        </w:tc>
        <w:tc>
          <w:tcPr>
            <w:tcW w:w="994" w:type="dxa"/>
          </w:tcPr>
          <w:p w14:paraId="07CEBC10" w14:textId="20A38CC4" w:rsidR="00E7381C" w:rsidRPr="0029649C" w:rsidDel="00073540" w:rsidRDefault="00725434" w:rsidP="00725434">
            <w:pPr>
              <w:jc w:val="center"/>
              <w:rPr>
                <w:noProof/>
                <w:szCs w:val="20"/>
              </w:rPr>
            </w:pPr>
            <w:r>
              <w:rPr>
                <w:noProof/>
                <w:szCs w:val="20"/>
              </w:rPr>
              <w:t>3</w:t>
            </w:r>
          </w:p>
        </w:tc>
        <w:tc>
          <w:tcPr>
            <w:tcW w:w="7508" w:type="dxa"/>
          </w:tcPr>
          <w:p w14:paraId="211170FB" w14:textId="05279F3D" w:rsidR="00E7381C" w:rsidRDefault="00982D2A" w:rsidP="007017F8">
            <w:pPr>
              <w:jc w:val="both"/>
              <w:rPr>
                <w:noProof/>
                <w:szCs w:val="20"/>
              </w:rPr>
            </w:pPr>
            <w:r>
              <w:rPr>
                <w:noProof/>
                <w:szCs w:val="20"/>
              </w:rPr>
              <w:t xml:space="preserve">Member States would need to ensure that the </w:t>
            </w:r>
            <w:r w:rsidR="00C12584" w:rsidRPr="00217F66">
              <w:rPr>
                <w:noProof/>
                <w:szCs w:val="20"/>
              </w:rPr>
              <w:t xml:space="preserve">common EU corporate legal form with a recognisable </w:t>
            </w:r>
            <w:r w:rsidR="00C12584">
              <w:rPr>
                <w:noProof/>
                <w:szCs w:val="20"/>
              </w:rPr>
              <w:t xml:space="preserve">brand would be part of the available company </w:t>
            </w:r>
            <w:r w:rsidR="00355BD5">
              <w:rPr>
                <w:noProof/>
                <w:szCs w:val="20"/>
              </w:rPr>
              <w:t xml:space="preserve">legal </w:t>
            </w:r>
            <w:r w:rsidR="00C12584">
              <w:rPr>
                <w:noProof/>
                <w:szCs w:val="20"/>
              </w:rPr>
              <w:t xml:space="preserve">forms </w:t>
            </w:r>
            <w:r w:rsidR="00355BD5">
              <w:rPr>
                <w:noProof/>
                <w:szCs w:val="20"/>
              </w:rPr>
              <w:t xml:space="preserve">in </w:t>
            </w:r>
            <w:r w:rsidR="00FF449A">
              <w:rPr>
                <w:noProof/>
                <w:szCs w:val="20"/>
              </w:rPr>
              <w:t xml:space="preserve">every </w:t>
            </w:r>
            <w:r w:rsidR="00355BD5">
              <w:rPr>
                <w:noProof/>
                <w:szCs w:val="20"/>
              </w:rPr>
              <w:t>Member State</w:t>
            </w:r>
            <w:r w:rsidR="00C12584">
              <w:rPr>
                <w:noProof/>
                <w:szCs w:val="20"/>
              </w:rPr>
              <w:t xml:space="preserve"> </w:t>
            </w:r>
            <w:r w:rsidR="00C13C5C">
              <w:rPr>
                <w:noProof/>
                <w:szCs w:val="20"/>
              </w:rPr>
              <w:t xml:space="preserve">and that other relevant laws such as tax and labour law would be adapted to </w:t>
            </w:r>
            <w:r w:rsidR="007017F8">
              <w:rPr>
                <w:noProof/>
                <w:szCs w:val="20"/>
              </w:rPr>
              <w:t>include the 28</w:t>
            </w:r>
            <w:r w:rsidR="007017F8" w:rsidRPr="007017F8">
              <w:rPr>
                <w:noProof/>
                <w:szCs w:val="20"/>
                <w:vertAlign w:val="superscript"/>
              </w:rPr>
              <w:t>th</w:t>
            </w:r>
            <w:r w:rsidR="007017F8">
              <w:rPr>
                <w:noProof/>
                <w:szCs w:val="20"/>
              </w:rPr>
              <w:t xml:space="preserve"> regime legal framework and company form. </w:t>
            </w:r>
            <w:r w:rsidR="00BD3828">
              <w:rPr>
                <w:noProof/>
                <w:szCs w:val="20"/>
              </w:rPr>
              <w:t xml:space="preserve">Option 1a is assessed to require slightly less </w:t>
            </w:r>
            <w:r w:rsidR="00B018E7">
              <w:rPr>
                <w:noProof/>
                <w:szCs w:val="20"/>
              </w:rPr>
              <w:t xml:space="preserve">adjustment costs given that it would not be available for legal persons, while option 1b would </w:t>
            </w:r>
            <w:r w:rsidR="0068107F">
              <w:rPr>
                <w:noProof/>
                <w:szCs w:val="20"/>
              </w:rPr>
              <w:t xml:space="preserve">possibly also </w:t>
            </w:r>
            <w:r w:rsidR="00B018E7">
              <w:rPr>
                <w:noProof/>
                <w:szCs w:val="20"/>
              </w:rPr>
              <w:t xml:space="preserve">require </w:t>
            </w:r>
            <w:r w:rsidR="0068107F">
              <w:rPr>
                <w:noProof/>
                <w:szCs w:val="20"/>
              </w:rPr>
              <w:t xml:space="preserve">an </w:t>
            </w:r>
            <w:r w:rsidR="00B018E7">
              <w:rPr>
                <w:noProof/>
                <w:szCs w:val="20"/>
              </w:rPr>
              <w:t>adapt</w:t>
            </w:r>
            <w:r w:rsidR="0068107F">
              <w:rPr>
                <w:noProof/>
                <w:szCs w:val="20"/>
              </w:rPr>
              <w:t>ation of</w:t>
            </w:r>
            <w:r w:rsidR="00B018E7">
              <w:rPr>
                <w:noProof/>
                <w:szCs w:val="20"/>
              </w:rPr>
              <w:t xml:space="preserve"> </w:t>
            </w:r>
            <w:r w:rsidR="00384482">
              <w:rPr>
                <w:noProof/>
                <w:szCs w:val="20"/>
              </w:rPr>
              <w:t>some relevant national rules applicable to groups. Policy option 1c would result in</w:t>
            </w:r>
            <w:r w:rsidR="001B6FF2">
              <w:rPr>
                <w:noProof/>
                <w:szCs w:val="20"/>
              </w:rPr>
              <w:t xml:space="preserve"> the</w:t>
            </w:r>
            <w:r w:rsidR="00384482">
              <w:rPr>
                <w:noProof/>
                <w:szCs w:val="20"/>
              </w:rPr>
              <w:t xml:space="preserve"> highest cost because it would also require adaption of national laws re</w:t>
            </w:r>
            <w:r w:rsidR="00BE5B2E">
              <w:rPr>
                <w:noProof/>
                <w:szCs w:val="20"/>
              </w:rPr>
              <w:t xml:space="preserve">lated to cross-border </w:t>
            </w:r>
            <w:r w:rsidR="001C7547">
              <w:rPr>
                <w:noProof/>
                <w:szCs w:val="20"/>
              </w:rPr>
              <w:t xml:space="preserve">conversions, divisions and mergers. </w:t>
            </w:r>
          </w:p>
        </w:tc>
      </w:tr>
      <w:tr w:rsidR="00E7381C" w:rsidRPr="00DC6DD8" w14:paraId="6CC7FBEC" w14:textId="77777777" w:rsidTr="004F5C87">
        <w:tc>
          <w:tcPr>
            <w:tcW w:w="2122" w:type="dxa"/>
          </w:tcPr>
          <w:p w14:paraId="5B633CEB" w14:textId="77777777" w:rsidR="00E7381C" w:rsidRDefault="00E7381C">
            <w:pPr>
              <w:rPr>
                <w:b/>
                <w:noProof/>
                <w:szCs w:val="20"/>
              </w:rPr>
            </w:pPr>
            <w:r>
              <w:rPr>
                <w:b/>
                <w:noProof/>
                <w:szCs w:val="20"/>
              </w:rPr>
              <w:t>Benefits</w:t>
            </w:r>
          </w:p>
        </w:tc>
        <w:tc>
          <w:tcPr>
            <w:tcW w:w="1508" w:type="dxa"/>
          </w:tcPr>
          <w:p w14:paraId="0924E5AE" w14:textId="77777777" w:rsidR="00E7381C" w:rsidRPr="00170FBB" w:rsidRDefault="00E7381C">
            <w:pPr>
              <w:rPr>
                <w:noProof/>
                <w:sz w:val="18"/>
                <w:szCs w:val="18"/>
              </w:rPr>
            </w:pPr>
            <w:r w:rsidRPr="00170FBB">
              <w:rPr>
                <w:noProof/>
                <w:sz w:val="18"/>
                <w:szCs w:val="18"/>
              </w:rPr>
              <w:t>Score 0-5</w:t>
            </w:r>
          </w:p>
        </w:tc>
        <w:tc>
          <w:tcPr>
            <w:tcW w:w="1042" w:type="dxa"/>
          </w:tcPr>
          <w:p w14:paraId="678C03AC" w14:textId="5C0E8188" w:rsidR="00E7381C" w:rsidRPr="0029649C" w:rsidRDefault="00987405" w:rsidP="00A12174">
            <w:pPr>
              <w:jc w:val="center"/>
              <w:rPr>
                <w:noProof/>
                <w:szCs w:val="20"/>
              </w:rPr>
            </w:pPr>
            <w:r>
              <w:rPr>
                <w:noProof/>
                <w:szCs w:val="20"/>
              </w:rPr>
              <w:t>2</w:t>
            </w:r>
          </w:p>
        </w:tc>
        <w:tc>
          <w:tcPr>
            <w:tcW w:w="996" w:type="dxa"/>
          </w:tcPr>
          <w:p w14:paraId="0175D7EC" w14:textId="2C89B2C0" w:rsidR="00E7381C" w:rsidRPr="0029649C" w:rsidRDefault="00987405" w:rsidP="00987405">
            <w:pPr>
              <w:jc w:val="center"/>
              <w:rPr>
                <w:noProof/>
                <w:szCs w:val="20"/>
              </w:rPr>
            </w:pPr>
            <w:r>
              <w:rPr>
                <w:noProof/>
                <w:szCs w:val="20"/>
              </w:rPr>
              <w:t>3</w:t>
            </w:r>
          </w:p>
        </w:tc>
        <w:tc>
          <w:tcPr>
            <w:tcW w:w="994" w:type="dxa"/>
          </w:tcPr>
          <w:p w14:paraId="20E92492" w14:textId="399B3655" w:rsidR="00E7381C" w:rsidRPr="0029649C" w:rsidDel="00073540" w:rsidRDefault="00987405" w:rsidP="00987405">
            <w:pPr>
              <w:jc w:val="center"/>
              <w:rPr>
                <w:noProof/>
                <w:szCs w:val="20"/>
              </w:rPr>
            </w:pPr>
            <w:r>
              <w:rPr>
                <w:noProof/>
                <w:szCs w:val="20"/>
              </w:rPr>
              <w:t>3</w:t>
            </w:r>
          </w:p>
        </w:tc>
        <w:tc>
          <w:tcPr>
            <w:tcW w:w="7508" w:type="dxa"/>
          </w:tcPr>
          <w:p w14:paraId="2B2CB27C" w14:textId="5F220513" w:rsidR="00E7381C" w:rsidRDefault="007017F8" w:rsidP="00A47510">
            <w:pPr>
              <w:jc w:val="both"/>
              <w:rPr>
                <w:noProof/>
                <w:szCs w:val="20"/>
              </w:rPr>
            </w:pPr>
            <w:r>
              <w:rPr>
                <w:noProof/>
                <w:szCs w:val="20"/>
              </w:rPr>
              <w:t xml:space="preserve">Member States’ authorities would </w:t>
            </w:r>
            <w:r w:rsidR="00A47510">
              <w:rPr>
                <w:noProof/>
                <w:szCs w:val="20"/>
              </w:rPr>
              <w:t>benefit from the common rules and recognisable brand in relation to 28</w:t>
            </w:r>
            <w:r w:rsidR="00A47510" w:rsidRPr="00A47510">
              <w:rPr>
                <w:noProof/>
                <w:szCs w:val="20"/>
                <w:vertAlign w:val="superscript"/>
              </w:rPr>
              <w:t>th</w:t>
            </w:r>
            <w:r w:rsidR="00A47510">
              <w:rPr>
                <w:noProof/>
                <w:szCs w:val="20"/>
              </w:rPr>
              <w:t xml:space="preserve"> regime companies registered in another Member States and prov</w:t>
            </w:r>
            <w:r w:rsidR="00651F25">
              <w:rPr>
                <w:noProof/>
                <w:szCs w:val="20"/>
              </w:rPr>
              <w:t>id</w:t>
            </w:r>
            <w:r w:rsidR="00A47510">
              <w:rPr>
                <w:noProof/>
                <w:szCs w:val="20"/>
              </w:rPr>
              <w:t>ing cross-border services, selling good</w:t>
            </w:r>
            <w:r w:rsidR="00DF4E26">
              <w:rPr>
                <w:noProof/>
                <w:szCs w:val="20"/>
              </w:rPr>
              <w:t>s</w:t>
            </w:r>
            <w:r w:rsidR="00A47510">
              <w:rPr>
                <w:noProof/>
                <w:szCs w:val="20"/>
              </w:rPr>
              <w:t>, posting workers etc. into their Member States. Th</w:t>
            </w:r>
            <w:r w:rsidR="00A868C4">
              <w:rPr>
                <w:noProof/>
                <w:szCs w:val="20"/>
              </w:rPr>
              <w:t>e</w:t>
            </w:r>
            <w:r w:rsidR="00A47510">
              <w:rPr>
                <w:noProof/>
                <w:szCs w:val="20"/>
              </w:rPr>
              <w:t xml:space="preserve"> authorities would not need to study 27 different legal rules bu</w:t>
            </w:r>
            <w:r w:rsidR="00341557">
              <w:rPr>
                <w:noProof/>
                <w:szCs w:val="20"/>
              </w:rPr>
              <w:t>t</w:t>
            </w:r>
            <w:r w:rsidR="00A47510">
              <w:rPr>
                <w:noProof/>
                <w:szCs w:val="20"/>
              </w:rPr>
              <w:t xml:space="preserve"> </w:t>
            </w:r>
            <w:r w:rsidR="00833A96">
              <w:rPr>
                <w:noProof/>
                <w:szCs w:val="20"/>
              </w:rPr>
              <w:t xml:space="preserve">rely on common rules. </w:t>
            </w:r>
          </w:p>
        </w:tc>
      </w:tr>
      <w:tr w:rsidR="00E7381C" w:rsidRPr="00DC6DD8" w14:paraId="7C5DCF66" w14:textId="77777777" w:rsidTr="004F5C87">
        <w:tc>
          <w:tcPr>
            <w:tcW w:w="14170" w:type="dxa"/>
            <w:gridSpan w:val="6"/>
            <w:shd w:val="clear" w:color="auto" w:fill="92D050"/>
          </w:tcPr>
          <w:p w14:paraId="4F18901F" w14:textId="77777777" w:rsidR="00E7381C" w:rsidRPr="006E78FA" w:rsidRDefault="00E7381C">
            <w:pPr>
              <w:rPr>
                <w:b/>
                <w:bCs/>
                <w:noProof/>
                <w:szCs w:val="20"/>
              </w:rPr>
            </w:pPr>
            <w:r w:rsidRPr="00D345EC">
              <w:rPr>
                <w:b/>
                <w:noProof/>
                <w:sz w:val="24"/>
                <w:szCs w:val="24"/>
              </w:rPr>
              <w:t>Economy and society at large</w:t>
            </w:r>
          </w:p>
        </w:tc>
      </w:tr>
      <w:tr w:rsidR="00E7381C" w:rsidRPr="00DC6DD8" w14:paraId="7B2F0A72" w14:textId="77777777" w:rsidTr="004F5C87">
        <w:tc>
          <w:tcPr>
            <w:tcW w:w="2122" w:type="dxa"/>
          </w:tcPr>
          <w:p w14:paraId="35EA699A" w14:textId="77777777" w:rsidR="00E7381C" w:rsidRPr="0074616C" w:rsidRDefault="00E7381C">
            <w:pPr>
              <w:rPr>
                <w:b/>
                <w:noProof/>
                <w:szCs w:val="20"/>
              </w:rPr>
            </w:pPr>
            <w:r>
              <w:rPr>
                <w:b/>
                <w:noProof/>
                <w:szCs w:val="20"/>
              </w:rPr>
              <w:t>Functioning of the internal market and competitiveness</w:t>
            </w:r>
          </w:p>
        </w:tc>
        <w:tc>
          <w:tcPr>
            <w:tcW w:w="1508" w:type="dxa"/>
          </w:tcPr>
          <w:p w14:paraId="7CE201FF" w14:textId="77777777" w:rsidR="00E7381C" w:rsidRPr="00DC6DD8" w:rsidRDefault="00E7381C">
            <w:pPr>
              <w:rPr>
                <w:noProof/>
                <w:szCs w:val="20"/>
              </w:rPr>
            </w:pPr>
            <w:r w:rsidRPr="00170FBB">
              <w:rPr>
                <w:noProof/>
                <w:sz w:val="18"/>
                <w:szCs w:val="18"/>
              </w:rPr>
              <w:t>Score 0-5</w:t>
            </w:r>
          </w:p>
        </w:tc>
        <w:tc>
          <w:tcPr>
            <w:tcW w:w="1042" w:type="dxa"/>
          </w:tcPr>
          <w:p w14:paraId="057397AA" w14:textId="6855022F" w:rsidR="00E7381C" w:rsidRPr="0029649C" w:rsidRDefault="00D11436" w:rsidP="00D11436">
            <w:pPr>
              <w:jc w:val="center"/>
              <w:rPr>
                <w:noProof/>
                <w:szCs w:val="20"/>
              </w:rPr>
            </w:pPr>
            <w:r>
              <w:rPr>
                <w:noProof/>
                <w:szCs w:val="20"/>
              </w:rPr>
              <w:t>2</w:t>
            </w:r>
          </w:p>
        </w:tc>
        <w:tc>
          <w:tcPr>
            <w:tcW w:w="996" w:type="dxa"/>
          </w:tcPr>
          <w:p w14:paraId="3E8E0A55" w14:textId="52ECFA8E" w:rsidR="00E7381C" w:rsidRPr="0029649C" w:rsidRDefault="00D11436" w:rsidP="00D11436">
            <w:pPr>
              <w:jc w:val="center"/>
              <w:rPr>
                <w:noProof/>
                <w:szCs w:val="20"/>
              </w:rPr>
            </w:pPr>
            <w:r>
              <w:rPr>
                <w:noProof/>
                <w:szCs w:val="20"/>
              </w:rPr>
              <w:t>3</w:t>
            </w:r>
          </w:p>
        </w:tc>
        <w:tc>
          <w:tcPr>
            <w:tcW w:w="994" w:type="dxa"/>
          </w:tcPr>
          <w:p w14:paraId="6A2F33D8" w14:textId="4B03EA35" w:rsidR="00E7381C" w:rsidRPr="0029649C" w:rsidDel="00073540" w:rsidRDefault="00D82E54" w:rsidP="00D11436">
            <w:pPr>
              <w:jc w:val="center"/>
              <w:rPr>
                <w:noProof/>
                <w:szCs w:val="20"/>
              </w:rPr>
            </w:pPr>
            <w:r>
              <w:rPr>
                <w:noProof/>
                <w:szCs w:val="20"/>
              </w:rPr>
              <w:t>4</w:t>
            </w:r>
          </w:p>
        </w:tc>
        <w:tc>
          <w:tcPr>
            <w:tcW w:w="7508" w:type="dxa"/>
          </w:tcPr>
          <w:p w14:paraId="0B2D5613" w14:textId="3BBAB8FA" w:rsidR="00D163FD" w:rsidRPr="00FE6E4E" w:rsidRDefault="00D163FD" w:rsidP="00D163FD">
            <w:pPr>
              <w:ind w:right="57"/>
              <w:contextualSpacing/>
              <w:jc w:val="both"/>
              <w:rPr>
                <w:noProof/>
                <w:szCs w:val="20"/>
              </w:rPr>
            </w:pPr>
            <w:r w:rsidRPr="00FE6E4E">
              <w:rPr>
                <w:rFonts w:cs="Times New Roman"/>
                <w:noProof/>
                <w:szCs w:val="20"/>
                <w:lang w:val="en-IE"/>
              </w:rPr>
              <w:t>The</w:t>
            </w:r>
            <w:r w:rsidRPr="00FE6E4E">
              <w:rPr>
                <w:noProof/>
                <w:szCs w:val="20"/>
              </w:rPr>
              <w:t xml:space="preserve"> common EU corporate legal form with a recognisable brand would contribute to the functioning of the internal market by reducing fragmentation and bringing efficiency gains and </w:t>
            </w:r>
            <w:r w:rsidR="006F4E51">
              <w:rPr>
                <w:noProof/>
                <w:szCs w:val="20"/>
              </w:rPr>
              <w:t>would</w:t>
            </w:r>
            <w:r w:rsidRPr="00FE6E4E">
              <w:rPr>
                <w:noProof/>
                <w:szCs w:val="20"/>
              </w:rPr>
              <w:t xml:space="preserve"> thus </w:t>
            </w:r>
            <w:r w:rsidR="004A6DE9">
              <w:rPr>
                <w:noProof/>
                <w:szCs w:val="20"/>
              </w:rPr>
              <w:t>have</w:t>
            </w:r>
            <w:r w:rsidRPr="00FE6E4E">
              <w:rPr>
                <w:noProof/>
                <w:szCs w:val="20"/>
              </w:rPr>
              <w:t xml:space="preserve"> a positive impact on competitiveness. </w:t>
            </w:r>
            <w:r w:rsidR="00952182">
              <w:rPr>
                <w:noProof/>
                <w:szCs w:val="20"/>
              </w:rPr>
              <w:t xml:space="preserve">Option 1c would score the highest as it would also make it </w:t>
            </w:r>
            <w:r w:rsidR="00BE53BA">
              <w:rPr>
                <w:noProof/>
                <w:szCs w:val="20"/>
              </w:rPr>
              <w:t>possib</w:t>
            </w:r>
            <w:r w:rsidR="00952182">
              <w:rPr>
                <w:noProof/>
                <w:szCs w:val="20"/>
              </w:rPr>
              <w:t>le</w:t>
            </w:r>
            <w:r w:rsidR="00BE53BA">
              <w:rPr>
                <w:noProof/>
                <w:szCs w:val="20"/>
              </w:rPr>
              <w:t xml:space="preserve"> for scaleups to form a 28</w:t>
            </w:r>
            <w:r w:rsidR="00BE53BA" w:rsidRPr="005C495B">
              <w:rPr>
                <w:noProof/>
                <w:szCs w:val="20"/>
                <w:vertAlign w:val="superscript"/>
              </w:rPr>
              <w:t>th</w:t>
            </w:r>
            <w:r w:rsidR="00BE53BA">
              <w:rPr>
                <w:noProof/>
                <w:szCs w:val="20"/>
              </w:rPr>
              <w:t xml:space="preserve"> regime company through cross-border operations</w:t>
            </w:r>
            <w:r w:rsidR="00664E64">
              <w:rPr>
                <w:noProof/>
                <w:szCs w:val="20"/>
              </w:rPr>
              <w:t xml:space="preserve">. </w:t>
            </w:r>
          </w:p>
          <w:p w14:paraId="6E7149E9" w14:textId="77777777" w:rsidR="00D163FD" w:rsidRPr="00D163FD" w:rsidRDefault="00D163FD" w:rsidP="00FE6E4E">
            <w:pPr>
              <w:ind w:right="57"/>
              <w:contextualSpacing/>
              <w:jc w:val="both"/>
              <w:rPr>
                <w:rFonts w:cs="Times New Roman"/>
                <w:noProof/>
                <w:szCs w:val="20"/>
              </w:rPr>
            </w:pPr>
          </w:p>
          <w:p w14:paraId="1E469308" w14:textId="46F9FB6C" w:rsidR="006D7C7D" w:rsidRDefault="003B2752" w:rsidP="003B2752">
            <w:pPr>
              <w:ind w:right="57"/>
              <w:contextualSpacing/>
              <w:jc w:val="both"/>
              <w:rPr>
                <w:rFonts w:cs="Times New Roman"/>
                <w:noProof/>
                <w:lang w:val="en-IE"/>
              </w:rPr>
            </w:pPr>
            <w:r>
              <w:rPr>
                <w:noProof/>
              </w:rPr>
              <w:t>Also, 88% of respondents to the public consultation (1184) agreed that the EU-brand would bring benefits</w:t>
            </w:r>
            <w:r w:rsidR="00693868">
              <w:rPr>
                <w:noProof/>
              </w:rPr>
              <w:t xml:space="preserve"> and</w:t>
            </w:r>
            <w:r>
              <w:rPr>
                <w:noProof/>
              </w:rPr>
              <w:t xml:space="preserve"> </w:t>
            </w:r>
            <w:r w:rsidRPr="2E375142">
              <w:rPr>
                <w:rFonts w:cs="Times New Roman"/>
                <w:noProof/>
                <w:lang w:val="en-IE"/>
              </w:rPr>
              <w:t xml:space="preserve">84% of respondents agreed to a large or very large extent that the benefits </w:t>
            </w:r>
            <w:r w:rsidR="00693868">
              <w:rPr>
                <w:rFonts w:cs="Times New Roman"/>
                <w:noProof/>
                <w:lang w:val="en-IE"/>
              </w:rPr>
              <w:t>of the</w:t>
            </w:r>
            <w:r w:rsidRPr="2E375142">
              <w:rPr>
                <w:rFonts w:cs="Times New Roman"/>
                <w:noProof/>
                <w:lang w:val="en-IE"/>
              </w:rPr>
              <w:t xml:space="preserve"> EU-brand would </w:t>
            </w:r>
            <w:r w:rsidR="00087347" w:rsidRPr="2E375142">
              <w:rPr>
                <w:rFonts w:cs="Times New Roman"/>
                <w:noProof/>
                <w:lang w:val="en-IE"/>
              </w:rPr>
              <w:t>be</w:t>
            </w:r>
            <w:r w:rsidRPr="2E375142">
              <w:rPr>
                <w:rFonts w:cs="Times New Roman"/>
                <w:noProof/>
                <w:lang w:val="en-IE"/>
              </w:rPr>
              <w:t xml:space="preserve"> that more </w:t>
            </w:r>
            <w:r w:rsidR="55F40D98" w:rsidRPr="2E375142">
              <w:rPr>
                <w:rFonts w:cs="Times New Roman"/>
                <w:noProof/>
                <w:lang w:val="en-IE"/>
              </w:rPr>
              <w:t>s</w:t>
            </w:r>
            <w:r w:rsidR="43E0C2DB" w:rsidRPr="2E375142">
              <w:rPr>
                <w:rFonts w:cs="Times New Roman"/>
                <w:noProof/>
                <w:lang w:val="en-IE"/>
              </w:rPr>
              <w:t>tartup</w:t>
            </w:r>
            <w:r w:rsidR="55F40D98" w:rsidRPr="2E375142">
              <w:rPr>
                <w:rFonts w:cs="Times New Roman"/>
                <w:noProof/>
                <w:lang w:val="en-IE"/>
              </w:rPr>
              <w:t>s</w:t>
            </w:r>
            <w:r w:rsidRPr="2E375142">
              <w:rPr>
                <w:rFonts w:cs="Times New Roman"/>
                <w:noProof/>
                <w:lang w:val="en-IE"/>
              </w:rPr>
              <w:t xml:space="preserve"> would be created in Europe</w:t>
            </w:r>
            <w:r w:rsidR="000624B5">
              <w:rPr>
                <w:rFonts w:cs="Times New Roman"/>
                <w:noProof/>
                <w:lang w:val="en-IE"/>
              </w:rPr>
              <w:t>.</w:t>
            </w:r>
            <w:r w:rsidRPr="2E375142">
              <w:rPr>
                <w:rFonts w:cs="Times New Roman"/>
                <w:noProof/>
                <w:lang w:val="en-IE"/>
              </w:rPr>
              <w:t xml:space="preserve"> 82% agreed to a large or very large extent that other companies (suppliers, contractors etc.) from other Member States </w:t>
            </w:r>
            <w:r w:rsidR="00DD05CE" w:rsidRPr="2E375142">
              <w:rPr>
                <w:rFonts w:cs="Times New Roman"/>
                <w:noProof/>
                <w:lang w:val="en-IE"/>
              </w:rPr>
              <w:t xml:space="preserve">would </w:t>
            </w:r>
            <w:r w:rsidRPr="2E375142">
              <w:rPr>
                <w:rFonts w:cs="Times New Roman"/>
                <w:noProof/>
                <w:lang w:val="en-IE"/>
              </w:rPr>
              <w:t xml:space="preserve">be attracted to do business with 28th regime companies. </w:t>
            </w:r>
            <w:r w:rsidR="007047DF">
              <w:rPr>
                <w:rFonts w:cs="Times New Roman"/>
                <w:noProof/>
                <w:lang w:val="en-IE"/>
              </w:rPr>
              <w:t>R</w:t>
            </w:r>
            <w:r w:rsidRPr="2E375142">
              <w:rPr>
                <w:rFonts w:cs="Times New Roman"/>
                <w:noProof/>
                <w:lang w:val="en-IE"/>
              </w:rPr>
              <w:t xml:space="preserve">espondents </w:t>
            </w:r>
            <w:r w:rsidR="007047DF">
              <w:rPr>
                <w:rFonts w:cs="Times New Roman"/>
                <w:noProof/>
                <w:lang w:val="en-IE"/>
              </w:rPr>
              <w:t>were also of the opinion</w:t>
            </w:r>
            <w:r w:rsidRPr="2E375142">
              <w:rPr>
                <w:rFonts w:cs="Times New Roman"/>
                <w:noProof/>
                <w:lang w:val="en-IE"/>
              </w:rPr>
              <w:t xml:space="preserve"> that consumers would recognise the 28th regime company as an EU company and would buy more products and services from such companies</w:t>
            </w:r>
            <w:r w:rsidR="00596943">
              <w:rPr>
                <w:rFonts w:cs="Times New Roman"/>
                <w:noProof/>
                <w:lang w:val="en-IE"/>
              </w:rPr>
              <w:t xml:space="preserve">, </w:t>
            </w:r>
            <w:r w:rsidRPr="2E375142">
              <w:rPr>
                <w:rFonts w:cs="Times New Roman"/>
                <w:noProof/>
                <w:lang w:val="en-IE"/>
              </w:rPr>
              <w:t>rank</w:t>
            </w:r>
            <w:r w:rsidR="001B24F9">
              <w:rPr>
                <w:rFonts w:cs="Times New Roman"/>
                <w:noProof/>
                <w:lang w:val="en-IE"/>
              </w:rPr>
              <w:t>ing</w:t>
            </w:r>
            <w:r w:rsidR="000D3A4B">
              <w:rPr>
                <w:rFonts w:cs="Times New Roman"/>
                <w:noProof/>
                <w:lang w:val="en-IE"/>
              </w:rPr>
              <w:t xml:space="preserve"> it</w:t>
            </w:r>
            <w:r w:rsidRPr="2E375142">
              <w:rPr>
                <w:rFonts w:cs="Times New Roman"/>
                <w:noProof/>
                <w:lang w:val="en-IE"/>
              </w:rPr>
              <w:t xml:space="preserve"> as a very important benefit (74% agreed to a large or very large extent).</w:t>
            </w:r>
          </w:p>
          <w:p w14:paraId="0C4DB980" w14:textId="77777777" w:rsidR="006D7C7D" w:rsidRDefault="006D7C7D" w:rsidP="003B2752">
            <w:pPr>
              <w:ind w:right="57"/>
              <w:contextualSpacing/>
              <w:jc w:val="both"/>
              <w:rPr>
                <w:rFonts w:cs="Times New Roman"/>
                <w:noProof/>
                <w:szCs w:val="20"/>
                <w:lang w:val="en-IE"/>
              </w:rPr>
            </w:pPr>
          </w:p>
          <w:p w14:paraId="3FFD7A56" w14:textId="45764BF4" w:rsidR="00815B14" w:rsidRDefault="00760595" w:rsidP="00863A06">
            <w:pPr>
              <w:ind w:right="57"/>
              <w:contextualSpacing/>
              <w:jc w:val="both"/>
              <w:rPr>
                <w:rFonts w:cs="Times New Roman"/>
                <w:noProof/>
                <w:szCs w:val="20"/>
                <w:lang w:val="en-IE"/>
              </w:rPr>
            </w:pPr>
            <w:r>
              <w:rPr>
                <w:rFonts w:cs="Times New Roman"/>
                <w:noProof/>
                <w:szCs w:val="20"/>
                <w:lang w:val="en-IE"/>
              </w:rPr>
              <w:t>In contrast to the US, whose corporate laws are primarily state-based</w:t>
            </w:r>
            <w:r w:rsidR="00807896" w:rsidRPr="00CA5459">
              <w:rPr>
                <w:rFonts w:cs="Times New Roman"/>
                <w:noProof/>
                <w:szCs w:val="20"/>
                <w:lang w:val="en-IE"/>
              </w:rPr>
              <w:t xml:space="preserve">, the EU common legal framework </w:t>
            </w:r>
            <w:r w:rsidR="00C80CAC" w:rsidRPr="00CA5459">
              <w:rPr>
                <w:rFonts w:cs="Times New Roman"/>
                <w:noProof/>
                <w:szCs w:val="20"/>
                <w:lang w:val="en-IE"/>
              </w:rPr>
              <w:t xml:space="preserve">with </w:t>
            </w:r>
            <w:r w:rsidR="00CE652B" w:rsidRPr="00CA5459">
              <w:rPr>
                <w:rFonts w:cs="Times New Roman"/>
                <w:noProof/>
                <w:szCs w:val="20"/>
                <w:lang w:val="en-IE"/>
              </w:rPr>
              <w:t xml:space="preserve">an </w:t>
            </w:r>
            <w:r w:rsidR="00C80CAC" w:rsidRPr="00CA5459">
              <w:rPr>
                <w:rFonts w:cs="Times New Roman"/>
                <w:noProof/>
                <w:szCs w:val="20"/>
                <w:lang w:val="en-IE"/>
              </w:rPr>
              <w:t xml:space="preserve">EU brand would provide for common rules </w:t>
            </w:r>
            <w:r w:rsidR="00B4799B" w:rsidRPr="00CA5459">
              <w:rPr>
                <w:rFonts w:cs="Times New Roman"/>
                <w:noProof/>
                <w:szCs w:val="20"/>
                <w:lang w:val="en-IE"/>
              </w:rPr>
              <w:t>throughout the</w:t>
            </w:r>
            <w:r w:rsidR="00C80CAC" w:rsidRPr="00CA5459">
              <w:rPr>
                <w:rFonts w:cs="Times New Roman"/>
                <w:noProof/>
                <w:szCs w:val="20"/>
                <w:lang w:val="en-IE"/>
              </w:rPr>
              <w:t xml:space="preserve"> </w:t>
            </w:r>
            <w:r w:rsidR="0044138B" w:rsidRPr="00CA5459">
              <w:rPr>
                <w:rFonts w:cs="Times New Roman"/>
                <w:noProof/>
                <w:szCs w:val="20"/>
                <w:lang w:val="en-IE"/>
              </w:rPr>
              <w:t>EU Single Market</w:t>
            </w:r>
            <w:r w:rsidR="009F0248" w:rsidRPr="00CA5459">
              <w:rPr>
                <w:rFonts w:cs="Times New Roman"/>
                <w:noProof/>
                <w:szCs w:val="20"/>
                <w:lang w:val="en-IE"/>
              </w:rPr>
              <w:t>, therefore having a positive impact on EU’s competitiveness</w:t>
            </w:r>
            <w:r w:rsidR="00BF7F27" w:rsidRPr="00CA5459">
              <w:rPr>
                <w:rFonts w:cs="Times New Roman"/>
                <w:noProof/>
                <w:szCs w:val="20"/>
                <w:lang w:val="en-IE"/>
              </w:rPr>
              <w:t>, also as compared to third countries</w:t>
            </w:r>
            <w:r w:rsidR="0044138B" w:rsidRPr="00CA5459">
              <w:rPr>
                <w:rFonts w:cs="Times New Roman"/>
                <w:noProof/>
                <w:szCs w:val="20"/>
                <w:lang w:val="en-IE"/>
              </w:rPr>
              <w:t xml:space="preserve">. </w:t>
            </w:r>
            <w:r w:rsidR="00B4799B" w:rsidRPr="00CA5459">
              <w:rPr>
                <w:rFonts w:cs="Times New Roman"/>
                <w:noProof/>
                <w:szCs w:val="20"/>
              </w:rPr>
              <w:t>The</w:t>
            </w:r>
            <w:r w:rsidR="00B4799B">
              <w:rPr>
                <w:rFonts w:cs="Times New Roman"/>
                <w:noProof/>
                <w:szCs w:val="20"/>
              </w:rPr>
              <w:t xml:space="preserve"> </w:t>
            </w:r>
            <w:r w:rsidR="008B7E24">
              <w:rPr>
                <w:rFonts w:cs="Times New Roman"/>
                <w:noProof/>
                <w:szCs w:val="20"/>
              </w:rPr>
              <w:t>28</w:t>
            </w:r>
            <w:r w:rsidR="008B7E24" w:rsidRPr="008B7E24">
              <w:rPr>
                <w:rFonts w:cs="Times New Roman"/>
                <w:noProof/>
                <w:szCs w:val="20"/>
                <w:vertAlign w:val="superscript"/>
              </w:rPr>
              <w:t>th</w:t>
            </w:r>
            <w:r w:rsidR="008B7E24">
              <w:rPr>
                <w:rFonts w:cs="Times New Roman"/>
                <w:noProof/>
                <w:szCs w:val="20"/>
              </w:rPr>
              <w:t xml:space="preserve"> regime company would </w:t>
            </w:r>
            <w:r w:rsidR="006D33EE">
              <w:rPr>
                <w:rFonts w:cs="Times New Roman"/>
                <w:noProof/>
                <w:szCs w:val="20"/>
              </w:rPr>
              <w:t xml:space="preserve">be </w:t>
            </w:r>
            <w:r w:rsidR="009572EE">
              <w:rPr>
                <w:rFonts w:cs="Times New Roman"/>
                <w:noProof/>
                <w:szCs w:val="20"/>
              </w:rPr>
              <w:t>recognised</w:t>
            </w:r>
            <w:r w:rsidR="006D33EE">
              <w:rPr>
                <w:rFonts w:cs="Times New Roman"/>
                <w:noProof/>
                <w:szCs w:val="20"/>
              </w:rPr>
              <w:t xml:space="preserve"> in all Member States, </w:t>
            </w:r>
            <w:r w:rsidR="007B3B72">
              <w:rPr>
                <w:rFonts w:cs="Times New Roman"/>
                <w:noProof/>
                <w:szCs w:val="20"/>
              </w:rPr>
              <w:t xml:space="preserve">while </w:t>
            </w:r>
            <w:r w:rsidR="007B3B72" w:rsidRPr="00961DF7">
              <w:rPr>
                <w:rFonts w:cs="Times New Roman"/>
                <w:noProof/>
                <w:szCs w:val="20"/>
                <w:lang w:val="en-IE"/>
              </w:rPr>
              <w:t>a Delaware company has to perform a foreign qualification</w:t>
            </w:r>
            <w:r w:rsidR="007B3B72">
              <w:rPr>
                <w:rFonts w:cs="Times New Roman"/>
                <w:noProof/>
                <w:szCs w:val="20"/>
                <w:lang w:val="en-IE"/>
              </w:rPr>
              <w:t xml:space="preserve"> if it wishes to </w:t>
            </w:r>
            <w:r w:rsidR="007B3B72" w:rsidRPr="00961DF7">
              <w:rPr>
                <w:rFonts w:cs="Times New Roman"/>
                <w:noProof/>
                <w:szCs w:val="20"/>
                <w:lang w:val="en-IE"/>
              </w:rPr>
              <w:t>operate out of state within the U</w:t>
            </w:r>
            <w:r w:rsidR="007B3B72">
              <w:rPr>
                <w:rFonts w:cs="Times New Roman"/>
                <w:noProof/>
                <w:szCs w:val="20"/>
                <w:lang w:val="en-IE"/>
              </w:rPr>
              <w:t xml:space="preserve">S. </w:t>
            </w:r>
          </w:p>
          <w:p w14:paraId="2C4BC509" w14:textId="77777777" w:rsidR="00815B14" w:rsidRDefault="00815B14" w:rsidP="00863A06">
            <w:pPr>
              <w:ind w:right="57"/>
              <w:contextualSpacing/>
              <w:jc w:val="both"/>
              <w:rPr>
                <w:rFonts w:cs="Times New Roman"/>
                <w:noProof/>
                <w:szCs w:val="20"/>
                <w:lang w:val="en-IE"/>
              </w:rPr>
            </w:pPr>
          </w:p>
          <w:p w14:paraId="2FE4E4EC" w14:textId="1FB1B362" w:rsidR="00863093" w:rsidRPr="006F5B69" w:rsidRDefault="007B3B72" w:rsidP="00F07652">
            <w:pPr>
              <w:ind w:right="57"/>
              <w:contextualSpacing/>
              <w:jc w:val="both"/>
              <w:rPr>
                <w:noProof/>
                <w:szCs w:val="20"/>
                <w:lang w:val="en-IE"/>
              </w:rPr>
            </w:pPr>
            <w:r>
              <w:rPr>
                <w:rFonts w:cs="Times New Roman"/>
                <w:noProof/>
                <w:szCs w:val="20"/>
                <w:lang w:val="en-IE"/>
              </w:rPr>
              <w:t xml:space="preserve">The </w:t>
            </w:r>
            <w:r w:rsidR="00815B14">
              <w:rPr>
                <w:rFonts w:cs="Times New Roman"/>
                <w:noProof/>
                <w:szCs w:val="20"/>
                <w:lang w:val="en-IE"/>
              </w:rPr>
              <w:t xml:space="preserve">accurate and up-to-date </w:t>
            </w:r>
            <w:r w:rsidR="006D33EE">
              <w:rPr>
                <w:rFonts w:cs="Times New Roman"/>
                <w:noProof/>
                <w:szCs w:val="20"/>
              </w:rPr>
              <w:t>information</w:t>
            </w:r>
            <w:r w:rsidR="009572EE">
              <w:rPr>
                <w:rFonts w:cs="Times New Roman"/>
                <w:noProof/>
                <w:szCs w:val="20"/>
              </w:rPr>
              <w:t xml:space="preserve"> about the 28</w:t>
            </w:r>
            <w:r w:rsidR="009572EE" w:rsidRPr="009572EE">
              <w:rPr>
                <w:rFonts w:cs="Times New Roman"/>
                <w:noProof/>
                <w:szCs w:val="20"/>
                <w:vertAlign w:val="superscript"/>
              </w:rPr>
              <w:t>th</w:t>
            </w:r>
            <w:r w:rsidR="009572EE">
              <w:rPr>
                <w:rFonts w:cs="Times New Roman"/>
                <w:noProof/>
                <w:szCs w:val="20"/>
              </w:rPr>
              <w:t xml:space="preserve"> regime company would be publicly available </w:t>
            </w:r>
            <w:r w:rsidR="005451CC">
              <w:rPr>
                <w:rFonts w:cs="Times New Roman"/>
                <w:noProof/>
                <w:szCs w:val="20"/>
              </w:rPr>
              <w:t xml:space="preserve">at EU level (through BRIS) and also at national level (in national business register) </w:t>
            </w:r>
            <w:r w:rsidR="00B0139D">
              <w:rPr>
                <w:rFonts w:cs="Times New Roman"/>
                <w:noProof/>
                <w:szCs w:val="20"/>
              </w:rPr>
              <w:t xml:space="preserve">for the benefit of </w:t>
            </w:r>
            <w:r w:rsidR="00A7758A">
              <w:rPr>
                <w:rFonts w:cs="Times New Roman"/>
                <w:noProof/>
                <w:szCs w:val="20"/>
              </w:rPr>
              <w:t>business partners, investors, creditors and other third partie</w:t>
            </w:r>
            <w:r>
              <w:rPr>
                <w:rFonts w:cs="Times New Roman"/>
                <w:noProof/>
                <w:szCs w:val="20"/>
              </w:rPr>
              <w:t>s and</w:t>
            </w:r>
            <w:r w:rsidR="00550867">
              <w:rPr>
                <w:rFonts w:cs="Times New Roman"/>
                <w:noProof/>
                <w:szCs w:val="20"/>
              </w:rPr>
              <w:t xml:space="preserve">, the </w:t>
            </w:r>
            <w:r>
              <w:rPr>
                <w:rFonts w:cs="Times New Roman"/>
                <w:noProof/>
                <w:szCs w:val="20"/>
              </w:rPr>
              <w:t xml:space="preserve">multilingual </w:t>
            </w:r>
            <w:r w:rsidR="00550867">
              <w:rPr>
                <w:rFonts w:cs="Times New Roman"/>
                <w:noProof/>
                <w:szCs w:val="20"/>
              </w:rPr>
              <w:t xml:space="preserve">EU company certificate </w:t>
            </w:r>
            <w:r>
              <w:rPr>
                <w:rFonts w:cs="Times New Roman"/>
                <w:noProof/>
                <w:szCs w:val="20"/>
              </w:rPr>
              <w:t xml:space="preserve">(harmonised extract) would be </w:t>
            </w:r>
            <w:r w:rsidR="00D10164">
              <w:rPr>
                <w:rFonts w:cs="Times New Roman"/>
                <w:noProof/>
                <w:szCs w:val="20"/>
              </w:rPr>
              <w:t>available for the 28</w:t>
            </w:r>
            <w:r w:rsidR="00D10164" w:rsidRPr="00F07652">
              <w:rPr>
                <w:rFonts w:cs="Times New Roman"/>
                <w:noProof/>
                <w:szCs w:val="20"/>
                <w:vertAlign w:val="superscript"/>
              </w:rPr>
              <w:t>th</w:t>
            </w:r>
            <w:r w:rsidR="00D10164">
              <w:rPr>
                <w:rFonts w:cs="Times New Roman"/>
                <w:noProof/>
                <w:szCs w:val="20"/>
              </w:rPr>
              <w:t xml:space="preserve"> regime company and all other Member State’s authorities must accept it</w:t>
            </w:r>
            <w:r w:rsidR="00815B14">
              <w:rPr>
                <w:rFonts w:cs="Times New Roman"/>
                <w:noProof/>
                <w:szCs w:val="20"/>
              </w:rPr>
              <w:t xml:space="preserve">. </w:t>
            </w:r>
            <w:r w:rsidR="0086364D">
              <w:rPr>
                <w:rFonts w:cs="Times New Roman"/>
                <w:noProof/>
                <w:szCs w:val="20"/>
              </w:rPr>
              <w:t xml:space="preserve">These would offer </w:t>
            </w:r>
            <w:r w:rsidR="008E0B9B">
              <w:rPr>
                <w:rFonts w:cs="Times New Roman"/>
                <w:noProof/>
                <w:szCs w:val="20"/>
              </w:rPr>
              <w:t>a</w:t>
            </w:r>
            <w:r w:rsidR="0086364D">
              <w:rPr>
                <w:rFonts w:cs="Times New Roman"/>
                <w:noProof/>
                <w:szCs w:val="20"/>
              </w:rPr>
              <w:t xml:space="preserve"> clear advantage over</w:t>
            </w:r>
            <w:r w:rsidR="00A7758A">
              <w:rPr>
                <w:rFonts w:cs="Times New Roman"/>
                <w:noProof/>
                <w:szCs w:val="20"/>
              </w:rPr>
              <w:t xml:space="preserve"> </w:t>
            </w:r>
            <w:r w:rsidR="00FE6779">
              <w:rPr>
                <w:rFonts w:cs="Times New Roman"/>
                <w:noProof/>
                <w:szCs w:val="20"/>
              </w:rPr>
              <w:t xml:space="preserve">third-country legal forms, </w:t>
            </w:r>
            <w:r w:rsidR="006F1821">
              <w:rPr>
                <w:rFonts w:cs="Times New Roman"/>
                <w:noProof/>
                <w:szCs w:val="20"/>
              </w:rPr>
              <w:t>for example</w:t>
            </w:r>
            <w:r w:rsidR="00A7758A">
              <w:rPr>
                <w:rFonts w:cs="Times New Roman"/>
                <w:noProof/>
                <w:szCs w:val="20"/>
              </w:rPr>
              <w:t xml:space="preserve"> </w:t>
            </w:r>
            <w:r w:rsidR="00E01BF4">
              <w:rPr>
                <w:rFonts w:cs="Times New Roman"/>
                <w:noProof/>
                <w:szCs w:val="20"/>
                <w:lang w:val="en-IE"/>
              </w:rPr>
              <w:t>Delaware co</w:t>
            </w:r>
            <w:r w:rsidR="0054098C">
              <w:rPr>
                <w:rFonts w:cs="Times New Roman"/>
                <w:noProof/>
                <w:szCs w:val="20"/>
                <w:lang w:val="en-IE"/>
              </w:rPr>
              <w:t>rporations</w:t>
            </w:r>
            <w:r w:rsidR="009F037E">
              <w:rPr>
                <w:rFonts w:cs="Times New Roman"/>
                <w:noProof/>
                <w:szCs w:val="20"/>
                <w:lang w:val="en-IE"/>
              </w:rPr>
              <w:t xml:space="preserve"> for</w:t>
            </w:r>
            <w:r w:rsidR="00E01BF4">
              <w:rPr>
                <w:rFonts w:cs="Times New Roman"/>
                <w:noProof/>
                <w:szCs w:val="20"/>
                <w:lang w:val="en-IE"/>
              </w:rPr>
              <w:t xml:space="preserve"> </w:t>
            </w:r>
            <w:r w:rsidR="00815B14">
              <w:rPr>
                <w:rFonts w:cs="Times New Roman"/>
                <w:noProof/>
                <w:szCs w:val="20"/>
                <w:lang w:val="en-IE"/>
              </w:rPr>
              <w:t>which</w:t>
            </w:r>
            <w:r w:rsidR="009F037E">
              <w:rPr>
                <w:rFonts w:cs="Times New Roman"/>
                <w:noProof/>
                <w:szCs w:val="20"/>
                <w:lang w:val="en-IE"/>
              </w:rPr>
              <w:t xml:space="preserve"> it is necessary</w:t>
            </w:r>
            <w:r w:rsidR="00E01BF4">
              <w:rPr>
                <w:rFonts w:cs="Times New Roman"/>
                <w:noProof/>
                <w:szCs w:val="20"/>
                <w:lang w:val="en-IE"/>
              </w:rPr>
              <w:t xml:space="preserve"> to </w:t>
            </w:r>
            <w:r w:rsidR="00A86903">
              <w:rPr>
                <w:rFonts w:cs="Times New Roman"/>
                <w:noProof/>
                <w:szCs w:val="20"/>
                <w:lang w:val="en-IE"/>
              </w:rPr>
              <w:t xml:space="preserve">go through a mandatory Registered Agent to </w:t>
            </w:r>
            <w:r w:rsidR="00A86903" w:rsidRPr="00961DF7">
              <w:rPr>
                <w:rFonts w:cs="Times New Roman"/>
                <w:noProof/>
                <w:szCs w:val="20"/>
                <w:lang w:val="en-IE"/>
              </w:rPr>
              <w:t>request company documents from the Division of Corporations</w:t>
            </w:r>
            <w:r w:rsidR="00A86903">
              <w:rPr>
                <w:rFonts w:cs="Times New Roman"/>
                <w:noProof/>
                <w:szCs w:val="20"/>
                <w:lang w:val="en-IE"/>
              </w:rPr>
              <w:t xml:space="preserve"> (</w:t>
            </w:r>
            <w:r w:rsidR="00A86903" w:rsidRPr="00961DF7">
              <w:rPr>
                <w:rFonts w:cs="Times New Roman"/>
                <w:noProof/>
                <w:szCs w:val="20"/>
                <w:lang w:val="en-IE"/>
              </w:rPr>
              <w:t xml:space="preserve">Delaware’s equivalent to the </w:t>
            </w:r>
            <w:r w:rsidR="00A86903">
              <w:rPr>
                <w:rFonts w:cs="Times New Roman"/>
                <w:noProof/>
                <w:szCs w:val="20"/>
                <w:lang w:val="en-IE"/>
              </w:rPr>
              <w:t xml:space="preserve">business register) </w:t>
            </w:r>
            <w:r w:rsidR="009349FB">
              <w:rPr>
                <w:rFonts w:cs="Times New Roman"/>
                <w:noProof/>
                <w:szCs w:val="20"/>
                <w:lang w:val="en-IE"/>
              </w:rPr>
              <w:t xml:space="preserve">and where the </w:t>
            </w:r>
            <w:r w:rsidR="009349FB" w:rsidRPr="00961DF7">
              <w:rPr>
                <w:rFonts w:cs="Times New Roman"/>
                <w:noProof/>
                <w:szCs w:val="20"/>
                <w:lang w:val="en-IE"/>
              </w:rPr>
              <w:t>Division of Corporation</w:t>
            </w:r>
            <w:r w:rsidR="009349FB">
              <w:rPr>
                <w:rFonts w:cs="Times New Roman"/>
                <w:noProof/>
                <w:szCs w:val="20"/>
                <w:lang w:val="en-IE"/>
              </w:rPr>
              <w:t xml:space="preserve"> </w:t>
            </w:r>
            <w:r w:rsidR="00863093" w:rsidRPr="00863093">
              <w:rPr>
                <w:noProof/>
                <w:szCs w:val="20"/>
              </w:rPr>
              <w:t>does not offer a method of obtaining key entity information in an up</w:t>
            </w:r>
            <w:r w:rsidR="00B11F15" w:rsidRPr="00863093">
              <w:rPr>
                <w:noProof/>
                <w:szCs w:val="20"/>
              </w:rPr>
              <w:t>-</w:t>
            </w:r>
            <w:r w:rsidR="00863093" w:rsidRPr="00863093">
              <w:rPr>
                <w:noProof/>
                <w:szCs w:val="20"/>
              </w:rPr>
              <w:t>to</w:t>
            </w:r>
            <w:r w:rsidR="00B11F15" w:rsidRPr="00863093">
              <w:rPr>
                <w:noProof/>
                <w:szCs w:val="20"/>
              </w:rPr>
              <w:t>-</w:t>
            </w:r>
            <w:r w:rsidR="00863093" w:rsidRPr="00863093">
              <w:rPr>
                <w:noProof/>
                <w:szCs w:val="20"/>
              </w:rPr>
              <w:t>date certified manner</w:t>
            </w:r>
            <w:r w:rsidR="00C31E88">
              <w:rPr>
                <w:rStyle w:val="FootnoteReference"/>
                <w:noProof/>
                <w:szCs w:val="20"/>
              </w:rPr>
              <w:footnoteReference w:id="34"/>
            </w:r>
            <w:r w:rsidR="00863093" w:rsidRPr="00863093">
              <w:rPr>
                <w:noProof/>
                <w:szCs w:val="20"/>
              </w:rPr>
              <w:t xml:space="preserve">. </w:t>
            </w:r>
          </w:p>
        </w:tc>
      </w:tr>
    </w:tbl>
    <w:p w14:paraId="7BB81348" w14:textId="365FF1F1" w:rsidR="00E7381C" w:rsidRPr="002F072B" w:rsidRDefault="002F072B" w:rsidP="002F072B">
      <w:pPr>
        <w:pStyle w:val="Heading2"/>
        <w:numPr>
          <w:ilvl w:val="0"/>
          <w:numId w:val="0"/>
        </w:numPr>
        <w:ind w:left="680" w:hanging="680"/>
        <w:rPr>
          <w:rFonts w:eastAsia="Courier New"/>
          <w:noProof/>
          <w:u w:val="single"/>
        </w:rPr>
      </w:pPr>
      <w:r>
        <w:rPr>
          <w:rFonts w:eastAsia="Courier New"/>
          <w:noProof/>
          <w:u w:val="single"/>
        </w:rPr>
        <w:t>P</w:t>
      </w:r>
      <w:r w:rsidRPr="002F072B">
        <w:rPr>
          <w:rFonts w:eastAsia="Courier New"/>
          <w:noProof/>
          <w:u w:val="single"/>
        </w:rPr>
        <w:t xml:space="preserve">olicy options 2 to make registration of </w:t>
      </w:r>
      <w:r>
        <w:rPr>
          <w:rFonts w:eastAsia="Courier New"/>
          <w:noProof/>
          <w:u w:val="single"/>
        </w:rPr>
        <w:t xml:space="preserve">companies, in particular </w:t>
      </w:r>
      <w:r w:rsidRPr="2E375142">
        <w:rPr>
          <w:rFonts w:eastAsia="Courier New"/>
          <w:noProof/>
          <w:u w:val="single"/>
        </w:rPr>
        <w:t>s</w:t>
      </w:r>
      <w:r w:rsidR="796EE575" w:rsidRPr="2E375142">
        <w:rPr>
          <w:rFonts w:eastAsia="Courier New"/>
          <w:noProof/>
          <w:u w:val="single"/>
        </w:rPr>
        <w:t>tartup</w:t>
      </w:r>
      <w:r w:rsidRPr="2E375142">
        <w:rPr>
          <w:rFonts w:eastAsia="Courier New"/>
          <w:noProof/>
          <w:u w:val="single"/>
        </w:rPr>
        <w:t>s</w:t>
      </w:r>
      <w:r w:rsidRPr="002F072B">
        <w:rPr>
          <w:rFonts w:eastAsia="Courier New"/>
          <w:noProof/>
          <w:u w:val="single"/>
        </w:rPr>
        <w:t xml:space="preserve"> quicker and simpler</w:t>
      </w:r>
    </w:p>
    <w:p w14:paraId="76798B80" w14:textId="77777777" w:rsidR="002F072B" w:rsidRPr="002F072B" w:rsidRDefault="002F072B" w:rsidP="00C4288E">
      <w:pPr>
        <w:pStyle w:val="Heading2"/>
        <w:numPr>
          <w:ilvl w:val="0"/>
          <w:numId w:val="15"/>
        </w:numPr>
        <w:rPr>
          <w:rFonts w:eastAsia="Courier New"/>
          <w:b w:val="0"/>
          <w:bCs w:val="0"/>
          <w:noProof/>
          <w:sz w:val="20"/>
          <w:szCs w:val="24"/>
        </w:rPr>
      </w:pPr>
      <w:r w:rsidRPr="002F072B">
        <w:rPr>
          <w:rFonts w:eastAsia="Courier New"/>
          <w:b w:val="0"/>
          <w:bCs w:val="0"/>
          <w:noProof/>
          <w:sz w:val="20"/>
          <w:szCs w:val="24"/>
        </w:rPr>
        <w:t>Policy option 2a - Create an EU single interface based on BRIS for the registration of 28</w:t>
      </w:r>
      <w:r w:rsidRPr="00E57C3A">
        <w:rPr>
          <w:rFonts w:eastAsia="Courier New"/>
          <w:b w:val="0"/>
          <w:noProof/>
          <w:sz w:val="20"/>
          <w:szCs w:val="24"/>
          <w:vertAlign w:val="superscript"/>
        </w:rPr>
        <w:t>th</w:t>
      </w:r>
      <w:r w:rsidRPr="002F072B">
        <w:rPr>
          <w:rFonts w:eastAsia="Courier New"/>
          <w:b w:val="0"/>
          <w:bCs w:val="0"/>
          <w:noProof/>
          <w:sz w:val="20"/>
          <w:szCs w:val="24"/>
        </w:rPr>
        <w:t xml:space="preserve"> regime companies with harmonised bilingual templates (EN/national language) and preventive administrative, judicial or notarial control.</w:t>
      </w:r>
    </w:p>
    <w:p w14:paraId="2FE9AD41" w14:textId="4DD507B1" w:rsidR="002F072B" w:rsidRPr="002F072B" w:rsidRDefault="002F072B" w:rsidP="00C4288E">
      <w:pPr>
        <w:pStyle w:val="Heading2"/>
        <w:numPr>
          <w:ilvl w:val="0"/>
          <w:numId w:val="15"/>
        </w:numPr>
        <w:rPr>
          <w:rFonts w:eastAsia="Courier New"/>
          <w:b w:val="0"/>
          <w:bCs w:val="0"/>
          <w:noProof/>
          <w:sz w:val="20"/>
          <w:szCs w:val="24"/>
        </w:rPr>
      </w:pPr>
      <w:r w:rsidRPr="002F072B">
        <w:rPr>
          <w:rFonts w:eastAsia="Courier New"/>
          <w:b w:val="0"/>
          <w:bCs w:val="0"/>
          <w:noProof/>
          <w:sz w:val="20"/>
          <w:szCs w:val="24"/>
        </w:rPr>
        <w:t xml:space="preserve">Policy Option 2b: Option 2a + introducing a deadline (48 hours) </w:t>
      </w:r>
      <w:r w:rsidRPr="002F072B" w:rsidDel="00925B24">
        <w:rPr>
          <w:rFonts w:eastAsia="Courier New"/>
          <w:b w:val="0"/>
          <w:bCs w:val="0"/>
          <w:noProof/>
          <w:sz w:val="20"/>
          <w:szCs w:val="24"/>
        </w:rPr>
        <w:t xml:space="preserve">and cost ceiling </w:t>
      </w:r>
      <w:r w:rsidRPr="002F072B">
        <w:rPr>
          <w:rFonts w:eastAsia="Courier New"/>
          <w:b w:val="0"/>
          <w:bCs w:val="0"/>
          <w:noProof/>
          <w:sz w:val="20"/>
          <w:szCs w:val="24"/>
        </w:rPr>
        <w:t xml:space="preserve">of </w:t>
      </w:r>
      <w:r w:rsidR="009F4874" w:rsidRPr="002F072B">
        <w:rPr>
          <w:rFonts w:eastAsia="Courier New"/>
          <w:b w:val="0"/>
          <w:bCs w:val="0"/>
          <w:noProof/>
          <w:sz w:val="20"/>
          <w:szCs w:val="24"/>
        </w:rPr>
        <w:t>EUR</w:t>
      </w:r>
      <w:r w:rsidR="009F4874">
        <w:rPr>
          <w:rFonts w:eastAsia="Courier New"/>
          <w:b w:val="0"/>
          <w:bCs w:val="0"/>
          <w:noProof/>
          <w:sz w:val="20"/>
          <w:szCs w:val="24"/>
        </w:rPr>
        <w:t> </w:t>
      </w:r>
      <w:r w:rsidRPr="002F072B">
        <w:rPr>
          <w:rFonts w:eastAsia="Courier New"/>
          <w:b w:val="0"/>
          <w:bCs w:val="0"/>
          <w:noProof/>
          <w:sz w:val="20"/>
          <w:szCs w:val="24"/>
        </w:rPr>
        <w:t>100 to complete the registration including the preventive administrative, judicial or notarial control when the standardised template is used by founders as natural persons.</w:t>
      </w:r>
    </w:p>
    <w:p w14:paraId="32A864EA" w14:textId="4A008937" w:rsidR="002F072B" w:rsidRPr="002F072B" w:rsidRDefault="002F072B" w:rsidP="00C4288E">
      <w:pPr>
        <w:pStyle w:val="Heading2"/>
        <w:numPr>
          <w:ilvl w:val="0"/>
          <w:numId w:val="15"/>
        </w:numPr>
        <w:rPr>
          <w:rFonts w:eastAsia="Courier New"/>
          <w:b w:val="0"/>
          <w:bCs w:val="0"/>
          <w:noProof/>
          <w:sz w:val="20"/>
          <w:szCs w:val="24"/>
        </w:rPr>
      </w:pPr>
      <w:r w:rsidRPr="002F072B">
        <w:rPr>
          <w:rFonts w:eastAsia="Courier New"/>
          <w:b w:val="0"/>
          <w:bCs w:val="0"/>
          <w:noProof/>
          <w:sz w:val="20"/>
          <w:szCs w:val="24"/>
        </w:rPr>
        <w:t xml:space="preserve">Policy option 2c - As option 2b </w:t>
      </w:r>
      <w:r w:rsidRPr="003F6089">
        <w:rPr>
          <w:rFonts w:eastAsia="Courier New"/>
          <w:b w:val="0"/>
          <w:bCs w:val="0"/>
          <w:noProof/>
          <w:sz w:val="20"/>
          <w:szCs w:val="24"/>
        </w:rPr>
        <w:t xml:space="preserve">but </w:t>
      </w:r>
      <w:r w:rsidR="003F6089" w:rsidRPr="00EE29CD">
        <w:rPr>
          <w:rFonts w:cs="Arial"/>
          <w:b w:val="0"/>
          <w:noProof/>
          <w:sz w:val="20"/>
          <w:szCs w:val="20"/>
        </w:rPr>
        <w:t xml:space="preserve">with preventive control by judicial or administrative authorities (excluding notaries) when the standardized template is used by founders as natural </w:t>
      </w:r>
      <w:r w:rsidR="003F6089" w:rsidRPr="00EE29CD">
        <w:rPr>
          <w:rFonts w:cs="Arial"/>
          <w:b w:val="0"/>
          <w:bCs w:val="0"/>
          <w:noProof/>
          <w:sz w:val="20"/>
          <w:szCs w:val="20"/>
        </w:rPr>
        <w:t>persons</w:t>
      </w:r>
      <w:r w:rsidRPr="003F6089">
        <w:rPr>
          <w:rFonts w:eastAsia="Courier New"/>
          <w:b w:val="0"/>
          <w:bCs w:val="0"/>
          <w:noProof/>
          <w:sz w:val="20"/>
          <w:szCs w:val="24"/>
        </w:rPr>
        <w:t>.</w:t>
      </w:r>
    </w:p>
    <w:p w14:paraId="0CEE647E" w14:textId="77777777" w:rsidR="00DF5E69" w:rsidRDefault="00DF5E69" w:rsidP="009B00E3">
      <w:pPr>
        <w:tabs>
          <w:tab w:val="left" w:pos="170"/>
        </w:tabs>
        <w:spacing w:before="0" w:after="0"/>
        <w:rPr>
          <w:noProof/>
        </w:rPr>
      </w:pPr>
    </w:p>
    <w:tbl>
      <w:tblPr>
        <w:tblStyle w:val="TableGrid"/>
        <w:tblW w:w="14170" w:type="dxa"/>
        <w:tblLayout w:type="fixed"/>
        <w:tblLook w:val="04A0" w:firstRow="1" w:lastRow="0" w:firstColumn="1" w:lastColumn="0" w:noHBand="0" w:noVBand="1"/>
      </w:tblPr>
      <w:tblGrid>
        <w:gridCol w:w="2122"/>
        <w:gridCol w:w="1508"/>
        <w:gridCol w:w="1042"/>
        <w:gridCol w:w="996"/>
        <w:gridCol w:w="994"/>
        <w:gridCol w:w="7508"/>
      </w:tblGrid>
      <w:tr w:rsidR="00DF5E69" w:rsidRPr="00DC6DD8" w14:paraId="2AF49745" w14:textId="77777777" w:rsidTr="6F00936E">
        <w:tc>
          <w:tcPr>
            <w:tcW w:w="2122" w:type="dxa"/>
            <w:shd w:val="clear" w:color="auto" w:fill="95B3D7" w:themeFill="accent1" w:themeFillTint="99"/>
          </w:tcPr>
          <w:p w14:paraId="352B9AC8" w14:textId="77777777" w:rsidR="00DF5E69" w:rsidRPr="00DC6DD8" w:rsidRDefault="00DF5E69" w:rsidP="00DF5E69">
            <w:pPr>
              <w:rPr>
                <w:b/>
                <w:noProof/>
                <w:szCs w:val="20"/>
              </w:rPr>
            </w:pPr>
            <w:r w:rsidRPr="00DC6DD8">
              <w:rPr>
                <w:b/>
                <w:noProof/>
                <w:szCs w:val="20"/>
              </w:rPr>
              <w:br w:type="page"/>
            </w:r>
          </w:p>
        </w:tc>
        <w:tc>
          <w:tcPr>
            <w:tcW w:w="1508" w:type="dxa"/>
            <w:shd w:val="clear" w:color="auto" w:fill="95B3D7" w:themeFill="accent1" w:themeFillTint="99"/>
          </w:tcPr>
          <w:p w14:paraId="64DDBC07" w14:textId="77777777" w:rsidR="00DF5E69" w:rsidRPr="00864F5C" w:rsidRDefault="00DF5E69" w:rsidP="00DF5E69">
            <w:pPr>
              <w:rPr>
                <w:b/>
                <w:noProof/>
                <w:sz w:val="18"/>
                <w:szCs w:val="18"/>
              </w:rPr>
            </w:pPr>
            <w:r w:rsidRPr="00864F5C">
              <w:rPr>
                <w:b/>
                <w:noProof/>
                <w:sz w:val="18"/>
                <w:szCs w:val="18"/>
              </w:rPr>
              <w:t>Unit of measurement</w:t>
            </w:r>
          </w:p>
        </w:tc>
        <w:tc>
          <w:tcPr>
            <w:tcW w:w="1042" w:type="dxa"/>
            <w:shd w:val="clear" w:color="auto" w:fill="95B3D7" w:themeFill="accent1" w:themeFillTint="99"/>
          </w:tcPr>
          <w:p w14:paraId="29833C6D" w14:textId="508CF56A"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2</w:t>
            </w:r>
            <w:r w:rsidRPr="00DC6DD8">
              <w:rPr>
                <w:b/>
                <w:noProof/>
                <w:szCs w:val="20"/>
              </w:rPr>
              <w:t xml:space="preserve">a </w:t>
            </w:r>
          </w:p>
        </w:tc>
        <w:tc>
          <w:tcPr>
            <w:tcW w:w="996" w:type="dxa"/>
            <w:shd w:val="clear" w:color="auto" w:fill="95B3D7" w:themeFill="accent1" w:themeFillTint="99"/>
          </w:tcPr>
          <w:p w14:paraId="2AB1D9F2" w14:textId="5DE29122"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2</w:t>
            </w:r>
            <w:r w:rsidRPr="00DC6DD8">
              <w:rPr>
                <w:b/>
                <w:noProof/>
                <w:szCs w:val="20"/>
              </w:rPr>
              <w:t>b</w:t>
            </w:r>
          </w:p>
        </w:tc>
        <w:tc>
          <w:tcPr>
            <w:tcW w:w="994" w:type="dxa"/>
            <w:shd w:val="clear" w:color="auto" w:fill="95B3D7" w:themeFill="accent1" w:themeFillTint="99"/>
          </w:tcPr>
          <w:p w14:paraId="0402E32C" w14:textId="7BCFF54A"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2</w:t>
            </w:r>
            <w:r w:rsidRPr="00DC6DD8">
              <w:rPr>
                <w:b/>
                <w:noProof/>
                <w:szCs w:val="20"/>
              </w:rPr>
              <w:t>c</w:t>
            </w:r>
          </w:p>
          <w:p w14:paraId="7DD1C2AE" w14:textId="77777777" w:rsidR="00DF5E69" w:rsidRPr="00DC6DD8" w:rsidRDefault="00DF5E69" w:rsidP="00DF5E69">
            <w:pPr>
              <w:rPr>
                <w:b/>
                <w:noProof/>
                <w:szCs w:val="20"/>
              </w:rPr>
            </w:pPr>
          </w:p>
        </w:tc>
        <w:tc>
          <w:tcPr>
            <w:tcW w:w="7508" w:type="dxa"/>
            <w:shd w:val="clear" w:color="auto" w:fill="95B3D7" w:themeFill="accent1" w:themeFillTint="99"/>
          </w:tcPr>
          <w:p w14:paraId="73269A26" w14:textId="77777777" w:rsidR="00DF5E69" w:rsidRPr="00DC6DD8" w:rsidRDefault="00DF5E69" w:rsidP="00DF5E69">
            <w:pPr>
              <w:rPr>
                <w:b/>
                <w:noProof/>
                <w:szCs w:val="20"/>
              </w:rPr>
            </w:pPr>
            <w:r w:rsidRPr="00DD0943">
              <w:rPr>
                <w:b/>
                <w:noProof/>
                <w:szCs w:val="20"/>
              </w:rPr>
              <w:t>Motivation</w:t>
            </w:r>
          </w:p>
        </w:tc>
      </w:tr>
      <w:tr w:rsidR="00DF5E69" w:rsidRPr="00DC6DD8" w14:paraId="59BD5AE7" w14:textId="77777777" w:rsidTr="6F00936E">
        <w:trPr>
          <w:trHeight w:val="702"/>
        </w:trPr>
        <w:tc>
          <w:tcPr>
            <w:tcW w:w="14170" w:type="dxa"/>
            <w:gridSpan w:val="6"/>
            <w:shd w:val="clear" w:color="auto" w:fill="92D050"/>
          </w:tcPr>
          <w:p w14:paraId="045C0876" w14:textId="77777777" w:rsidR="00DF5E69" w:rsidRPr="00035E70" w:rsidRDefault="00DF5E69" w:rsidP="00DF5E69">
            <w:pPr>
              <w:rPr>
                <w:b/>
                <w:bCs/>
                <w:noProof/>
                <w:szCs w:val="20"/>
              </w:rPr>
            </w:pPr>
            <w:r w:rsidRPr="00D345EC">
              <w:rPr>
                <w:b/>
                <w:noProof/>
                <w:sz w:val="24"/>
                <w:szCs w:val="24"/>
              </w:rPr>
              <w:t>Companies and investors</w:t>
            </w:r>
          </w:p>
        </w:tc>
      </w:tr>
      <w:tr w:rsidR="00DF5E69" w:rsidRPr="00DC6DD8" w14:paraId="343D06D6" w14:textId="77777777" w:rsidTr="6F00936E">
        <w:trPr>
          <w:trHeight w:val="970"/>
        </w:trPr>
        <w:tc>
          <w:tcPr>
            <w:tcW w:w="2122" w:type="dxa"/>
          </w:tcPr>
          <w:p w14:paraId="5055270F" w14:textId="77777777" w:rsidR="00DF5E69" w:rsidRPr="00DC6DD8" w:rsidRDefault="00DF5E69" w:rsidP="00DF5E69">
            <w:pPr>
              <w:rPr>
                <w:b/>
                <w:noProof/>
                <w:szCs w:val="20"/>
              </w:rPr>
            </w:pPr>
            <w:r>
              <w:rPr>
                <w:b/>
                <w:noProof/>
                <w:szCs w:val="20"/>
              </w:rPr>
              <w:t>Ease of doing business</w:t>
            </w:r>
          </w:p>
        </w:tc>
        <w:tc>
          <w:tcPr>
            <w:tcW w:w="1508" w:type="dxa"/>
          </w:tcPr>
          <w:p w14:paraId="6DC84DCD" w14:textId="77777777" w:rsidR="00DF5E69" w:rsidRPr="00170FBB" w:rsidRDefault="00DF5E69" w:rsidP="00DF5E69">
            <w:pPr>
              <w:rPr>
                <w:b/>
                <w:noProof/>
                <w:sz w:val="18"/>
                <w:szCs w:val="18"/>
              </w:rPr>
            </w:pPr>
            <w:r w:rsidRPr="00170FBB">
              <w:rPr>
                <w:noProof/>
                <w:sz w:val="18"/>
                <w:szCs w:val="18"/>
              </w:rPr>
              <w:t>Score 0-5</w:t>
            </w:r>
          </w:p>
        </w:tc>
        <w:tc>
          <w:tcPr>
            <w:tcW w:w="1042" w:type="dxa"/>
          </w:tcPr>
          <w:p w14:paraId="385DAC22" w14:textId="296F1504" w:rsidR="00DF5E69" w:rsidRPr="00F00BA2" w:rsidRDefault="00454112" w:rsidP="00595358">
            <w:pPr>
              <w:jc w:val="center"/>
              <w:rPr>
                <w:bCs/>
                <w:noProof/>
                <w:szCs w:val="20"/>
              </w:rPr>
            </w:pPr>
            <w:r w:rsidRPr="00F00BA2">
              <w:rPr>
                <w:bCs/>
                <w:noProof/>
                <w:szCs w:val="20"/>
              </w:rPr>
              <w:t>3</w:t>
            </w:r>
          </w:p>
        </w:tc>
        <w:tc>
          <w:tcPr>
            <w:tcW w:w="996" w:type="dxa"/>
          </w:tcPr>
          <w:p w14:paraId="7CA15529" w14:textId="1935C79F" w:rsidR="00DF5E69" w:rsidRPr="00F00BA2" w:rsidRDefault="0035168A" w:rsidP="00595358">
            <w:pPr>
              <w:jc w:val="center"/>
              <w:rPr>
                <w:bCs/>
                <w:noProof/>
                <w:szCs w:val="20"/>
              </w:rPr>
            </w:pPr>
            <w:r w:rsidRPr="00F00BA2">
              <w:rPr>
                <w:bCs/>
                <w:noProof/>
                <w:szCs w:val="20"/>
              </w:rPr>
              <w:t>4</w:t>
            </w:r>
          </w:p>
        </w:tc>
        <w:tc>
          <w:tcPr>
            <w:tcW w:w="994" w:type="dxa"/>
          </w:tcPr>
          <w:p w14:paraId="544D0AAB" w14:textId="5F084ADE" w:rsidR="00DF5E69" w:rsidRPr="00F00BA2" w:rsidRDefault="00B63EF2" w:rsidP="00595358">
            <w:pPr>
              <w:jc w:val="center"/>
              <w:rPr>
                <w:bCs/>
                <w:noProof/>
                <w:szCs w:val="20"/>
              </w:rPr>
            </w:pPr>
            <w:r w:rsidRPr="00F00BA2">
              <w:rPr>
                <w:bCs/>
                <w:noProof/>
                <w:szCs w:val="20"/>
              </w:rPr>
              <w:t>4</w:t>
            </w:r>
          </w:p>
        </w:tc>
        <w:tc>
          <w:tcPr>
            <w:tcW w:w="7508" w:type="dxa"/>
          </w:tcPr>
          <w:p w14:paraId="3293375D" w14:textId="5A98E07A" w:rsidR="000E3421" w:rsidRDefault="00EA29E1" w:rsidP="000E3421">
            <w:pPr>
              <w:pStyle w:val="ListParagraph"/>
              <w:ind w:left="0"/>
              <w:jc w:val="both"/>
              <w:rPr>
                <w:rFonts w:eastAsia="Times New Roman" w:cs="Times New Roman"/>
                <w:noProof/>
              </w:rPr>
            </w:pPr>
            <w:r>
              <w:rPr>
                <w:noProof/>
              </w:rPr>
              <w:t xml:space="preserve">These options </w:t>
            </w:r>
            <w:r w:rsidR="00AF0170">
              <w:rPr>
                <w:noProof/>
              </w:rPr>
              <w:t xml:space="preserve">will make it easier and quicker </w:t>
            </w:r>
            <w:r w:rsidR="00C77E65">
              <w:rPr>
                <w:noProof/>
              </w:rPr>
              <w:t>for founders (natural persons)</w:t>
            </w:r>
            <w:r w:rsidR="00AF0170">
              <w:rPr>
                <w:noProof/>
              </w:rPr>
              <w:t xml:space="preserve"> to register a new 28</w:t>
            </w:r>
            <w:r w:rsidR="00AF0170" w:rsidRPr="2E375142">
              <w:rPr>
                <w:noProof/>
                <w:vertAlign w:val="superscript"/>
              </w:rPr>
              <w:t>th</w:t>
            </w:r>
            <w:r w:rsidR="00AF0170">
              <w:rPr>
                <w:noProof/>
              </w:rPr>
              <w:t xml:space="preserve"> regime company</w:t>
            </w:r>
            <w:r w:rsidR="00403A23">
              <w:rPr>
                <w:noProof/>
              </w:rPr>
              <w:t xml:space="preserve"> respond</w:t>
            </w:r>
            <w:r w:rsidR="005370E5">
              <w:rPr>
                <w:noProof/>
              </w:rPr>
              <w:t>ing</w:t>
            </w:r>
            <w:r w:rsidR="00403A23">
              <w:rPr>
                <w:noProof/>
              </w:rPr>
              <w:t xml:space="preserve"> to </w:t>
            </w:r>
            <w:r w:rsidR="006663C6">
              <w:rPr>
                <w:noProof/>
              </w:rPr>
              <w:t xml:space="preserve">the </w:t>
            </w:r>
            <w:r w:rsidR="00403A23">
              <w:rPr>
                <w:noProof/>
              </w:rPr>
              <w:t xml:space="preserve">call from </w:t>
            </w:r>
            <w:r w:rsidR="7DD2C060">
              <w:rPr>
                <w:noProof/>
              </w:rPr>
              <w:t>s</w:t>
            </w:r>
            <w:r w:rsidR="40483667">
              <w:rPr>
                <w:noProof/>
              </w:rPr>
              <w:t>tartup</w:t>
            </w:r>
            <w:r w:rsidR="7DD2C060">
              <w:rPr>
                <w:noProof/>
              </w:rPr>
              <w:t>s</w:t>
            </w:r>
            <w:r w:rsidR="005E35F8">
              <w:rPr>
                <w:noProof/>
              </w:rPr>
              <w:t xml:space="preserve"> and also </w:t>
            </w:r>
            <w:r w:rsidR="00091255">
              <w:rPr>
                <w:noProof/>
              </w:rPr>
              <w:t xml:space="preserve">from </w:t>
            </w:r>
            <w:r w:rsidR="00D73F1F">
              <w:rPr>
                <w:noProof/>
              </w:rPr>
              <w:t xml:space="preserve">the rest of the </w:t>
            </w:r>
            <w:r w:rsidR="005E35F8">
              <w:rPr>
                <w:noProof/>
              </w:rPr>
              <w:t>business community</w:t>
            </w:r>
            <w:r w:rsidR="001D1D0B">
              <w:rPr>
                <w:noProof/>
              </w:rPr>
              <w:t>, and therefore, will have a strong positive impact on the ease of doing business</w:t>
            </w:r>
            <w:r w:rsidR="005E35F8">
              <w:rPr>
                <w:noProof/>
              </w:rPr>
              <w:t xml:space="preserve">. </w:t>
            </w:r>
            <w:r w:rsidR="00040E83">
              <w:rPr>
                <w:noProof/>
              </w:rPr>
              <w:t>All options provide for digital only</w:t>
            </w:r>
            <w:r w:rsidR="005478C0">
              <w:rPr>
                <w:noProof/>
              </w:rPr>
              <w:t xml:space="preserve"> procedures without paper-based alternatives; approach supported by the o</w:t>
            </w:r>
            <w:r w:rsidR="005478C0" w:rsidRPr="2E375142">
              <w:rPr>
                <w:rFonts w:eastAsia="Times New Roman" w:cs="Times New Roman"/>
                <w:noProof/>
                <w:lang w:val="en-IE"/>
              </w:rPr>
              <w:t>verwhelming majority of respondents (84%) to the public consultation.</w:t>
            </w:r>
            <w:r w:rsidR="00E81118" w:rsidRPr="2E375142">
              <w:rPr>
                <w:rFonts w:eastAsia="Times New Roman" w:cs="Times New Roman"/>
                <w:noProof/>
                <w:lang w:val="en-IE"/>
              </w:rPr>
              <w:t xml:space="preserve"> </w:t>
            </w:r>
            <w:r w:rsidR="001321E5" w:rsidRPr="2E375142">
              <w:rPr>
                <w:rFonts w:eastAsia="Times New Roman" w:cs="Times New Roman"/>
                <w:noProof/>
                <w:lang w:val="en-IE"/>
              </w:rPr>
              <w:t xml:space="preserve">All </w:t>
            </w:r>
            <w:r w:rsidR="00E81118" w:rsidRPr="2E375142">
              <w:rPr>
                <w:rFonts w:eastAsia="Times New Roman" w:cs="Times New Roman"/>
                <w:noProof/>
              </w:rPr>
              <w:t xml:space="preserve">options also ensure </w:t>
            </w:r>
            <w:r w:rsidR="00A40E2D" w:rsidRPr="2E375142">
              <w:rPr>
                <w:rFonts w:eastAsia="Times New Roman" w:cs="Times New Roman"/>
                <w:noProof/>
              </w:rPr>
              <w:t xml:space="preserve">the registration with a </w:t>
            </w:r>
            <w:r w:rsidR="002A76EB" w:rsidRPr="2E375142">
              <w:rPr>
                <w:rFonts w:eastAsia="Times New Roman" w:cs="Times New Roman"/>
                <w:noProof/>
              </w:rPr>
              <w:t>sing</w:t>
            </w:r>
            <w:r w:rsidR="00B26935" w:rsidRPr="2E375142">
              <w:rPr>
                <w:rFonts w:eastAsia="Times New Roman" w:cs="Times New Roman"/>
                <w:noProof/>
              </w:rPr>
              <w:t xml:space="preserve">le interface </w:t>
            </w:r>
            <w:r w:rsidR="001321E5" w:rsidRPr="2E375142">
              <w:rPr>
                <w:rFonts w:eastAsia="Times New Roman" w:cs="Times New Roman"/>
                <w:noProof/>
              </w:rPr>
              <w:t>with harmonised registration form and instrument of constitution/articles of association (template)</w:t>
            </w:r>
            <w:r w:rsidR="00E81118" w:rsidRPr="2E375142">
              <w:rPr>
                <w:rFonts w:eastAsia="Times New Roman" w:cs="Times New Roman"/>
                <w:noProof/>
              </w:rPr>
              <w:t xml:space="preserve"> </w:t>
            </w:r>
            <w:r w:rsidR="001321E5" w:rsidRPr="2E375142">
              <w:rPr>
                <w:rFonts w:eastAsia="Times New Roman" w:cs="Times New Roman"/>
                <w:noProof/>
              </w:rPr>
              <w:t xml:space="preserve">that </w:t>
            </w:r>
            <w:r w:rsidR="00E81118" w:rsidRPr="2E375142">
              <w:rPr>
                <w:rFonts w:eastAsia="Times New Roman" w:cs="Times New Roman"/>
                <w:noProof/>
              </w:rPr>
              <w:t>vast majority (89%) of all the respondents to the public consultation</w:t>
            </w:r>
            <w:r w:rsidR="001321E5" w:rsidRPr="2E375142">
              <w:rPr>
                <w:rFonts w:eastAsia="Times New Roman" w:cs="Times New Roman"/>
                <w:noProof/>
              </w:rPr>
              <w:t xml:space="preserve"> </w:t>
            </w:r>
            <w:r w:rsidR="00E81118" w:rsidRPr="2E375142">
              <w:rPr>
                <w:rFonts w:eastAsia="Times New Roman" w:cs="Times New Roman"/>
                <w:noProof/>
              </w:rPr>
              <w:t>believe</w:t>
            </w:r>
            <w:r w:rsidR="001321E5" w:rsidRPr="2E375142">
              <w:rPr>
                <w:rFonts w:eastAsia="Times New Roman" w:cs="Times New Roman"/>
                <w:noProof/>
              </w:rPr>
              <w:t xml:space="preserve">d </w:t>
            </w:r>
            <w:r w:rsidR="00F07AFE" w:rsidRPr="2E375142">
              <w:rPr>
                <w:rFonts w:eastAsia="Times New Roman" w:cs="Times New Roman"/>
                <w:noProof/>
              </w:rPr>
              <w:t>would</w:t>
            </w:r>
            <w:r w:rsidR="001321E5" w:rsidRPr="2E375142">
              <w:rPr>
                <w:rFonts w:eastAsia="Times New Roman" w:cs="Times New Roman"/>
                <w:noProof/>
              </w:rPr>
              <w:t xml:space="preserve"> contribute </w:t>
            </w:r>
            <w:r w:rsidR="001E5D4C" w:rsidRPr="2E375142">
              <w:rPr>
                <w:rFonts w:eastAsia="Times New Roman" w:cs="Times New Roman"/>
                <w:noProof/>
              </w:rPr>
              <w:t xml:space="preserve">either a very large extent or large extent to </w:t>
            </w:r>
            <w:r w:rsidR="000E3421" w:rsidRPr="2E375142">
              <w:rPr>
                <w:rFonts w:eastAsia="Times New Roman" w:cs="Times New Roman"/>
                <w:noProof/>
              </w:rPr>
              <w:t>fast and efficient setting up of 28</w:t>
            </w:r>
            <w:r w:rsidR="000E3421" w:rsidRPr="00E57C3A">
              <w:rPr>
                <w:rFonts w:eastAsia="Times New Roman" w:cs="Times New Roman"/>
                <w:noProof/>
                <w:vertAlign w:val="superscript"/>
              </w:rPr>
              <w:t>th</w:t>
            </w:r>
            <w:r w:rsidR="000E3421" w:rsidRPr="2E375142">
              <w:rPr>
                <w:rFonts w:eastAsia="Times New Roman" w:cs="Times New Roman"/>
                <w:noProof/>
              </w:rPr>
              <w:t xml:space="preserve"> regime companies.</w:t>
            </w:r>
          </w:p>
          <w:p w14:paraId="4E5AB029" w14:textId="0DF960F5" w:rsidR="0094580B" w:rsidRPr="00595358" w:rsidRDefault="006B27BF" w:rsidP="00A4689C">
            <w:pPr>
              <w:jc w:val="both"/>
              <w:rPr>
                <w:rFonts w:ascii="Times New Roman" w:eastAsia="Times New Roman" w:hAnsi="Times New Roman" w:cs="Times New Roman"/>
                <w:noProof/>
                <w:sz w:val="24"/>
                <w:szCs w:val="24"/>
                <w:lang w:val="en-IE"/>
              </w:rPr>
            </w:pPr>
            <w:r>
              <w:rPr>
                <w:rFonts w:eastAsia="Times New Roman" w:cs="Times New Roman"/>
                <w:noProof/>
                <w:szCs w:val="20"/>
                <w:lang w:val="en-IE"/>
              </w:rPr>
              <w:t xml:space="preserve">All the options </w:t>
            </w:r>
            <w:r w:rsidR="00F93D73">
              <w:rPr>
                <w:rFonts w:eastAsia="Times New Roman" w:cs="Times New Roman"/>
                <w:noProof/>
                <w:szCs w:val="20"/>
                <w:lang w:val="en-IE"/>
              </w:rPr>
              <w:t>integrat</w:t>
            </w:r>
            <w:r w:rsidR="005D02EF">
              <w:rPr>
                <w:rFonts w:eastAsia="Times New Roman" w:cs="Times New Roman"/>
                <w:noProof/>
                <w:szCs w:val="20"/>
                <w:lang w:val="en-IE"/>
              </w:rPr>
              <w:t>e the preventive control</w:t>
            </w:r>
            <w:r w:rsidR="00F93D73">
              <w:rPr>
                <w:rFonts w:eastAsia="Times New Roman" w:cs="Times New Roman"/>
                <w:noProof/>
                <w:szCs w:val="20"/>
                <w:lang w:val="en-IE"/>
              </w:rPr>
              <w:t xml:space="preserve"> in a streamlined registration process resulting in important efficiency gains. </w:t>
            </w:r>
            <w:r w:rsidR="005D02EF">
              <w:rPr>
                <w:rFonts w:eastAsia="Times New Roman" w:cs="Times New Roman"/>
                <w:noProof/>
                <w:szCs w:val="20"/>
                <w:lang w:val="en-IE"/>
              </w:rPr>
              <w:t>P</w:t>
            </w:r>
            <w:r>
              <w:rPr>
                <w:rFonts w:eastAsia="Times New Roman" w:cs="Times New Roman"/>
                <w:noProof/>
                <w:szCs w:val="20"/>
                <w:lang w:val="en-IE"/>
              </w:rPr>
              <w:t>reventive control</w:t>
            </w:r>
            <w:r w:rsidR="009A07B8">
              <w:rPr>
                <w:rFonts w:eastAsia="Times New Roman" w:cs="Times New Roman"/>
                <w:noProof/>
                <w:szCs w:val="20"/>
                <w:lang w:val="en-IE"/>
              </w:rPr>
              <w:t xml:space="preserve"> </w:t>
            </w:r>
            <w:r w:rsidR="0094580B" w:rsidRPr="0094580B">
              <w:rPr>
                <w:rFonts w:eastAsia="Times New Roman" w:cs="Times New Roman"/>
                <w:noProof/>
                <w:szCs w:val="20"/>
                <w:lang w:val="en-IE"/>
              </w:rPr>
              <w:t>is key to reducing administrative formalities in the use of company information whether by companies (as e.g. business partners), creditors, or public authorities and to ensuring mutual recognition, and therefore – for the efficient application of the “once-only” principle. It also plays an important role for prevention of abusive or fraudulent letter-box companies linked to tax evasion and/or money laundering</w:t>
            </w:r>
            <w:r w:rsidR="0094580B">
              <w:rPr>
                <w:rFonts w:eastAsia="Times New Roman" w:cs="Times New Roman"/>
                <w:noProof/>
                <w:szCs w:val="20"/>
                <w:lang w:val="en-IE"/>
              </w:rPr>
              <w:t>.</w:t>
            </w:r>
            <w:r w:rsidR="004965CA">
              <w:rPr>
                <w:rFonts w:eastAsia="Times New Roman" w:cs="Times New Roman"/>
                <w:noProof/>
                <w:szCs w:val="20"/>
                <w:lang w:val="en-IE"/>
              </w:rPr>
              <w:t xml:space="preserve"> </w:t>
            </w:r>
            <w:r w:rsidR="008A650F">
              <w:rPr>
                <w:rFonts w:eastAsia="Times New Roman" w:cs="Times New Roman"/>
                <w:noProof/>
                <w:szCs w:val="20"/>
                <w:lang w:val="en-IE"/>
              </w:rPr>
              <w:t xml:space="preserve">While option 2b leaves it to Member States to decide </w:t>
            </w:r>
            <w:r w:rsidR="00AF1A84">
              <w:rPr>
                <w:rFonts w:eastAsia="Times New Roman" w:cs="Times New Roman"/>
                <w:noProof/>
                <w:szCs w:val="20"/>
                <w:lang w:val="en-IE"/>
              </w:rPr>
              <w:t xml:space="preserve">whether preventive control will be carried out by judicial or </w:t>
            </w:r>
            <w:r w:rsidR="00A4689C">
              <w:rPr>
                <w:rFonts w:eastAsia="Times New Roman" w:cs="Times New Roman"/>
                <w:noProof/>
                <w:szCs w:val="20"/>
                <w:lang w:val="en-IE"/>
              </w:rPr>
              <w:t>administrative</w:t>
            </w:r>
            <w:r w:rsidR="00AF1A84">
              <w:rPr>
                <w:rFonts w:eastAsia="Times New Roman" w:cs="Times New Roman"/>
                <w:noProof/>
                <w:szCs w:val="20"/>
                <w:lang w:val="en-IE"/>
              </w:rPr>
              <w:t xml:space="preserve"> authorities or by</w:t>
            </w:r>
            <w:r w:rsidR="00A4689C">
              <w:rPr>
                <w:rFonts w:eastAsia="Times New Roman" w:cs="Times New Roman"/>
                <w:noProof/>
                <w:szCs w:val="20"/>
                <w:lang w:val="en-IE"/>
              </w:rPr>
              <w:t xml:space="preserve"> notaries, option 2c </w:t>
            </w:r>
            <w:r w:rsidR="00E048A2">
              <w:rPr>
                <w:rFonts w:eastAsia="Times New Roman" w:cs="Times New Roman"/>
                <w:noProof/>
                <w:szCs w:val="20"/>
                <w:lang w:val="en-IE"/>
              </w:rPr>
              <w:t>requires</w:t>
            </w:r>
            <w:r w:rsidR="00DF7AD0">
              <w:rPr>
                <w:rFonts w:eastAsia="Times New Roman" w:cs="Times New Roman"/>
                <w:noProof/>
                <w:szCs w:val="20"/>
                <w:lang w:val="en-IE"/>
              </w:rPr>
              <w:t xml:space="preserve"> </w:t>
            </w:r>
            <w:r w:rsidR="008B5C0E">
              <w:rPr>
                <w:rFonts w:eastAsia="Times New Roman" w:cs="Times New Roman"/>
                <w:noProof/>
                <w:szCs w:val="20"/>
                <w:lang w:val="en-IE"/>
              </w:rPr>
              <w:t xml:space="preserve">judicial or administrative </w:t>
            </w:r>
            <w:r w:rsidR="00E048A2">
              <w:rPr>
                <w:rFonts w:eastAsia="Times New Roman" w:cs="Times New Roman"/>
                <w:noProof/>
                <w:szCs w:val="20"/>
                <w:lang w:val="en-IE"/>
              </w:rPr>
              <w:t>control</w:t>
            </w:r>
            <w:r w:rsidR="00A4689C">
              <w:rPr>
                <w:rFonts w:eastAsia="Times New Roman" w:cs="Times New Roman"/>
                <w:noProof/>
                <w:szCs w:val="20"/>
                <w:lang w:val="en-IE"/>
              </w:rPr>
              <w:t xml:space="preserve">. </w:t>
            </w:r>
          </w:p>
          <w:p w14:paraId="2A9F16DE" w14:textId="2A198096" w:rsidR="00DF5E69" w:rsidRPr="00DC6DD8" w:rsidRDefault="007F0041" w:rsidP="00AF0170">
            <w:pPr>
              <w:jc w:val="both"/>
              <w:rPr>
                <w:noProof/>
                <w:szCs w:val="20"/>
              </w:rPr>
            </w:pPr>
            <w:r>
              <w:rPr>
                <w:rFonts w:eastAsia="Times New Roman" w:cs="Times New Roman"/>
                <w:noProof/>
                <w:szCs w:val="20"/>
                <w:lang w:val="en-IE"/>
              </w:rPr>
              <w:t xml:space="preserve">Option </w:t>
            </w:r>
            <w:r w:rsidR="007F4ABF">
              <w:rPr>
                <w:rFonts w:eastAsia="Times New Roman" w:cs="Times New Roman"/>
                <w:noProof/>
                <w:szCs w:val="20"/>
                <w:lang w:val="en-IE"/>
              </w:rPr>
              <w:t xml:space="preserve">2b </w:t>
            </w:r>
            <w:r w:rsidR="00760A5B">
              <w:rPr>
                <w:rFonts w:eastAsia="Times New Roman" w:cs="Times New Roman"/>
                <w:noProof/>
                <w:szCs w:val="20"/>
                <w:lang w:val="en-IE"/>
              </w:rPr>
              <w:t xml:space="preserve">and 2c </w:t>
            </w:r>
            <w:r w:rsidR="007F4ABF">
              <w:rPr>
                <w:rFonts w:eastAsia="Times New Roman" w:cs="Times New Roman"/>
                <w:noProof/>
                <w:szCs w:val="20"/>
                <w:lang w:val="en-IE"/>
              </w:rPr>
              <w:t xml:space="preserve">would score the highest because </w:t>
            </w:r>
            <w:r w:rsidR="00760A5B">
              <w:rPr>
                <w:rFonts w:eastAsia="Times New Roman" w:cs="Times New Roman"/>
                <w:noProof/>
                <w:szCs w:val="20"/>
                <w:lang w:val="en-IE"/>
              </w:rPr>
              <w:t>they</w:t>
            </w:r>
            <w:r w:rsidR="006A02CF">
              <w:rPr>
                <w:rFonts w:eastAsia="Times New Roman" w:cs="Times New Roman"/>
                <w:noProof/>
                <w:szCs w:val="20"/>
                <w:lang w:val="en-IE"/>
              </w:rPr>
              <w:t xml:space="preserve"> </w:t>
            </w:r>
            <w:r w:rsidR="00F94F2C">
              <w:rPr>
                <w:rFonts w:eastAsia="Times New Roman" w:cs="Times New Roman"/>
                <w:noProof/>
                <w:szCs w:val="20"/>
                <w:lang w:val="en-IE"/>
              </w:rPr>
              <w:t>simplif</w:t>
            </w:r>
            <w:r w:rsidR="00760A5B">
              <w:rPr>
                <w:rFonts w:eastAsia="Times New Roman" w:cs="Times New Roman"/>
                <w:noProof/>
                <w:szCs w:val="20"/>
                <w:lang w:val="en-IE"/>
              </w:rPr>
              <w:t>y</w:t>
            </w:r>
            <w:r w:rsidR="00F94F2C">
              <w:rPr>
                <w:rFonts w:eastAsia="Times New Roman" w:cs="Times New Roman"/>
                <w:noProof/>
                <w:szCs w:val="20"/>
                <w:lang w:val="en-IE"/>
              </w:rPr>
              <w:t xml:space="preserve"> </w:t>
            </w:r>
            <w:r w:rsidR="00A7751D">
              <w:rPr>
                <w:rFonts w:eastAsia="Times New Roman" w:cs="Times New Roman"/>
                <w:noProof/>
                <w:szCs w:val="20"/>
                <w:lang w:val="en-IE"/>
              </w:rPr>
              <w:t xml:space="preserve">the setting up of companies </w:t>
            </w:r>
            <w:r w:rsidR="00F36809">
              <w:rPr>
                <w:rFonts w:eastAsia="Times New Roman" w:cs="Times New Roman"/>
                <w:noProof/>
                <w:szCs w:val="20"/>
                <w:lang w:val="en-IE"/>
              </w:rPr>
              <w:t xml:space="preserve">most </w:t>
            </w:r>
            <w:r w:rsidR="00BD43E7">
              <w:rPr>
                <w:rFonts w:eastAsia="Times New Roman" w:cs="Times New Roman"/>
                <w:noProof/>
                <w:szCs w:val="20"/>
                <w:lang w:val="en-IE"/>
              </w:rPr>
              <w:t xml:space="preserve">and make it quickest </w:t>
            </w:r>
            <w:r w:rsidR="00F36809">
              <w:rPr>
                <w:rFonts w:eastAsia="Times New Roman" w:cs="Times New Roman"/>
                <w:noProof/>
                <w:szCs w:val="20"/>
                <w:lang w:val="en-IE"/>
              </w:rPr>
              <w:t>to register a 28</w:t>
            </w:r>
            <w:r w:rsidR="00F36809" w:rsidRPr="00595358">
              <w:rPr>
                <w:rFonts w:eastAsia="Times New Roman" w:cs="Times New Roman"/>
                <w:noProof/>
                <w:szCs w:val="20"/>
                <w:vertAlign w:val="superscript"/>
                <w:lang w:val="en-IE"/>
              </w:rPr>
              <w:t>th</w:t>
            </w:r>
            <w:r w:rsidR="00F36809">
              <w:rPr>
                <w:rFonts w:eastAsia="Times New Roman" w:cs="Times New Roman"/>
                <w:noProof/>
                <w:szCs w:val="20"/>
                <w:lang w:val="en-IE"/>
              </w:rPr>
              <w:t xml:space="preserve"> regime company</w:t>
            </w:r>
            <w:r w:rsidR="006663C6">
              <w:rPr>
                <w:rFonts w:eastAsia="Times New Roman" w:cs="Times New Roman"/>
                <w:noProof/>
                <w:szCs w:val="20"/>
                <w:lang w:val="en-IE"/>
              </w:rPr>
              <w:t xml:space="preserve"> by</w:t>
            </w:r>
            <w:r w:rsidR="001D6BFA">
              <w:rPr>
                <w:rFonts w:eastAsia="Times New Roman" w:cs="Times New Roman"/>
                <w:noProof/>
                <w:szCs w:val="20"/>
                <w:lang w:val="en-IE"/>
              </w:rPr>
              <w:t>,</w:t>
            </w:r>
            <w:r w:rsidR="006663C6">
              <w:rPr>
                <w:rFonts w:eastAsia="Times New Roman" w:cs="Times New Roman"/>
                <w:noProof/>
                <w:szCs w:val="20"/>
                <w:lang w:val="en-IE"/>
              </w:rPr>
              <w:t xml:space="preserve"> </w:t>
            </w:r>
            <w:r w:rsidR="00460584">
              <w:rPr>
                <w:rFonts w:eastAsia="Times New Roman" w:cs="Times New Roman"/>
                <w:noProof/>
                <w:szCs w:val="20"/>
                <w:lang w:val="en-IE"/>
              </w:rPr>
              <w:t xml:space="preserve">in addition </w:t>
            </w:r>
            <w:r w:rsidR="001D6BFA">
              <w:rPr>
                <w:rFonts w:eastAsia="Times New Roman" w:cs="Times New Roman"/>
                <w:noProof/>
                <w:szCs w:val="20"/>
                <w:lang w:val="en-IE"/>
              </w:rPr>
              <w:t>to the other policy options,</w:t>
            </w:r>
            <w:r w:rsidR="006663C6">
              <w:rPr>
                <w:rFonts w:eastAsia="Times New Roman" w:cs="Times New Roman"/>
                <w:noProof/>
                <w:szCs w:val="20"/>
                <w:lang w:val="en-IE"/>
              </w:rPr>
              <w:t xml:space="preserve"> </w:t>
            </w:r>
            <w:r w:rsidR="00BD26B1">
              <w:rPr>
                <w:rFonts w:eastAsia="Times New Roman" w:cs="Times New Roman"/>
                <w:noProof/>
                <w:szCs w:val="20"/>
                <w:lang w:val="en-IE"/>
              </w:rPr>
              <w:t xml:space="preserve">setting a deadline and cost ceiling for the whole registration process. </w:t>
            </w:r>
          </w:p>
        </w:tc>
      </w:tr>
      <w:tr w:rsidR="00DF5E69" w:rsidRPr="00DC6DD8" w14:paraId="69DCA051" w14:textId="77777777" w:rsidTr="6F00936E">
        <w:trPr>
          <w:trHeight w:val="980"/>
        </w:trPr>
        <w:tc>
          <w:tcPr>
            <w:tcW w:w="2122" w:type="dxa"/>
            <w:vAlign w:val="center"/>
          </w:tcPr>
          <w:p w14:paraId="243BFE76" w14:textId="77777777" w:rsidR="00DF5E69" w:rsidRDefault="00DF5E69" w:rsidP="00DF5E69">
            <w:pPr>
              <w:rPr>
                <w:b/>
                <w:noProof/>
                <w:szCs w:val="20"/>
              </w:rPr>
            </w:pPr>
            <w:r w:rsidRPr="00154739">
              <w:rPr>
                <w:b/>
                <w:noProof/>
                <w:szCs w:val="20"/>
              </w:rPr>
              <w:t>Ease of attracting investment</w:t>
            </w:r>
          </w:p>
        </w:tc>
        <w:tc>
          <w:tcPr>
            <w:tcW w:w="1508" w:type="dxa"/>
          </w:tcPr>
          <w:p w14:paraId="2C9DA99E" w14:textId="77777777" w:rsidR="00DF5E69" w:rsidRPr="00170FBB" w:rsidRDefault="00DF5E69" w:rsidP="00DF5E69">
            <w:pPr>
              <w:rPr>
                <w:noProof/>
                <w:sz w:val="18"/>
                <w:szCs w:val="18"/>
              </w:rPr>
            </w:pPr>
            <w:r w:rsidRPr="00170FBB">
              <w:rPr>
                <w:noProof/>
                <w:sz w:val="18"/>
                <w:szCs w:val="18"/>
              </w:rPr>
              <w:t>Score 0-5</w:t>
            </w:r>
          </w:p>
          <w:p w14:paraId="3780E771" w14:textId="77777777" w:rsidR="00DF5E69" w:rsidRPr="00170FBB" w:rsidRDefault="00DF5E69" w:rsidP="00DF5E69">
            <w:pPr>
              <w:rPr>
                <w:noProof/>
                <w:sz w:val="18"/>
                <w:szCs w:val="18"/>
              </w:rPr>
            </w:pPr>
          </w:p>
          <w:p w14:paraId="673BBA1B" w14:textId="77777777" w:rsidR="00DF5E69" w:rsidRPr="00170FBB" w:rsidRDefault="00DF5E69" w:rsidP="00DF5E69">
            <w:pPr>
              <w:rPr>
                <w:noProof/>
                <w:sz w:val="18"/>
                <w:szCs w:val="18"/>
              </w:rPr>
            </w:pPr>
          </w:p>
        </w:tc>
        <w:tc>
          <w:tcPr>
            <w:tcW w:w="1042" w:type="dxa"/>
          </w:tcPr>
          <w:p w14:paraId="795F98C3" w14:textId="3AE2D851" w:rsidR="00DF5E69" w:rsidRPr="004F28E1" w:rsidRDefault="00B903DB" w:rsidP="004F28E1">
            <w:pPr>
              <w:jc w:val="center"/>
              <w:rPr>
                <w:bCs/>
                <w:noProof/>
                <w:szCs w:val="20"/>
              </w:rPr>
            </w:pPr>
            <w:r>
              <w:rPr>
                <w:bCs/>
                <w:noProof/>
                <w:szCs w:val="20"/>
              </w:rPr>
              <w:t>2</w:t>
            </w:r>
          </w:p>
        </w:tc>
        <w:tc>
          <w:tcPr>
            <w:tcW w:w="996" w:type="dxa"/>
          </w:tcPr>
          <w:p w14:paraId="637473D0" w14:textId="01DD195D" w:rsidR="00DF5E69" w:rsidRPr="004F28E1" w:rsidRDefault="004F28E1" w:rsidP="004F28E1">
            <w:pPr>
              <w:jc w:val="center"/>
              <w:rPr>
                <w:bCs/>
                <w:noProof/>
                <w:szCs w:val="20"/>
              </w:rPr>
            </w:pPr>
            <w:r w:rsidRPr="004F28E1">
              <w:rPr>
                <w:bCs/>
                <w:noProof/>
                <w:szCs w:val="20"/>
              </w:rPr>
              <w:t>3</w:t>
            </w:r>
          </w:p>
        </w:tc>
        <w:tc>
          <w:tcPr>
            <w:tcW w:w="994" w:type="dxa"/>
          </w:tcPr>
          <w:p w14:paraId="058BDFE3" w14:textId="1A22AF92" w:rsidR="00DF5E69" w:rsidRPr="004F28E1" w:rsidRDefault="004F28E1" w:rsidP="004F28E1">
            <w:pPr>
              <w:jc w:val="center"/>
              <w:rPr>
                <w:bCs/>
                <w:noProof/>
                <w:szCs w:val="20"/>
              </w:rPr>
            </w:pPr>
            <w:r w:rsidRPr="004F28E1">
              <w:rPr>
                <w:bCs/>
                <w:noProof/>
                <w:szCs w:val="20"/>
              </w:rPr>
              <w:t>3</w:t>
            </w:r>
          </w:p>
        </w:tc>
        <w:tc>
          <w:tcPr>
            <w:tcW w:w="7508" w:type="dxa"/>
          </w:tcPr>
          <w:p w14:paraId="6218BB77" w14:textId="66132A94" w:rsidR="0099301B" w:rsidRPr="00A51729" w:rsidRDefault="009D40B7" w:rsidP="00EB7F6A">
            <w:pPr>
              <w:jc w:val="both"/>
              <w:rPr>
                <w:noProof/>
                <w:szCs w:val="20"/>
              </w:rPr>
            </w:pPr>
            <w:r>
              <w:rPr>
                <w:noProof/>
              </w:rPr>
              <w:t xml:space="preserve">These options would </w:t>
            </w:r>
            <w:r w:rsidR="00F159E9">
              <w:rPr>
                <w:noProof/>
              </w:rPr>
              <w:t xml:space="preserve">provide </w:t>
            </w:r>
            <w:r w:rsidR="0096734B">
              <w:rPr>
                <w:noProof/>
              </w:rPr>
              <w:t xml:space="preserve">legal certainty </w:t>
            </w:r>
            <w:r w:rsidR="00EA60AE">
              <w:rPr>
                <w:noProof/>
              </w:rPr>
              <w:t xml:space="preserve">to founders </w:t>
            </w:r>
            <w:r w:rsidR="00477EAC">
              <w:rPr>
                <w:noProof/>
              </w:rPr>
              <w:t xml:space="preserve">(natural persons) </w:t>
            </w:r>
            <w:r w:rsidR="00EA60AE">
              <w:rPr>
                <w:noProof/>
              </w:rPr>
              <w:t xml:space="preserve">and investors </w:t>
            </w:r>
            <w:r w:rsidR="0096734B">
              <w:rPr>
                <w:noProof/>
              </w:rPr>
              <w:t>through a</w:t>
            </w:r>
            <w:r w:rsidR="00C74AEE">
              <w:rPr>
                <w:noProof/>
              </w:rPr>
              <w:t xml:space="preserve"> harmonised template </w:t>
            </w:r>
            <w:r w:rsidR="00EA60AE">
              <w:rPr>
                <w:noProof/>
              </w:rPr>
              <w:t>for</w:t>
            </w:r>
            <w:r w:rsidR="007078D4">
              <w:rPr>
                <w:noProof/>
              </w:rPr>
              <w:t xml:space="preserve"> an instrument of constitution/Articles of Associat</w:t>
            </w:r>
            <w:r w:rsidR="001733E3">
              <w:rPr>
                <w:noProof/>
              </w:rPr>
              <w:t>ion</w:t>
            </w:r>
            <w:r w:rsidR="0096734B">
              <w:rPr>
                <w:noProof/>
              </w:rPr>
              <w:t xml:space="preserve"> and would contribute to</w:t>
            </w:r>
            <w:r w:rsidR="001733E3">
              <w:rPr>
                <w:noProof/>
              </w:rPr>
              <w:t xml:space="preserve"> </w:t>
            </w:r>
            <w:r w:rsidR="00F34F8F">
              <w:rPr>
                <w:noProof/>
              </w:rPr>
              <w:t>eas</w:t>
            </w:r>
            <w:r w:rsidR="004A75BC">
              <w:rPr>
                <w:noProof/>
              </w:rPr>
              <w:t>e</w:t>
            </w:r>
            <w:r w:rsidR="00F34F8F">
              <w:rPr>
                <w:noProof/>
              </w:rPr>
              <w:t xml:space="preserve"> of attracting </w:t>
            </w:r>
            <w:r w:rsidR="00940AC5">
              <w:rPr>
                <w:noProof/>
              </w:rPr>
              <w:t xml:space="preserve">investment </w:t>
            </w:r>
            <w:r w:rsidR="00214C07">
              <w:rPr>
                <w:noProof/>
              </w:rPr>
              <w:t xml:space="preserve">by removing the need to </w:t>
            </w:r>
            <w:r w:rsidR="00DD3390">
              <w:rPr>
                <w:noProof/>
              </w:rPr>
              <w:t xml:space="preserve">know 27 different systems. </w:t>
            </w:r>
            <w:r w:rsidR="008B5B52">
              <w:rPr>
                <w:noProof/>
              </w:rPr>
              <w:t xml:space="preserve">In addition, the </w:t>
            </w:r>
            <w:r w:rsidR="007B7EC5">
              <w:rPr>
                <w:noProof/>
              </w:rPr>
              <w:t>bilingual template including EN</w:t>
            </w:r>
            <w:r w:rsidR="009A6839">
              <w:rPr>
                <w:noProof/>
              </w:rPr>
              <w:t xml:space="preserve">, would </w:t>
            </w:r>
            <w:r w:rsidR="00DF49CD">
              <w:rPr>
                <w:noProof/>
              </w:rPr>
              <w:t xml:space="preserve">break down the language barrier and </w:t>
            </w:r>
            <w:r w:rsidR="009A6839">
              <w:rPr>
                <w:noProof/>
              </w:rPr>
              <w:t xml:space="preserve">greatly facilitate </w:t>
            </w:r>
            <w:r w:rsidR="00DF49CD">
              <w:rPr>
                <w:noProof/>
              </w:rPr>
              <w:t xml:space="preserve">attracting investment both from intra-EU investors as well as from third country investors. </w:t>
            </w:r>
            <w:r w:rsidR="00E722E1">
              <w:rPr>
                <w:noProof/>
              </w:rPr>
              <w:t xml:space="preserve">Option 2b and 2c would be equally efficient because they both provide for </w:t>
            </w:r>
            <w:r w:rsidR="00B75708">
              <w:rPr>
                <w:noProof/>
              </w:rPr>
              <w:t xml:space="preserve">a </w:t>
            </w:r>
            <w:r w:rsidR="00E722E1">
              <w:rPr>
                <w:noProof/>
              </w:rPr>
              <w:t>stand</w:t>
            </w:r>
            <w:r w:rsidR="00923846">
              <w:rPr>
                <w:noProof/>
              </w:rPr>
              <w:t>ardised template while ensuring legal certainty</w:t>
            </w:r>
            <w:r w:rsidR="00504BF0">
              <w:rPr>
                <w:noProof/>
              </w:rPr>
              <w:t xml:space="preserve"> </w:t>
            </w:r>
            <w:r w:rsidR="0099458C">
              <w:rPr>
                <w:noProof/>
              </w:rPr>
              <w:t>and</w:t>
            </w:r>
            <w:r w:rsidR="00504BF0">
              <w:rPr>
                <w:noProof/>
              </w:rPr>
              <w:t xml:space="preserve"> correct use of templates</w:t>
            </w:r>
            <w:r w:rsidR="00923846">
              <w:rPr>
                <w:noProof/>
              </w:rPr>
              <w:t xml:space="preserve"> </w:t>
            </w:r>
            <w:r w:rsidR="00EE1C64">
              <w:rPr>
                <w:noProof/>
              </w:rPr>
              <w:t xml:space="preserve">through the </w:t>
            </w:r>
            <w:r w:rsidR="002F76D3">
              <w:rPr>
                <w:noProof/>
              </w:rPr>
              <w:t>preventive control</w:t>
            </w:r>
            <w:r w:rsidR="00301AFD">
              <w:rPr>
                <w:noProof/>
              </w:rPr>
              <w:t xml:space="preserve">. </w:t>
            </w:r>
            <w:r w:rsidR="0099301B" w:rsidRPr="00A51729">
              <w:rPr>
                <w:rFonts w:cs="Times New Roman"/>
                <w:noProof/>
                <w:szCs w:val="20"/>
                <w:lang w:val="en-IE"/>
              </w:rPr>
              <w:t>A majority of respondents</w:t>
            </w:r>
            <w:r w:rsidR="00DD3390">
              <w:rPr>
                <w:rFonts w:cs="Times New Roman"/>
                <w:noProof/>
                <w:szCs w:val="20"/>
                <w:lang w:val="en-IE"/>
              </w:rPr>
              <w:t xml:space="preserve"> to the public </w:t>
            </w:r>
            <w:r w:rsidR="0071573E">
              <w:rPr>
                <w:rFonts w:cs="Times New Roman"/>
                <w:noProof/>
                <w:szCs w:val="20"/>
                <w:lang w:val="en-IE"/>
              </w:rPr>
              <w:t>consultation</w:t>
            </w:r>
            <w:r w:rsidR="0099301B" w:rsidRPr="00A51729">
              <w:rPr>
                <w:rFonts w:cs="Times New Roman"/>
                <w:noProof/>
                <w:szCs w:val="20"/>
                <w:lang w:val="en-IE"/>
              </w:rPr>
              <w:t xml:space="preserve"> (58%) considered </w:t>
            </w:r>
            <w:r w:rsidR="00A578B8">
              <w:rPr>
                <w:rFonts w:cs="Times New Roman"/>
                <w:noProof/>
                <w:szCs w:val="20"/>
                <w:lang w:val="en-IE"/>
              </w:rPr>
              <w:t xml:space="preserve">a </w:t>
            </w:r>
            <w:r w:rsidR="0099301B" w:rsidRPr="00A51729">
              <w:rPr>
                <w:rFonts w:cs="Times New Roman"/>
                <w:noProof/>
                <w:szCs w:val="20"/>
                <w:lang w:val="en-IE"/>
              </w:rPr>
              <w:t xml:space="preserve">standardised template of the Instrument of Constitution/Articles of Association </w:t>
            </w:r>
            <w:r w:rsidR="00A578B8">
              <w:rPr>
                <w:rFonts w:cs="Times New Roman"/>
                <w:noProof/>
                <w:szCs w:val="20"/>
                <w:lang w:val="en-IE"/>
              </w:rPr>
              <w:t xml:space="preserve">should be made </w:t>
            </w:r>
            <w:r w:rsidR="0099301B" w:rsidRPr="00A51729">
              <w:rPr>
                <w:rFonts w:cs="Times New Roman"/>
                <w:noProof/>
                <w:szCs w:val="20"/>
                <w:lang w:val="en-IE"/>
              </w:rPr>
              <w:t>mandatory for 28</w:t>
            </w:r>
            <w:r w:rsidR="0099301B" w:rsidRPr="00A51729">
              <w:rPr>
                <w:rFonts w:cs="Times New Roman"/>
                <w:noProof/>
                <w:szCs w:val="20"/>
                <w:vertAlign w:val="superscript"/>
                <w:lang w:val="en-IE"/>
              </w:rPr>
              <w:t>th</w:t>
            </w:r>
            <w:r w:rsidR="0099301B" w:rsidRPr="00A51729">
              <w:rPr>
                <w:rFonts w:cs="Times New Roman"/>
                <w:noProof/>
                <w:szCs w:val="20"/>
                <w:lang w:val="en-IE"/>
              </w:rPr>
              <w:t xml:space="preserve"> regime companies, while allowing some flexibility through pre-determined optional clauses. </w:t>
            </w:r>
            <w:r w:rsidR="000422D1">
              <w:rPr>
                <w:rFonts w:cs="Times New Roman"/>
                <w:noProof/>
                <w:szCs w:val="20"/>
              </w:rPr>
              <w:t>In particular</w:t>
            </w:r>
            <w:r w:rsidR="0099301B" w:rsidRPr="00A51729">
              <w:rPr>
                <w:rFonts w:eastAsia="Times New Roman" w:cs="Times New Roman"/>
                <w:noProof/>
                <w:szCs w:val="20"/>
              </w:rPr>
              <w:t>, business associations and companies, citizens (mainly founders and investors) favoured a standardised core for speed of incorporation</w:t>
            </w:r>
            <w:r w:rsidR="00A14499">
              <w:rPr>
                <w:rFonts w:eastAsia="Times New Roman" w:cs="Times New Roman"/>
                <w:noProof/>
                <w:szCs w:val="20"/>
              </w:rPr>
              <w:t xml:space="preserve"> to be</w:t>
            </w:r>
            <w:r w:rsidR="0099301B" w:rsidRPr="00A51729">
              <w:rPr>
                <w:rFonts w:eastAsia="Times New Roman" w:cs="Times New Roman"/>
                <w:noProof/>
                <w:szCs w:val="20"/>
              </w:rPr>
              <w:t xml:space="preserve"> complemented by optional clauses allowing adaptation to different business models. </w:t>
            </w:r>
          </w:p>
        </w:tc>
      </w:tr>
      <w:tr w:rsidR="00DF5E69" w:rsidRPr="00DC6DD8" w14:paraId="54A6F693" w14:textId="77777777" w:rsidTr="00057DF3">
        <w:trPr>
          <w:trHeight w:val="1266"/>
        </w:trPr>
        <w:tc>
          <w:tcPr>
            <w:tcW w:w="2122" w:type="dxa"/>
            <w:vAlign w:val="center"/>
          </w:tcPr>
          <w:p w14:paraId="4FFF2655" w14:textId="77777777" w:rsidR="00DF5E69" w:rsidRPr="00DC6DD8" w:rsidRDefault="00DF5E69" w:rsidP="00DF5E69">
            <w:pPr>
              <w:rPr>
                <w:b/>
                <w:noProof/>
                <w:szCs w:val="20"/>
              </w:rPr>
            </w:pPr>
            <w:r w:rsidRPr="00154739">
              <w:rPr>
                <w:b/>
                <w:noProof/>
                <w:szCs w:val="20"/>
              </w:rPr>
              <w:t>Administrative burden reduction (benefit)</w:t>
            </w:r>
          </w:p>
        </w:tc>
        <w:tc>
          <w:tcPr>
            <w:tcW w:w="1508" w:type="dxa"/>
          </w:tcPr>
          <w:p w14:paraId="5217A87B" w14:textId="3EE9EF76" w:rsidR="00817A39" w:rsidRDefault="00817A39" w:rsidP="00DF5E69">
            <w:pPr>
              <w:rPr>
                <w:noProof/>
                <w:sz w:val="18"/>
                <w:szCs w:val="18"/>
              </w:rPr>
            </w:pPr>
            <w:r>
              <w:rPr>
                <w:noProof/>
                <w:sz w:val="18"/>
                <w:szCs w:val="18"/>
              </w:rPr>
              <w:t xml:space="preserve">Score </w:t>
            </w:r>
            <w:r w:rsidR="00CE588F">
              <w:rPr>
                <w:noProof/>
                <w:sz w:val="18"/>
                <w:szCs w:val="18"/>
              </w:rPr>
              <w:t>0-5</w:t>
            </w:r>
          </w:p>
          <w:p w14:paraId="0A6E5BBB" w14:textId="77777777" w:rsidR="00DF5E69" w:rsidRPr="00170FBB" w:rsidRDefault="00DF5E69" w:rsidP="00DF5E69">
            <w:pPr>
              <w:rPr>
                <w:noProof/>
                <w:sz w:val="18"/>
                <w:szCs w:val="18"/>
              </w:rPr>
            </w:pPr>
            <w:r w:rsidRPr="00170FBB">
              <w:rPr>
                <w:noProof/>
                <w:sz w:val="18"/>
                <w:szCs w:val="18"/>
              </w:rPr>
              <w:t>Standard Cost Model calculations or n/a</w:t>
            </w:r>
          </w:p>
        </w:tc>
        <w:tc>
          <w:tcPr>
            <w:tcW w:w="1042" w:type="dxa"/>
          </w:tcPr>
          <w:p w14:paraId="0782322C" w14:textId="77F12B69" w:rsidR="000D6F5A" w:rsidRPr="001659E5" w:rsidRDefault="00F00BA2" w:rsidP="00012A48">
            <w:pPr>
              <w:jc w:val="center"/>
              <w:rPr>
                <w:noProof/>
                <w:szCs w:val="20"/>
              </w:rPr>
            </w:pPr>
            <w:r w:rsidRPr="00A41C6F">
              <w:rPr>
                <w:noProof/>
                <w:szCs w:val="20"/>
              </w:rPr>
              <w:t>3</w:t>
            </w:r>
          </w:p>
          <w:p w14:paraId="77613EEC" w14:textId="49BAB777" w:rsidR="001659E5" w:rsidRDefault="246497A8" w:rsidP="6F00936E">
            <w:pPr>
              <w:jc w:val="center"/>
              <w:rPr>
                <w:rFonts w:ascii="Arial" w:hAnsi="Arial" w:cs="Arial"/>
                <w:b/>
                <w:bCs/>
                <w:noProof/>
                <w:color w:val="auto"/>
              </w:rPr>
            </w:pPr>
            <w:r w:rsidRPr="6F00936E">
              <w:rPr>
                <w:rFonts w:eastAsia="Times New Roman" w:cs="Arial"/>
                <w:b/>
                <w:bCs/>
                <w:noProof/>
                <w:sz w:val="18"/>
                <w:szCs w:val="18"/>
                <w:lang w:val="en-IE" w:eastAsia="en-IE"/>
              </w:rPr>
              <w:t>EUR</w:t>
            </w:r>
            <w:r w:rsidR="6C6AF04D" w:rsidRPr="6F00936E">
              <w:rPr>
                <w:rFonts w:eastAsia="Times New Roman" w:cs="Arial"/>
                <w:b/>
                <w:bCs/>
                <w:noProof/>
                <w:sz w:val="18"/>
                <w:szCs w:val="18"/>
                <w:lang w:val="en-IE" w:eastAsia="en-IE"/>
              </w:rPr>
              <w:t xml:space="preserve">    </w:t>
            </w:r>
            <w:r w:rsidR="7B01B2F2" w:rsidRPr="6F00936E">
              <w:rPr>
                <w:rFonts w:ascii="Arial" w:hAnsi="Arial" w:cs="Arial"/>
                <w:b/>
                <w:bCs/>
                <w:noProof/>
              </w:rPr>
              <w:t xml:space="preserve">111,183,200 </w:t>
            </w:r>
          </w:p>
          <w:p w14:paraId="46C1C809" w14:textId="6AD0B209" w:rsidR="0085500D" w:rsidRPr="001659E5" w:rsidRDefault="0085500D" w:rsidP="00D20173">
            <w:pPr>
              <w:jc w:val="center"/>
              <w:rPr>
                <w:noProof/>
                <w:sz w:val="16"/>
                <w:szCs w:val="16"/>
              </w:rPr>
            </w:pPr>
            <w:r w:rsidRPr="001659E5">
              <w:rPr>
                <w:rFonts w:eastAsia="Times New Roman" w:cs="Calibri"/>
                <w:noProof/>
                <w:color w:val="000000"/>
                <w:sz w:val="16"/>
                <w:szCs w:val="16"/>
                <w:lang w:val="en-IE" w:eastAsia="en-IE"/>
              </w:rPr>
              <w:t>Total one-off administrative burden reduction for 28th regime companies created over a period of 10 years.</w:t>
            </w:r>
          </w:p>
        </w:tc>
        <w:tc>
          <w:tcPr>
            <w:tcW w:w="996" w:type="dxa"/>
          </w:tcPr>
          <w:p w14:paraId="4297E7E8" w14:textId="77777777" w:rsidR="00DF5E69" w:rsidRPr="00A41C6F" w:rsidRDefault="00612560" w:rsidP="00D20173">
            <w:pPr>
              <w:jc w:val="center"/>
              <w:rPr>
                <w:noProof/>
                <w:szCs w:val="20"/>
              </w:rPr>
            </w:pPr>
            <w:r w:rsidRPr="00A41C6F">
              <w:rPr>
                <w:noProof/>
                <w:szCs w:val="20"/>
              </w:rPr>
              <w:t>4</w:t>
            </w:r>
          </w:p>
          <w:p w14:paraId="4319F985" w14:textId="00EA2E7A" w:rsidR="000440CD" w:rsidRDefault="246497A8" w:rsidP="001659E5">
            <w:pPr>
              <w:spacing w:after="0"/>
              <w:jc w:val="center"/>
              <w:rPr>
                <w:rFonts w:eastAsia="Times New Roman" w:cs="Calibri"/>
                <w:b/>
                <w:bCs/>
                <w:noProof/>
                <w:color w:val="000000"/>
                <w:sz w:val="18"/>
                <w:szCs w:val="18"/>
                <w:lang w:val="en-IE" w:eastAsia="en-IE"/>
              </w:rPr>
            </w:pPr>
            <w:r w:rsidRPr="6F00936E">
              <w:rPr>
                <w:rFonts w:eastAsia="Times New Roman" w:cs="Calibri"/>
                <w:b/>
                <w:bCs/>
                <w:noProof/>
                <w:sz w:val="18"/>
                <w:szCs w:val="18"/>
                <w:lang w:val="en-IE" w:eastAsia="en-IE"/>
              </w:rPr>
              <w:t>EUR</w:t>
            </w:r>
            <w:r w:rsidR="24621042" w:rsidRPr="6F00936E">
              <w:rPr>
                <w:rFonts w:eastAsia="Times New Roman" w:cs="Calibri"/>
                <w:b/>
                <w:bCs/>
                <w:noProof/>
                <w:sz w:val="18"/>
                <w:szCs w:val="18"/>
                <w:lang w:val="en-IE" w:eastAsia="en-IE"/>
              </w:rPr>
              <w:t xml:space="preserve">    </w:t>
            </w:r>
          </w:p>
          <w:p w14:paraId="54A95EB2" w14:textId="72516230" w:rsidR="0025250E" w:rsidRPr="001659E5" w:rsidRDefault="0025250E" w:rsidP="0025250E">
            <w:pPr>
              <w:spacing w:before="0" w:after="0"/>
              <w:jc w:val="center"/>
              <w:rPr>
                <w:rFonts w:cs="Calibri"/>
                <w:b/>
                <w:bCs/>
                <w:noProof/>
                <w:color w:val="000000"/>
                <w:sz w:val="18"/>
                <w:szCs w:val="18"/>
              </w:rPr>
            </w:pPr>
            <w:r w:rsidRPr="001659E5">
              <w:rPr>
                <w:rFonts w:cs="Calibri"/>
                <w:b/>
                <w:bCs/>
                <w:noProof/>
                <w:color w:val="000000"/>
                <w:sz w:val="18"/>
                <w:szCs w:val="18"/>
              </w:rPr>
              <w:t xml:space="preserve">152,876,900 </w:t>
            </w:r>
          </w:p>
          <w:p w14:paraId="33EAC487" w14:textId="507C12AA" w:rsidR="00C851C1" w:rsidRDefault="00A55183" w:rsidP="001659E5">
            <w:pPr>
              <w:spacing w:before="0"/>
              <w:jc w:val="center"/>
              <w:rPr>
                <w:rFonts w:eastAsia="Times New Roman" w:cs="Arial"/>
                <w:noProof/>
                <w:sz w:val="16"/>
                <w:szCs w:val="16"/>
                <w:lang w:val="en-IE" w:eastAsia="en-IE"/>
              </w:rPr>
            </w:pPr>
            <w:r>
              <w:rPr>
                <w:rFonts w:eastAsia="Times New Roman" w:cs="Arial"/>
                <w:noProof/>
                <w:sz w:val="16"/>
                <w:szCs w:val="16"/>
                <w:lang w:val="en-IE" w:eastAsia="en-IE"/>
              </w:rPr>
              <w:t>non</w:t>
            </w:r>
            <w:r w:rsidR="00012A48">
              <w:rPr>
                <w:rFonts w:eastAsia="Times New Roman" w:cs="Arial"/>
                <w:noProof/>
                <w:sz w:val="16"/>
                <w:szCs w:val="16"/>
                <w:lang w:val="en-IE" w:eastAsia="en-IE"/>
              </w:rPr>
              <w:t>-</w:t>
            </w:r>
            <w:r>
              <w:rPr>
                <w:rFonts w:eastAsia="Times New Roman" w:cs="Arial"/>
                <w:noProof/>
                <w:sz w:val="16"/>
                <w:szCs w:val="16"/>
                <w:lang w:val="en-IE" w:eastAsia="en-IE"/>
              </w:rPr>
              <w:t>notarial countri</w:t>
            </w:r>
            <w:r w:rsidR="00012A48">
              <w:rPr>
                <w:rFonts w:eastAsia="Times New Roman" w:cs="Arial"/>
                <w:noProof/>
                <w:sz w:val="16"/>
                <w:szCs w:val="16"/>
                <w:lang w:val="en-IE" w:eastAsia="en-IE"/>
              </w:rPr>
              <w:t>es</w:t>
            </w:r>
            <w:r w:rsidR="000440CD" w:rsidRPr="001659E5">
              <w:rPr>
                <w:rFonts w:eastAsia="Times New Roman" w:cs="Arial"/>
                <w:b/>
                <w:bCs/>
                <w:noProof/>
                <w:sz w:val="18"/>
                <w:szCs w:val="18"/>
                <w:lang w:val="en-IE" w:eastAsia="en-IE"/>
              </w:rPr>
              <w:t xml:space="preserve">  </w:t>
            </w:r>
          </w:p>
          <w:p w14:paraId="32679DC9" w14:textId="1FEF2CC2" w:rsidR="00012A48" w:rsidRDefault="3B5ACAC9" w:rsidP="001659E5">
            <w:pPr>
              <w:spacing w:before="0"/>
              <w:jc w:val="center"/>
              <w:rPr>
                <w:rFonts w:eastAsia="Times New Roman" w:cs="Arial"/>
                <w:noProof/>
                <w:sz w:val="16"/>
                <w:szCs w:val="16"/>
                <w:lang w:val="en-IE" w:eastAsia="en-IE"/>
              </w:rPr>
            </w:pPr>
            <w:r w:rsidRPr="6F00936E">
              <w:rPr>
                <w:rFonts w:ascii="Arial" w:hAnsi="Arial" w:cs="Arial"/>
                <w:b/>
                <w:bCs/>
                <w:noProof/>
              </w:rPr>
              <w:t>EUR</w:t>
            </w:r>
            <w:r w:rsidR="31B99879" w:rsidRPr="6F00936E">
              <w:rPr>
                <w:rFonts w:ascii="Arial" w:hAnsi="Arial" w:cs="Arial"/>
                <w:b/>
                <w:bCs/>
                <w:noProof/>
              </w:rPr>
              <w:t xml:space="preserve"> </w:t>
            </w:r>
            <w:r w:rsidR="31B99879" w:rsidRPr="6F00936E">
              <w:rPr>
                <w:rFonts w:cs="Arial"/>
                <w:b/>
                <w:bCs/>
                <w:noProof/>
                <w:sz w:val="18"/>
                <w:szCs w:val="18"/>
              </w:rPr>
              <w:t>227,828,649</w:t>
            </w:r>
            <w:r w:rsidR="31B99879" w:rsidRPr="6F00936E">
              <w:rPr>
                <w:rFonts w:ascii="Arial" w:hAnsi="Arial" w:cs="Arial"/>
                <w:b/>
                <w:bCs/>
                <w:noProof/>
              </w:rPr>
              <w:t xml:space="preserve"> </w:t>
            </w:r>
            <w:r w:rsidR="1D0B4DFD" w:rsidRPr="6F00936E">
              <w:rPr>
                <w:rFonts w:eastAsia="Times New Roman" w:cs="Arial"/>
                <w:noProof/>
                <w:sz w:val="16"/>
                <w:szCs w:val="16"/>
                <w:lang w:val="en-IE" w:eastAsia="en-IE"/>
              </w:rPr>
              <w:t>notarial countries with template</w:t>
            </w:r>
          </w:p>
          <w:p w14:paraId="20979D91" w14:textId="3FF5D31F" w:rsidR="003C08EA" w:rsidRPr="00C15976" w:rsidRDefault="3B5ACAC9" w:rsidP="003C08EA">
            <w:pPr>
              <w:spacing w:before="0" w:after="0"/>
              <w:jc w:val="center"/>
              <w:rPr>
                <w:rFonts w:cs="Calibri"/>
                <w:b/>
                <w:bCs/>
                <w:noProof/>
                <w:color w:val="000000"/>
                <w:sz w:val="18"/>
                <w:szCs w:val="18"/>
              </w:rPr>
            </w:pPr>
            <w:r w:rsidRPr="6F00936E">
              <w:rPr>
                <w:rFonts w:cs="Calibri"/>
                <w:b/>
                <w:bCs/>
                <w:noProof/>
                <w:sz w:val="18"/>
                <w:szCs w:val="18"/>
              </w:rPr>
              <w:t>EUR</w:t>
            </w:r>
            <w:r w:rsidR="2DD2A7F9" w:rsidRPr="6F00936E">
              <w:rPr>
                <w:rFonts w:cs="Calibri"/>
                <w:b/>
                <w:bCs/>
                <w:noProof/>
                <w:sz w:val="18"/>
                <w:szCs w:val="18"/>
              </w:rPr>
              <w:t xml:space="preserve"> 340,256,273 </w:t>
            </w:r>
          </w:p>
          <w:p w14:paraId="647AB36D" w14:textId="35BACA09" w:rsidR="00AB1DA3" w:rsidRPr="001659E5" w:rsidRDefault="00AB1DA3" w:rsidP="001659E5">
            <w:pPr>
              <w:spacing w:before="0"/>
              <w:jc w:val="center"/>
              <w:rPr>
                <w:rFonts w:eastAsia="Times New Roman" w:cs="Arial"/>
                <w:b/>
                <w:bCs/>
                <w:noProof/>
                <w:sz w:val="18"/>
                <w:szCs w:val="18"/>
                <w:lang w:val="en-IE" w:eastAsia="en-IE"/>
              </w:rPr>
            </w:pPr>
            <w:r>
              <w:rPr>
                <w:rFonts w:eastAsia="Times New Roman" w:cs="Arial"/>
                <w:noProof/>
                <w:sz w:val="16"/>
                <w:szCs w:val="16"/>
                <w:lang w:val="en-IE" w:eastAsia="en-IE"/>
              </w:rPr>
              <w:t>notarial countriesin other cases</w:t>
            </w:r>
          </w:p>
          <w:p w14:paraId="1323D677" w14:textId="00A6719B" w:rsidR="000440CD" w:rsidRPr="001659E5" w:rsidRDefault="000440CD" w:rsidP="00D20173">
            <w:pPr>
              <w:jc w:val="center"/>
              <w:rPr>
                <w:noProof/>
                <w:sz w:val="16"/>
                <w:szCs w:val="16"/>
              </w:rPr>
            </w:pPr>
            <w:r w:rsidRPr="001659E5">
              <w:rPr>
                <w:rFonts w:eastAsia="Times New Roman" w:cs="Calibri"/>
                <w:noProof/>
                <w:color w:val="000000"/>
                <w:sz w:val="16"/>
                <w:szCs w:val="16"/>
                <w:lang w:val="en-IE" w:eastAsia="en-IE"/>
              </w:rPr>
              <w:t>Total one-off administrative burden reduction for 28</w:t>
            </w:r>
            <w:r w:rsidRPr="00CE1E7C">
              <w:rPr>
                <w:rFonts w:eastAsia="Times New Roman" w:cs="Calibri"/>
                <w:noProof/>
                <w:color w:val="000000"/>
                <w:sz w:val="16"/>
                <w:szCs w:val="16"/>
                <w:vertAlign w:val="superscript"/>
                <w:lang w:val="en-IE" w:eastAsia="en-IE"/>
              </w:rPr>
              <w:t>th</w:t>
            </w:r>
            <w:r w:rsidRPr="001659E5">
              <w:rPr>
                <w:rFonts w:eastAsia="Times New Roman" w:cs="Calibri"/>
                <w:noProof/>
                <w:color w:val="000000"/>
                <w:sz w:val="16"/>
                <w:szCs w:val="16"/>
                <w:lang w:val="en-IE" w:eastAsia="en-IE"/>
              </w:rPr>
              <w:t xml:space="preserve"> regime companies created over a period of 10 years.</w:t>
            </w:r>
          </w:p>
        </w:tc>
        <w:tc>
          <w:tcPr>
            <w:tcW w:w="994" w:type="dxa"/>
          </w:tcPr>
          <w:p w14:paraId="67A56782" w14:textId="77777777" w:rsidR="00DF5E69" w:rsidRPr="00A41C6F" w:rsidRDefault="00612560" w:rsidP="00D20173">
            <w:pPr>
              <w:jc w:val="center"/>
              <w:rPr>
                <w:noProof/>
                <w:szCs w:val="20"/>
              </w:rPr>
            </w:pPr>
            <w:r w:rsidRPr="00A41C6F">
              <w:rPr>
                <w:noProof/>
                <w:szCs w:val="20"/>
              </w:rPr>
              <w:t>4</w:t>
            </w:r>
          </w:p>
          <w:p w14:paraId="0AF3C699" w14:textId="7FBE6F8E" w:rsidR="000440CD" w:rsidRDefault="0C1C2FDC" w:rsidP="001659E5">
            <w:pPr>
              <w:spacing w:after="0"/>
              <w:jc w:val="center"/>
              <w:rPr>
                <w:rFonts w:eastAsia="Times New Roman" w:cs="Calibri"/>
                <w:b/>
                <w:bCs/>
                <w:noProof/>
                <w:color w:val="000000"/>
                <w:sz w:val="18"/>
                <w:szCs w:val="18"/>
                <w:lang w:val="en-IE" w:eastAsia="en-IE"/>
              </w:rPr>
            </w:pPr>
            <w:r w:rsidRPr="6F00936E">
              <w:rPr>
                <w:rFonts w:eastAsia="Times New Roman" w:cs="Calibri"/>
                <w:b/>
                <w:bCs/>
                <w:noProof/>
                <w:sz w:val="18"/>
                <w:szCs w:val="18"/>
                <w:lang w:val="en-IE" w:eastAsia="en-IE"/>
              </w:rPr>
              <w:t>EUR</w:t>
            </w:r>
            <w:r w:rsidR="24621042" w:rsidRPr="6F00936E">
              <w:rPr>
                <w:rFonts w:eastAsia="Times New Roman" w:cs="Calibri"/>
                <w:b/>
                <w:bCs/>
                <w:noProof/>
                <w:sz w:val="18"/>
                <w:szCs w:val="18"/>
                <w:lang w:val="en-IE" w:eastAsia="en-IE"/>
              </w:rPr>
              <w:t xml:space="preserve">    </w:t>
            </w:r>
          </w:p>
          <w:p w14:paraId="1D481557" w14:textId="77777777" w:rsidR="0025250E" w:rsidRPr="00C15976" w:rsidRDefault="0025250E" w:rsidP="0025250E">
            <w:pPr>
              <w:spacing w:before="0" w:after="0"/>
              <w:jc w:val="center"/>
              <w:rPr>
                <w:rFonts w:cs="Calibri"/>
                <w:b/>
                <w:bCs/>
                <w:noProof/>
                <w:color w:val="000000"/>
                <w:sz w:val="18"/>
                <w:szCs w:val="18"/>
              </w:rPr>
            </w:pPr>
            <w:r w:rsidRPr="00C15976">
              <w:rPr>
                <w:rFonts w:cs="Calibri"/>
                <w:b/>
                <w:bCs/>
                <w:noProof/>
                <w:color w:val="000000"/>
                <w:sz w:val="18"/>
                <w:szCs w:val="18"/>
              </w:rPr>
              <w:t xml:space="preserve">152,876,900 </w:t>
            </w:r>
          </w:p>
          <w:p w14:paraId="3984941B" w14:textId="47673F07" w:rsidR="00012A48" w:rsidRPr="001659E5" w:rsidRDefault="00012A48" w:rsidP="001659E5">
            <w:pPr>
              <w:spacing w:before="0"/>
              <w:jc w:val="center"/>
              <w:rPr>
                <w:b/>
                <w:bCs/>
                <w:noProof/>
                <w:szCs w:val="20"/>
              </w:rPr>
            </w:pPr>
            <w:r>
              <w:rPr>
                <w:rFonts w:eastAsia="Times New Roman" w:cs="Arial"/>
                <w:noProof/>
                <w:sz w:val="16"/>
                <w:szCs w:val="16"/>
                <w:lang w:val="en-IE" w:eastAsia="en-IE"/>
              </w:rPr>
              <w:t>non-notarial countries</w:t>
            </w:r>
          </w:p>
          <w:p w14:paraId="1C4DE9FD" w14:textId="3F9E6CB6" w:rsidR="00012A48" w:rsidRDefault="7445A358" w:rsidP="001659E5">
            <w:pPr>
              <w:spacing w:before="0"/>
              <w:jc w:val="center"/>
              <w:rPr>
                <w:rFonts w:eastAsia="Times New Roman" w:cs="Arial"/>
                <w:noProof/>
                <w:sz w:val="16"/>
                <w:szCs w:val="16"/>
                <w:lang w:val="en-IE" w:eastAsia="en-IE"/>
              </w:rPr>
            </w:pPr>
            <w:r w:rsidRPr="6F00936E">
              <w:rPr>
                <w:rFonts w:eastAsia="Times New Roman" w:cs="Arial"/>
                <w:b/>
                <w:bCs/>
                <w:noProof/>
                <w:sz w:val="18"/>
                <w:szCs w:val="18"/>
                <w:lang w:val="en-IE" w:eastAsia="en-IE"/>
              </w:rPr>
              <w:t xml:space="preserve"> </w:t>
            </w:r>
            <w:r w:rsidR="2F156BCE" w:rsidRPr="6F00936E">
              <w:rPr>
                <w:rFonts w:ascii="Arial" w:hAnsi="Arial" w:cs="Arial"/>
                <w:b/>
                <w:bCs/>
                <w:noProof/>
              </w:rPr>
              <w:t>EUR</w:t>
            </w:r>
            <w:r w:rsidR="31B99879" w:rsidRPr="6F00936E">
              <w:rPr>
                <w:rFonts w:ascii="Arial" w:hAnsi="Arial" w:cs="Arial"/>
                <w:b/>
                <w:bCs/>
                <w:noProof/>
              </w:rPr>
              <w:t xml:space="preserve"> </w:t>
            </w:r>
            <w:r w:rsidR="31B99879" w:rsidRPr="6F00936E">
              <w:rPr>
                <w:rFonts w:cs="Arial"/>
                <w:b/>
                <w:bCs/>
                <w:noProof/>
                <w:sz w:val="18"/>
                <w:szCs w:val="18"/>
              </w:rPr>
              <w:t>227,828,649</w:t>
            </w:r>
            <w:r w:rsidR="31B99879" w:rsidRPr="6F00936E">
              <w:rPr>
                <w:rFonts w:ascii="Arial" w:hAnsi="Arial" w:cs="Arial"/>
                <w:b/>
                <w:bCs/>
                <w:noProof/>
              </w:rPr>
              <w:t xml:space="preserve"> </w:t>
            </w:r>
            <w:r w:rsidR="1D0B4DFD" w:rsidRPr="6F00936E">
              <w:rPr>
                <w:rFonts w:eastAsia="Times New Roman" w:cs="Arial"/>
                <w:noProof/>
                <w:sz w:val="16"/>
                <w:szCs w:val="16"/>
                <w:lang w:val="en-IE" w:eastAsia="en-IE"/>
              </w:rPr>
              <w:t>notarial countries with template</w:t>
            </w:r>
          </w:p>
          <w:p w14:paraId="4C906AAB" w14:textId="325A6AA5" w:rsidR="003C08EA" w:rsidRPr="001659E5" w:rsidRDefault="72237F7B" w:rsidP="003C08EA">
            <w:pPr>
              <w:spacing w:before="0" w:after="0"/>
              <w:jc w:val="center"/>
              <w:rPr>
                <w:rFonts w:cs="Calibri"/>
                <w:b/>
                <w:bCs/>
                <w:noProof/>
                <w:color w:val="000000"/>
                <w:sz w:val="18"/>
                <w:szCs w:val="18"/>
              </w:rPr>
            </w:pPr>
            <w:r w:rsidRPr="6F00936E">
              <w:rPr>
                <w:rFonts w:cs="Calibri"/>
                <w:b/>
                <w:bCs/>
                <w:noProof/>
                <w:sz w:val="18"/>
                <w:szCs w:val="18"/>
              </w:rPr>
              <w:t>EUR</w:t>
            </w:r>
            <w:r w:rsidR="2DD2A7F9" w:rsidRPr="6F00936E">
              <w:rPr>
                <w:rFonts w:cs="Calibri"/>
                <w:b/>
                <w:bCs/>
                <w:noProof/>
                <w:sz w:val="18"/>
                <w:szCs w:val="18"/>
              </w:rPr>
              <w:t xml:space="preserve"> 340,256,273 </w:t>
            </w:r>
          </w:p>
          <w:p w14:paraId="1449F4D7" w14:textId="3D013306" w:rsidR="00AB1DA3" w:rsidRPr="00C15976" w:rsidRDefault="00AB1DA3" w:rsidP="001659E5">
            <w:pPr>
              <w:spacing w:before="0"/>
              <w:jc w:val="center"/>
              <w:rPr>
                <w:rFonts w:eastAsia="Times New Roman" w:cs="Arial"/>
                <w:b/>
                <w:bCs/>
                <w:noProof/>
                <w:sz w:val="18"/>
                <w:szCs w:val="18"/>
                <w:lang w:val="en-IE" w:eastAsia="en-IE"/>
              </w:rPr>
            </w:pPr>
            <w:r>
              <w:rPr>
                <w:rFonts w:eastAsia="Times New Roman" w:cs="Arial"/>
                <w:noProof/>
                <w:sz w:val="16"/>
                <w:szCs w:val="16"/>
                <w:lang w:val="en-IE" w:eastAsia="en-IE"/>
              </w:rPr>
              <w:t>notarial countriesin other cases</w:t>
            </w:r>
          </w:p>
          <w:p w14:paraId="60E75ADC" w14:textId="3A74D8CC" w:rsidR="000440CD" w:rsidRPr="001659E5" w:rsidRDefault="000440CD" w:rsidP="000440CD">
            <w:pPr>
              <w:jc w:val="center"/>
              <w:rPr>
                <w:noProof/>
                <w:sz w:val="16"/>
                <w:szCs w:val="16"/>
              </w:rPr>
            </w:pPr>
            <w:r w:rsidRPr="001659E5">
              <w:rPr>
                <w:rFonts w:eastAsia="Times New Roman" w:cs="Calibri"/>
                <w:noProof/>
                <w:color w:val="000000"/>
                <w:sz w:val="16"/>
                <w:szCs w:val="16"/>
                <w:lang w:val="en-IE" w:eastAsia="en-IE"/>
              </w:rPr>
              <w:t>Total one-off administrative burden reduction for 28</w:t>
            </w:r>
            <w:r w:rsidRPr="00CE1E7C">
              <w:rPr>
                <w:rFonts w:eastAsia="Times New Roman" w:cs="Calibri"/>
                <w:noProof/>
                <w:color w:val="000000"/>
                <w:sz w:val="16"/>
                <w:szCs w:val="16"/>
                <w:vertAlign w:val="superscript"/>
                <w:lang w:val="en-IE" w:eastAsia="en-IE"/>
              </w:rPr>
              <w:t>th</w:t>
            </w:r>
            <w:r w:rsidRPr="001659E5">
              <w:rPr>
                <w:rFonts w:eastAsia="Times New Roman" w:cs="Calibri"/>
                <w:noProof/>
                <w:color w:val="000000"/>
                <w:sz w:val="16"/>
                <w:szCs w:val="16"/>
                <w:lang w:val="en-IE" w:eastAsia="en-IE"/>
              </w:rPr>
              <w:t xml:space="preserve"> regime companies created over a period of 10 years</w:t>
            </w:r>
          </w:p>
        </w:tc>
        <w:tc>
          <w:tcPr>
            <w:tcW w:w="7508" w:type="dxa"/>
          </w:tcPr>
          <w:p w14:paraId="04D47B2C" w14:textId="6177356C" w:rsidR="008E33EC" w:rsidRDefault="003C2481" w:rsidP="006171EF">
            <w:pPr>
              <w:spacing w:after="0"/>
              <w:jc w:val="both"/>
              <w:rPr>
                <w:rFonts w:cs="Times New Roman"/>
                <w:noProof/>
                <w:szCs w:val="20"/>
                <w:lang w:val="en-IE"/>
              </w:rPr>
            </w:pPr>
            <w:r>
              <w:rPr>
                <w:rFonts w:cs="Times New Roman"/>
                <w:noProof/>
                <w:szCs w:val="20"/>
                <w:lang w:val="en-IE"/>
              </w:rPr>
              <w:t>M</w:t>
            </w:r>
            <w:r w:rsidRPr="00D20173">
              <w:rPr>
                <w:rFonts w:cs="Times New Roman"/>
                <w:noProof/>
                <w:szCs w:val="20"/>
                <w:lang w:val="en-IE"/>
              </w:rPr>
              <w:t xml:space="preserve">ore than 86% of the respondents to the public consultation considered </w:t>
            </w:r>
            <w:r>
              <w:rPr>
                <w:rFonts w:cs="Times New Roman"/>
                <w:noProof/>
                <w:szCs w:val="20"/>
                <w:lang w:val="en-IE"/>
              </w:rPr>
              <w:t xml:space="preserve">that </w:t>
            </w:r>
            <w:r w:rsidR="00893A2D" w:rsidRPr="00C83066">
              <w:rPr>
                <w:rFonts w:cs="Times New Roman"/>
                <w:noProof/>
                <w:szCs w:val="20"/>
                <w:lang w:val="en-IE"/>
              </w:rPr>
              <w:t xml:space="preserve">the hassle costs </w:t>
            </w:r>
            <w:r w:rsidR="00893A2D" w:rsidRPr="000F57DD">
              <w:rPr>
                <w:rFonts w:cs="Times New Roman"/>
                <w:noProof/>
                <w:szCs w:val="20"/>
                <w:lang w:val="en-IE"/>
              </w:rPr>
              <w:t xml:space="preserve">(such as unnecessary waiting time, delays) </w:t>
            </w:r>
            <w:r w:rsidR="00893A2D" w:rsidRPr="00C83066">
              <w:rPr>
                <w:rFonts w:cs="Times New Roman"/>
                <w:noProof/>
                <w:szCs w:val="20"/>
                <w:lang w:val="en-IE"/>
              </w:rPr>
              <w:t>related to the setting up a company</w:t>
            </w:r>
            <w:r w:rsidR="00893A2D" w:rsidRPr="000F57DD">
              <w:rPr>
                <w:rFonts w:cs="Times New Roman"/>
                <w:noProof/>
                <w:szCs w:val="20"/>
                <w:lang w:val="en-IE"/>
              </w:rPr>
              <w:t xml:space="preserve"> were high and almost 68% </w:t>
            </w:r>
            <w:r w:rsidR="004E2A95" w:rsidRPr="000F57DD">
              <w:rPr>
                <w:rFonts w:cs="Times New Roman"/>
                <w:noProof/>
                <w:szCs w:val="20"/>
                <w:lang w:val="en-IE"/>
              </w:rPr>
              <w:t xml:space="preserve">- </w:t>
            </w:r>
            <w:r w:rsidR="00893A2D" w:rsidRPr="000F57DD">
              <w:rPr>
                <w:rFonts w:cs="Times New Roman"/>
                <w:noProof/>
                <w:szCs w:val="20"/>
                <w:lang w:val="en-IE"/>
              </w:rPr>
              <w:t>very high</w:t>
            </w:r>
            <w:r w:rsidR="00A60AFE" w:rsidRPr="000F57DD">
              <w:rPr>
                <w:rFonts w:cs="Times New Roman"/>
                <w:noProof/>
                <w:szCs w:val="20"/>
                <w:lang w:val="en-IE"/>
              </w:rPr>
              <w:t xml:space="preserve">. </w:t>
            </w:r>
            <w:r w:rsidR="00CF5FA3" w:rsidRPr="000F57DD">
              <w:rPr>
                <w:rFonts w:cs="Times New Roman"/>
                <w:noProof/>
                <w:szCs w:val="20"/>
                <w:lang w:val="en-IE"/>
              </w:rPr>
              <w:t xml:space="preserve">78% </w:t>
            </w:r>
            <w:r w:rsidR="00B92B03" w:rsidRPr="000F57DD">
              <w:rPr>
                <w:rFonts w:cs="Times New Roman"/>
                <w:noProof/>
                <w:szCs w:val="20"/>
                <w:lang w:val="en-IE"/>
              </w:rPr>
              <w:t xml:space="preserve">considered </w:t>
            </w:r>
            <w:r w:rsidR="007B7742" w:rsidRPr="000F57DD">
              <w:rPr>
                <w:rFonts w:cs="Times New Roman"/>
                <w:noProof/>
                <w:szCs w:val="20"/>
                <w:lang w:val="en-IE"/>
              </w:rPr>
              <w:t xml:space="preserve">the </w:t>
            </w:r>
            <w:r w:rsidR="004E2A95" w:rsidRPr="00B82693">
              <w:rPr>
                <w:rFonts w:cs="Times New Roman"/>
                <w:noProof/>
                <w:szCs w:val="20"/>
                <w:lang w:val="en-IE"/>
              </w:rPr>
              <w:t>administrative burden</w:t>
            </w:r>
            <w:r w:rsidR="004E2A95" w:rsidRPr="000F57DD">
              <w:rPr>
                <w:rFonts w:cs="Times New Roman"/>
                <w:noProof/>
                <w:szCs w:val="20"/>
                <w:lang w:val="en-IE"/>
              </w:rPr>
              <w:t xml:space="preserve"> </w:t>
            </w:r>
            <w:r w:rsidR="004E2A95" w:rsidRPr="00B82693">
              <w:rPr>
                <w:rFonts w:cs="Times New Roman"/>
                <w:noProof/>
                <w:szCs w:val="20"/>
                <w:lang w:val="en-IE"/>
              </w:rPr>
              <w:t>related to setting up</w:t>
            </w:r>
            <w:r w:rsidR="004E2A95" w:rsidRPr="000F57DD">
              <w:rPr>
                <w:rFonts w:cs="Times New Roman"/>
                <w:noProof/>
                <w:szCs w:val="20"/>
                <w:lang w:val="en-IE"/>
              </w:rPr>
              <w:t xml:space="preserve"> as</w:t>
            </w:r>
            <w:r w:rsidR="004E2A95">
              <w:rPr>
                <w:rFonts w:cs="Times New Roman"/>
                <w:noProof/>
                <w:szCs w:val="20"/>
                <w:lang w:val="en-IE"/>
              </w:rPr>
              <w:t xml:space="preserve"> </w:t>
            </w:r>
            <w:r w:rsidR="007B7742" w:rsidRPr="00D20173">
              <w:rPr>
                <w:rFonts w:cs="Times New Roman"/>
                <w:noProof/>
                <w:szCs w:val="20"/>
                <w:lang w:val="en-IE"/>
              </w:rPr>
              <w:t xml:space="preserve">being </w:t>
            </w:r>
            <w:r w:rsidR="00CF5FA3" w:rsidRPr="00D20173">
              <w:rPr>
                <w:rFonts w:cs="Times New Roman"/>
                <w:noProof/>
                <w:szCs w:val="20"/>
                <w:lang w:val="en-IE"/>
              </w:rPr>
              <w:t>high or very high.</w:t>
            </w:r>
            <w:r w:rsidR="00A90434">
              <w:rPr>
                <w:rFonts w:eastAsia="Times New Roman" w:cs="Times New Roman"/>
                <w:noProof/>
                <w:szCs w:val="20"/>
              </w:rPr>
              <w:t xml:space="preserve"> By providing a </w:t>
            </w:r>
            <w:r w:rsidR="00A90434" w:rsidRPr="00595358">
              <w:rPr>
                <w:rFonts w:eastAsia="Times New Roman" w:cs="Times New Roman"/>
                <w:noProof/>
                <w:szCs w:val="20"/>
              </w:rPr>
              <w:t>single interface with harmonised registration form and instrument of constitution/articles of association (template)</w:t>
            </w:r>
            <w:r w:rsidR="00A90434">
              <w:rPr>
                <w:rFonts w:eastAsia="Times New Roman" w:cs="Times New Roman"/>
                <w:noProof/>
                <w:szCs w:val="20"/>
              </w:rPr>
              <w:t xml:space="preserve"> for setting up the 28</w:t>
            </w:r>
            <w:r w:rsidR="00A90434" w:rsidRPr="00A91DFD">
              <w:rPr>
                <w:rFonts w:eastAsia="Times New Roman" w:cs="Times New Roman"/>
                <w:noProof/>
                <w:szCs w:val="20"/>
                <w:vertAlign w:val="superscript"/>
              </w:rPr>
              <w:t>th</w:t>
            </w:r>
            <w:r w:rsidR="00A90434">
              <w:rPr>
                <w:rFonts w:eastAsia="Times New Roman" w:cs="Times New Roman"/>
                <w:noProof/>
                <w:szCs w:val="20"/>
              </w:rPr>
              <w:t xml:space="preserve"> regime companies, these policy options would strongly reduce the administrative burden for companies</w:t>
            </w:r>
            <w:r w:rsidR="00FD2820">
              <w:rPr>
                <w:rFonts w:eastAsia="Times New Roman" w:cs="Times New Roman"/>
                <w:noProof/>
                <w:szCs w:val="20"/>
              </w:rPr>
              <w:t xml:space="preserve"> as founders would not need to </w:t>
            </w:r>
            <w:r w:rsidR="000364B7">
              <w:rPr>
                <w:rFonts w:eastAsia="Times New Roman" w:cs="Times New Roman"/>
                <w:noProof/>
                <w:szCs w:val="20"/>
              </w:rPr>
              <w:t xml:space="preserve">check different requirements and use different interfaces and templates in each </w:t>
            </w:r>
            <w:r w:rsidR="000364B7">
              <w:rPr>
                <w:bCs/>
                <w:noProof/>
                <w:szCs w:val="20"/>
              </w:rPr>
              <w:t>Member State where they want to register the company</w:t>
            </w:r>
            <w:r w:rsidR="00A90434">
              <w:rPr>
                <w:rFonts w:eastAsia="Times New Roman" w:cs="Times New Roman"/>
                <w:noProof/>
                <w:szCs w:val="20"/>
              </w:rPr>
              <w:t xml:space="preserve">. </w:t>
            </w:r>
            <w:r w:rsidR="000D689E">
              <w:rPr>
                <w:rFonts w:cs="Times New Roman"/>
                <w:noProof/>
                <w:szCs w:val="20"/>
                <w:lang w:val="en-IE"/>
              </w:rPr>
              <w:t xml:space="preserve">The </w:t>
            </w:r>
            <w:r w:rsidR="00A90434">
              <w:rPr>
                <w:rFonts w:cs="Times New Roman"/>
                <w:noProof/>
                <w:szCs w:val="20"/>
                <w:lang w:val="en-IE"/>
              </w:rPr>
              <w:t>workshop</w:t>
            </w:r>
            <w:r w:rsidR="000D689E">
              <w:rPr>
                <w:rFonts w:cs="Times New Roman"/>
                <w:noProof/>
                <w:szCs w:val="20"/>
                <w:lang w:val="en-IE"/>
              </w:rPr>
              <w:t xml:space="preserve"> participants considered that the introduction of single access point </w:t>
            </w:r>
            <w:r w:rsidR="0038298E">
              <w:rPr>
                <w:rFonts w:cs="Times New Roman"/>
                <w:noProof/>
                <w:szCs w:val="20"/>
                <w:lang w:val="en-IE"/>
              </w:rPr>
              <w:t xml:space="preserve">with a </w:t>
            </w:r>
            <w:r w:rsidR="00A73C03">
              <w:rPr>
                <w:rFonts w:cs="Times New Roman"/>
                <w:noProof/>
                <w:szCs w:val="20"/>
                <w:lang w:val="en-IE"/>
              </w:rPr>
              <w:t>standardized</w:t>
            </w:r>
            <w:r w:rsidR="0038298E">
              <w:rPr>
                <w:rFonts w:cs="Times New Roman"/>
                <w:noProof/>
                <w:szCs w:val="20"/>
                <w:lang w:val="en-IE"/>
              </w:rPr>
              <w:t xml:space="preserve"> template </w:t>
            </w:r>
            <w:r w:rsidR="00A73C03">
              <w:rPr>
                <w:rFonts w:cs="Times New Roman"/>
                <w:noProof/>
                <w:szCs w:val="20"/>
                <w:lang w:val="en-IE"/>
              </w:rPr>
              <w:t xml:space="preserve">would reduce the time by </w:t>
            </w:r>
            <w:r w:rsidR="00207B7B">
              <w:rPr>
                <w:rFonts w:cs="Times New Roman"/>
                <w:noProof/>
                <w:szCs w:val="20"/>
                <w:lang w:val="en-IE"/>
              </w:rPr>
              <w:t>more than 80% (score 5.3</w:t>
            </w:r>
            <w:r w:rsidR="00514D73">
              <w:rPr>
                <w:rFonts w:cs="Times New Roman"/>
                <w:noProof/>
                <w:szCs w:val="20"/>
                <w:lang w:val="en-IE"/>
              </w:rPr>
              <w:t xml:space="preserve"> on a scale of </w:t>
            </w:r>
            <w:r w:rsidR="000C7BB6">
              <w:rPr>
                <w:rFonts w:cs="Times New Roman"/>
                <w:noProof/>
                <w:szCs w:val="20"/>
                <w:lang w:val="en-IE"/>
              </w:rPr>
              <w:t xml:space="preserve">1-6). </w:t>
            </w:r>
            <w:r w:rsidR="00882F94">
              <w:rPr>
                <w:rFonts w:cs="Times New Roman"/>
                <w:noProof/>
                <w:szCs w:val="20"/>
                <w:lang w:val="en-IE"/>
              </w:rPr>
              <w:t>They also estimated that this would lower lawyer and other professional adviser costs by almost 80% (score 4.8).</w:t>
            </w:r>
            <w:r w:rsidR="00A90434">
              <w:rPr>
                <w:rFonts w:cs="Times New Roman"/>
                <w:noProof/>
                <w:szCs w:val="20"/>
                <w:lang w:val="en-IE"/>
              </w:rPr>
              <w:t xml:space="preserve"> </w:t>
            </w:r>
          </w:p>
          <w:p w14:paraId="545E9647" w14:textId="77777777" w:rsidR="003D1C53" w:rsidRDefault="00AB2CCF" w:rsidP="006171EF">
            <w:pPr>
              <w:spacing w:after="0"/>
              <w:jc w:val="both"/>
              <w:rPr>
                <w:rFonts w:cs="Times New Roman"/>
                <w:noProof/>
                <w:szCs w:val="20"/>
                <w:lang w:val="en-IE"/>
              </w:rPr>
            </w:pPr>
            <w:r>
              <w:rPr>
                <w:rFonts w:cs="Times New Roman"/>
                <w:noProof/>
                <w:szCs w:val="20"/>
                <w:lang w:val="en-IE"/>
              </w:rPr>
              <w:t xml:space="preserve">The </w:t>
            </w:r>
            <w:r w:rsidR="00955482">
              <w:rPr>
                <w:rFonts w:cs="Times New Roman"/>
                <w:noProof/>
                <w:szCs w:val="20"/>
                <w:lang w:val="en-IE"/>
              </w:rPr>
              <w:t>options 2b and 2c are</w:t>
            </w:r>
            <w:r w:rsidR="00895B64">
              <w:rPr>
                <w:rFonts w:cs="Times New Roman"/>
                <w:noProof/>
                <w:szCs w:val="20"/>
                <w:lang w:val="en-IE"/>
              </w:rPr>
              <w:t xml:space="preserve"> most efficient in </w:t>
            </w:r>
            <w:r w:rsidR="000364B7">
              <w:rPr>
                <w:rFonts w:cs="Times New Roman"/>
                <w:noProof/>
                <w:szCs w:val="20"/>
                <w:lang w:val="en-IE"/>
              </w:rPr>
              <w:t xml:space="preserve">reducing administrative burden as the cost of registration and time involved are capped at </w:t>
            </w:r>
            <w:r w:rsidR="00063CA9">
              <w:rPr>
                <w:rFonts w:cs="Times New Roman"/>
                <w:noProof/>
                <w:szCs w:val="20"/>
                <w:lang w:val="en-IE"/>
              </w:rPr>
              <w:t xml:space="preserve">48 hours and 100 EUR. </w:t>
            </w:r>
          </w:p>
          <w:p w14:paraId="26959CA4" w14:textId="5F7DDAFF" w:rsidR="001351EB" w:rsidRPr="00D20173" w:rsidRDefault="001351EB" w:rsidP="006171EF">
            <w:pPr>
              <w:spacing w:after="0"/>
              <w:jc w:val="both"/>
              <w:rPr>
                <w:rFonts w:cs="Times New Roman"/>
                <w:noProof/>
                <w:szCs w:val="20"/>
                <w:lang w:val="en-IE"/>
              </w:rPr>
            </w:pPr>
          </w:p>
        </w:tc>
      </w:tr>
      <w:tr w:rsidR="00DF5E69" w:rsidRPr="00DC6DD8" w14:paraId="60F6A73C" w14:textId="77777777" w:rsidTr="6F00936E">
        <w:tc>
          <w:tcPr>
            <w:tcW w:w="2122" w:type="dxa"/>
            <w:vAlign w:val="center"/>
          </w:tcPr>
          <w:p w14:paraId="244E4BAE" w14:textId="77777777" w:rsidR="00DF5E69" w:rsidRPr="00154739" w:rsidRDefault="00DF5E69" w:rsidP="00DF5E69">
            <w:pPr>
              <w:rPr>
                <w:b/>
                <w:noProof/>
                <w:szCs w:val="20"/>
              </w:rPr>
            </w:pPr>
            <w:r w:rsidRPr="00154739">
              <w:rPr>
                <w:b/>
                <w:noProof/>
                <w:szCs w:val="20"/>
              </w:rPr>
              <w:t>Administrative and adjustment costs</w:t>
            </w:r>
          </w:p>
        </w:tc>
        <w:tc>
          <w:tcPr>
            <w:tcW w:w="1508" w:type="dxa"/>
          </w:tcPr>
          <w:p w14:paraId="6ABA29BA" w14:textId="51BBAFAB" w:rsidR="00DF5E69" w:rsidRPr="00170FBB" w:rsidRDefault="00DF5E69" w:rsidP="00DF5E69">
            <w:pPr>
              <w:rPr>
                <w:noProof/>
                <w:sz w:val="18"/>
                <w:szCs w:val="18"/>
              </w:rPr>
            </w:pPr>
            <w:r w:rsidRPr="00170FBB">
              <w:rPr>
                <w:noProof/>
                <w:sz w:val="18"/>
                <w:szCs w:val="18"/>
              </w:rPr>
              <w:t xml:space="preserve"> </w:t>
            </w:r>
            <w:r w:rsidR="00817A39">
              <w:rPr>
                <w:noProof/>
                <w:sz w:val="18"/>
                <w:szCs w:val="18"/>
              </w:rPr>
              <w:t>S</w:t>
            </w:r>
            <w:r w:rsidRPr="00170FBB">
              <w:rPr>
                <w:noProof/>
                <w:sz w:val="18"/>
                <w:szCs w:val="18"/>
              </w:rPr>
              <w:t>core 0-5</w:t>
            </w:r>
          </w:p>
        </w:tc>
        <w:tc>
          <w:tcPr>
            <w:tcW w:w="1042" w:type="dxa"/>
          </w:tcPr>
          <w:p w14:paraId="02DFA468" w14:textId="3A3B54C6" w:rsidR="00DF5E69" w:rsidRDefault="00200E8A" w:rsidP="004E3735">
            <w:pPr>
              <w:jc w:val="center"/>
              <w:rPr>
                <w:noProof/>
                <w:szCs w:val="20"/>
              </w:rPr>
            </w:pPr>
            <w:r>
              <w:rPr>
                <w:noProof/>
                <w:szCs w:val="20"/>
              </w:rPr>
              <w:t>0</w:t>
            </w:r>
          </w:p>
        </w:tc>
        <w:tc>
          <w:tcPr>
            <w:tcW w:w="996" w:type="dxa"/>
          </w:tcPr>
          <w:p w14:paraId="58B2E978" w14:textId="34B3A43D" w:rsidR="00DF5E69" w:rsidRDefault="00200E8A" w:rsidP="006F219E">
            <w:pPr>
              <w:jc w:val="center"/>
              <w:rPr>
                <w:noProof/>
                <w:szCs w:val="20"/>
              </w:rPr>
            </w:pPr>
            <w:r>
              <w:rPr>
                <w:noProof/>
                <w:szCs w:val="20"/>
              </w:rPr>
              <w:t>0</w:t>
            </w:r>
          </w:p>
        </w:tc>
        <w:tc>
          <w:tcPr>
            <w:tcW w:w="994" w:type="dxa"/>
          </w:tcPr>
          <w:p w14:paraId="62B38992" w14:textId="1CA62353" w:rsidR="00DF5E69" w:rsidRDefault="00200E8A" w:rsidP="005F650A">
            <w:pPr>
              <w:jc w:val="center"/>
              <w:rPr>
                <w:noProof/>
                <w:szCs w:val="20"/>
              </w:rPr>
            </w:pPr>
            <w:r>
              <w:rPr>
                <w:noProof/>
                <w:szCs w:val="20"/>
              </w:rPr>
              <w:t>0</w:t>
            </w:r>
          </w:p>
        </w:tc>
        <w:tc>
          <w:tcPr>
            <w:tcW w:w="7508" w:type="dxa"/>
          </w:tcPr>
          <w:p w14:paraId="1CB182E1" w14:textId="78CB2882" w:rsidR="00450B71" w:rsidRPr="00A51729" w:rsidRDefault="00F517CD" w:rsidP="0039775E">
            <w:pPr>
              <w:jc w:val="both"/>
              <w:rPr>
                <w:noProof/>
                <w:szCs w:val="20"/>
              </w:rPr>
            </w:pPr>
            <w:r w:rsidRPr="00A51729">
              <w:rPr>
                <w:noProof/>
                <w:szCs w:val="20"/>
              </w:rPr>
              <w:t>The</w:t>
            </w:r>
            <w:r w:rsidR="003B6AD5" w:rsidRPr="00A51729">
              <w:rPr>
                <w:noProof/>
                <w:szCs w:val="20"/>
              </w:rPr>
              <w:t xml:space="preserve">se options do not entail any </w:t>
            </w:r>
            <w:r w:rsidR="00C77E65" w:rsidRPr="00A51729">
              <w:rPr>
                <w:noProof/>
                <w:szCs w:val="20"/>
              </w:rPr>
              <w:t xml:space="preserve">administrative or adjustment costs </w:t>
            </w:r>
            <w:r w:rsidR="00A73F92">
              <w:rPr>
                <w:noProof/>
                <w:szCs w:val="20"/>
              </w:rPr>
              <w:t xml:space="preserve">as they </w:t>
            </w:r>
            <w:r w:rsidR="00384503">
              <w:rPr>
                <w:noProof/>
                <w:szCs w:val="20"/>
              </w:rPr>
              <w:t>c</w:t>
            </w:r>
            <w:r w:rsidR="008453E8">
              <w:rPr>
                <w:noProof/>
                <w:szCs w:val="20"/>
              </w:rPr>
              <w:t>over</w:t>
            </w:r>
            <w:r w:rsidR="00C77E65" w:rsidRPr="00A51729">
              <w:rPr>
                <w:noProof/>
                <w:szCs w:val="20"/>
              </w:rPr>
              <w:t xml:space="preserve"> setting up </w:t>
            </w:r>
            <w:r w:rsidR="008453E8">
              <w:rPr>
                <w:noProof/>
                <w:szCs w:val="20"/>
              </w:rPr>
              <w:t xml:space="preserve">of </w:t>
            </w:r>
            <w:r w:rsidR="00C77E65" w:rsidRPr="00A51729">
              <w:rPr>
                <w:noProof/>
                <w:szCs w:val="20"/>
              </w:rPr>
              <w:t xml:space="preserve">a new </w:t>
            </w:r>
            <w:r w:rsidR="008453E8">
              <w:rPr>
                <w:noProof/>
                <w:szCs w:val="20"/>
              </w:rPr>
              <w:t xml:space="preserve">and optional </w:t>
            </w:r>
            <w:r w:rsidR="00C77E65" w:rsidRPr="00A51729">
              <w:rPr>
                <w:noProof/>
                <w:szCs w:val="20"/>
              </w:rPr>
              <w:t>company</w:t>
            </w:r>
            <w:r w:rsidR="008453E8">
              <w:rPr>
                <w:noProof/>
                <w:szCs w:val="20"/>
              </w:rPr>
              <w:t xml:space="preserve"> legal form</w:t>
            </w:r>
            <w:r w:rsidR="00CB19A3">
              <w:rPr>
                <w:noProof/>
                <w:szCs w:val="20"/>
              </w:rPr>
              <w:t xml:space="preserve"> and therefore, do not impose any changes on founders</w:t>
            </w:r>
            <w:r w:rsidR="00384503">
              <w:rPr>
                <w:noProof/>
                <w:szCs w:val="20"/>
              </w:rPr>
              <w:t xml:space="preserve"> (natural persons)</w:t>
            </w:r>
            <w:r w:rsidR="00C77E65" w:rsidRPr="00A51729">
              <w:rPr>
                <w:noProof/>
                <w:szCs w:val="20"/>
              </w:rPr>
              <w:t xml:space="preserve">. </w:t>
            </w:r>
            <w:r w:rsidR="00450B71">
              <w:rPr>
                <w:noProof/>
                <w:szCs w:val="20"/>
              </w:rPr>
              <w:t xml:space="preserve">The </w:t>
            </w:r>
            <w:r w:rsidR="00A45662">
              <w:rPr>
                <w:noProof/>
                <w:szCs w:val="20"/>
              </w:rPr>
              <w:t>centralised</w:t>
            </w:r>
            <w:r w:rsidR="00450B71">
              <w:rPr>
                <w:noProof/>
                <w:szCs w:val="20"/>
              </w:rPr>
              <w:t xml:space="preserve"> registration system would not </w:t>
            </w:r>
            <w:r w:rsidR="00A45662">
              <w:rPr>
                <w:noProof/>
                <w:szCs w:val="20"/>
              </w:rPr>
              <w:t>apply to domestic conversions (under</w:t>
            </w:r>
            <w:r w:rsidR="0039775E">
              <w:rPr>
                <w:noProof/>
                <w:szCs w:val="20"/>
              </w:rPr>
              <w:t xml:space="preserve"> option </w:t>
            </w:r>
            <w:r w:rsidR="00B9351E">
              <w:rPr>
                <w:noProof/>
                <w:szCs w:val="20"/>
              </w:rPr>
              <w:t>1</w:t>
            </w:r>
            <w:r w:rsidR="0039775E">
              <w:rPr>
                <w:noProof/>
                <w:szCs w:val="20"/>
              </w:rPr>
              <w:t>b) nor to setting up 28</w:t>
            </w:r>
            <w:r w:rsidR="0039775E" w:rsidRPr="0039775E">
              <w:rPr>
                <w:noProof/>
                <w:szCs w:val="20"/>
                <w:vertAlign w:val="superscript"/>
              </w:rPr>
              <w:t>th</w:t>
            </w:r>
            <w:r w:rsidR="0039775E">
              <w:rPr>
                <w:noProof/>
                <w:szCs w:val="20"/>
              </w:rPr>
              <w:t xml:space="preserve"> regime company through cross-border conversions, divisions or mergers (under option </w:t>
            </w:r>
            <w:r w:rsidR="00B9351E">
              <w:rPr>
                <w:noProof/>
                <w:szCs w:val="20"/>
              </w:rPr>
              <w:t>1</w:t>
            </w:r>
            <w:r w:rsidR="0039775E">
              <w:rPr>
                <w:noProof/>
                <w:szCs w:val="20"/>
              </w:rPr>
              <w:t>c)</w:t>
            </w:r>
            <w:r w:rsidR="00DF7277">
              <w:rPr>
                <w:noProof/>
                <w:szCs w:val="20"/>
              </w:rPr>
              <w:t xml:space="preserve"> as these </w:t>
            </w:r>
            <w:r w:rsidR="00435C14">
              <w:rPr>
                <w:noProof/>
                <w:szCs w:val="20"/>
              </w:rPr>
              <w:t>require specific procedures and rules</w:t>
            </w:r>
            <w:r w:rsidR="00775078">
              <w:rPr>
                <w:noProof/>
                <w:szCs w:val="20"/>
              </w:rPr>
              <w:t xml:space="preserve"> and c</w:t>
            </w:r>
            <w:r w:rsidR="006E33EF">
              <w:rPr>
                <w:noProof/>
                <w:szCs w:val="20"/>
              </w:rPr>
              <w:t>annot</w:t>
            </w:r>
            <w:r w:rsidR="00775078">
              <w:rPr>
                <w:noProof/>
                <w:szCs w:val="20"/>
              </w:rPr>
              <w:t xml:space="preserve"> be done with a simple standardised template;</w:t>
            </w:r>
            <w:r w:rsidR="00435C14">
              <w:rPr>
                <w:noProof/>
                <w:szCs w:val="20"/>
              </w:rPr>
              <w:t xml:space="preserve"> the cross-border conversions, divisions and mergers are regulated by Directive (EU) 2019/2021.</w:t>
            </w:r>
          </w:p>
        </w:tc>
      </w:tr>
      <w:tr w:rsidR="00DF5E69" w:rsidRPr="00DC6DD8" w14:paraId="07EC0B1C" w14:textId="77777777" w:rsidTr="6F00936E">
        <w:tc>
          <w:tcPr>
            <w:tcW w:w="14170" w:type="dxa"/>
            <w:gridSpan w:val="6"/>
            <w:shd w:val="clear" w:color="auto" w:fill="92D050"/>
            <w:vAlign w:val="center"/>
          </w:tcPr>
          <w:p w14:paraId="717A9D28" w14:textId="77777777" w:rsidR="00DF5E69" w:rsidRPr="00DC6DD8" w:rsidRDefault="00DF5E69" w:rsidP="00DF5E69">
            <w:pPr>
              <w:rPr>
                <w:b/>
                <w:noProof/>
                <w:szCs w:val="20"/>
              </w:rPr>
            </w:pPr>
            <w:r w:rsidRPr="00D345EC">
              <w:rPr>
                <w:b/>
                <w:noProof/>
                <w:sz w:val="24"/>
                <w:szCs w:val="24"/>
              </w:rPr>
              <w:t>Public authorities</w:t>
            </w:r>
          </w:p>
        </w:tc>
      </w:tr>
      <w:tr w:rsidR="00DF5E69" w:rsidRPr="00DC6DD8" w14:paraId="0271395F" w14:textId="77777777" w:rsidTr="6F00936E">
        <w:tc>
          <w:tcPr>
            <w:tcW w:w="2122" w:type="dxa"/>
          </w:tcPr>
          <w:p w14:paraId="0572E327" w14:textId="77777777" w:rsidR="00DF5E69" w:rsidRPr="0074616C" w:rsidRDefault="00DF5E69" w:rsidP="00DF5E69">
            <w:pPr>
              <w:rPr>
                <w:b/>
                <w:noProof/>
                <w:szCs w:val="20"/>
              </w:rPr>
            </w:pPr>
            <w:r>
              <w:rPr>
                <w:b/>
                <w:noProof/>
                <w:szCs w:val="20"/>
              </w:rPr>
              <w:t>Costs</w:t>
            </w:r>
          </w:p>
        </w:tc>
        <w:tc>
          <w:tcPr>
            <w:tcW w:w="1508" w:type="dxa"/>
          </w:tcPr>
          <w:p w14:paraId="23810891" w14:textId="77777777" w:rsidR="00DF5E69" w:rsidRPr="00170FBB" w:rsidRDefault="00DF5E69" w:rsidP="00DF5E69">
            <w:pPr>
              <w:rPr>
                <w:noProof/>
                <w:sz w:val="18"/>
                <w:szCs w:val="18"/>
              </w:rPr>
            </w:pPr>
            <w:r w:rsidRPr="00170FBB">
              <w:rPr>
                <w:noProof/>
                <w:sz w:val="18"/>
                <w:szCs w:val="18"/>
              </w:rPr>
              <w:t>Score 0-5</w:t>
            </w:r>
          </w:p>
        </w:tc>
        <w:tc>
          <w:tcPr>
            <w:tcW w:w="1042" w:type="dxa"/>
          </w:tcPr>
          <w:p w14:paraId="516EC878" w14:textId="4783E859" w:rsidR="00DF5E69" w:rsidRDefault="00491984" w:rsidP="00491984">
            <w:pPr>
              <w:jc w:val="center"/>
              <w:rPr>
                <w:noProof/>
                <w:szCs w:val="20"/>
              </w:rPr>
            </w:pPr>
            <w:r>
              <w:rPr>
                <w:noProof/>
                <w:szCs w:val="20"/>
              </w:rPr>
              <w:t>2</w:t>
            </w:r>
          </w:p>
          <w:p w14:paraId="51375ED1" w14:textId="77777777" w:rsidR="00A41C6F" w:rsidRPr="006E0298" w:rsidRDefault="00A41C6F" w:rsidP="00491984">
            <w:pPr>
              <w:jc w:val="center"/>
              <w:rPr>
                <w:noProof/>
                <w:sz w:val="18"/>
                <w:szCs w:val="18"/>
              </w:rPr>
            </w:pPr>
          </w:p>
          <w:p w14:paraId="653B685D" w14:textId="700CC9B2" w:rsidR="00A41C6F" w:rsidRPr="006E0298" w:rsidRDefault="00A41C6F" w:rsidP="00491984">
            <w:pPr>
              <w:jc w:val="center"/>
              <w:rPr>
                <w:noProof/>
                <w:sz w:val="18"/>
                <w:szCs w:val="18"/>
              </w:rPr>
            </w:pPr>
            <w:r w:rsidRPr="006E0298">
              <w:rPr>
                <w:noProof/>
                <w:sz w:val="18"/>
                <w:szCs w:val="18"/>
              </w:rPr>
              <w:t>2.7 million IT develop ment cost (100.00 0 per MS) (one-off cos</w:t>
            </w:r>
            <w:r w:rsidR="00AB014D" w:rsidRPr="00F652AF">
              <w:rPr>
                <w:noProof/>
                <w:sz w:val="18"/>
                <w:szCs w:val="18"/>
              </w:rPr>
              <w:t>t</w:t>
            </w:r>
            <w:r w:rsidRPr="006E0298">
              <w:rPr>
                <w:noProof/>
                <w:sz w:val="18"/>
                <w:szCs w:val="18"/>
              </w:rPr>
              <w:t xml:space="preserve">) </w:t>
            </w:r>
          </w:p>
          <w:p w14:paraId="28325B66" w14:textId="794BC857" w:rsidR="00A41C6F" w:rsidRPr="0029649C" w:rsidRDefault="00A41C6F" w:rsidP="00491984">
            <w:pPr>
              <w:jc w:val="center"/>
              <w:rPr>
                <w:noProof/>
                <w:szCs w:val="20"/>
              </w:rPr>
            </w:pPr>
          </w:p>
        </w:tc>
        <w:tc>
          <w:tcPr>
            <w:tcW w:w="996" w:type="dxa"/>
          </w:tcPr>
          <w:p w14:paraId="0AD37EF0" w14:textId="20950BC9" w:rsidR="00DF5E69" w:rsidRDefault="00491984" w:rsidP="00491984">
            <w:pPr>
              <w:jc w:val="center"/>
              <w:rPr>
                <w:noProof/>
                <w:szCs w:val="20"/>
              </w:rPr>
            </w:pPr>
            <w:r>
              <w:rPr>
                <w:noProof/>
                <w:szCs w:val="20"/>
              </w:rPr>
              <w:t>3</w:t>
            </w:r>
          </w:p>
          <w:p w14:paraId="51C59E7B" w14:textId="77777777" w:rsidR="00013B57" w:rsidRDefault="00013B57" w:rsidP="00491984">
            <w:pPr>
              <w:jc w:val="center"/>
              <w:rPr>
                <w:noProof/>
                <w:szCs w:val="20"/>
              </w:rPr>
            </w:pPr>
          </w:p>
          <w:p w14:paraId="25BA68B2" w14:textId="77777777" w:rsidR="003316F3" w:rsidRDefault="00013B57" w:rsidP="00013B57">
            <w:pPr>
              <w:jc w:val="center"/>
              <w:rPr>
                <w:noProof/>
                <w:sz w:val="18"/>
                <w:szCs w:val="18"/>
              </w:rPr>
            </w:pPr>
            <w:r w:rsidRPr="00C15976">
              <w:rPr>
                <w:noProof/>
                <w:sz w:val="18"/>
                <w:szCs w:val="18"/>
              </w:rPr>
              <w:t>2.7 million IT develop ment cost (100.00 0 per MS) (one-off cos</w:t>
            </w:r>
            <w:r w:rsidR="00AB014D">
              <w:rPr>
                <w:noProof/>
                <w:sz w:val="18"/>
                <w:szCs w:val="18"/>
              </w:rPr>
              <w:t>t</w:t>
            </w:r>
            <w:r w:rsidRPr="00C15976">
              <w:rPr>
                <w:noProof/>
                <w:sz w:val="18"/>
                <w:szCs w:val="18"/>
              </w:rPr>
              <w:t>)</w:t>
            </w:r>
          </w:p>
          <w:p w14:paraId="2EE91ECA" w14:textId="384DED53" w:rsidR="00D52F68" w:rsidRPr="001F68A4" w:rsidRDefault="00AA39DD" w:rsidP="001F68A4">
            <w:pPr>
              <w:spacing w:before="0" w:after="0"/>
              <w:jc w:val="center"/>
              <w:rPr>
                <w:noProof/>
                <w:sz w:val="18"/>
                <w:szCs w:val="18"/>
              </w:rPr>
            </w:pPr>
            <w:r>
              <w:rPr>
                <w:noProof/>
                <w:sz w:val="18"/>
                <w:szCs w:val="18"/>
              </w:rPr>
              <w:t>900.000</w:t>
            </w:r>
            <w:r w:rsidR="00094014">
              <w:rPr>
                <w:noProof/>
                <w:sz w:val="18"/>
                <w:szCs w:val="18"/>
              </w:rPr>
              <w:t xml:space="preserve"> </w:t>
            </w:r>
            <w:r w:rsidR="00013B57" w:rsidRPr="00C15976">
              <w:rPr>
                <w:noProof/>
                <w:sz w:val="18"/>
                <w:szCs w:val="18"/>
              </w:rPr>
              <w:t xml:space="preserve"> </w:t>
            </w:r>
            <w:r w:rsidR="00094014" w:rsidRPr="00C15976">
              <w:rPr>
                <w:noProof/>
                <w:sz w:val="18"/>
                <w:szCs w:val="18"/>
              </w:rPr>
              <w:t>IT develop ment cost (</w:t>
            </w:r>
            <w:r w:rsidR="00A44280">
              <w:rPr>
                <w:noProof/>
                <w:sz w:val="18"/>
                <w:szCs w:val="18"/>
              </w:rPr>
              <w:t>5</w:t>
            </w:r>
            <w:r w:rsidR="00094014" w:rsidRPr="00C15976">
              <w:rPr>
                <w:noProof/>
                <w:sz w:val="18"/>
                <w:szCs w:val="18"/>
              </w:rPr>
              <w:t xml:space="preserve">0.00  per </w:t>
            </w:r>
            <w:r>
              <w:rPr>
                <w:noProof/>
                <w:sz w:val="18"/>
                <w:szCs w:val="18"/>
              </w:rPr>
              <w:t xml:space="preserve">18 </w:t>
            </w:r>
            <w:r w:rsidR="00094014">
              <w:rPr>
                <w:noProof/>
                <w:sz w:val="18"/>
                <w:szCs w:val="18"/>
              </w:rPr>
              <w:t xml:space="preserve">notarial </w:t>
            </w:r>
            <w:r w:rsidR="00094014" w:rsidRPr="00C15976">
              <w:rPr>
                <w:noProof/>
                <w:sz w:val="18"/>
                <w:szCs w:val="18"/>
              </w:rPr>
              <w:t xml:space="preserve">MS) </w:t>
            </w:r>
            <w:r w:rsidR="008B76B5">
              <w:rPr>
                <w:noProof/>
                <w:sz w:val="18"/>
                <w:szCs w:val="18"/>
              </w:rPr>
              <w:t>(</w:t>
            </w:r>
            <w:r w:rsidR="00172F7A">
              <w:rPr>
                <w:noProof/>
                <w:sz w:val="18"/>
                <w:szCs w:val="18"/>
              </w:rPr>
              <w:t>o</w:t>
            </w:r>
            <w:r w:rsidR="00094014" w:rsidRPr="00C15976">
              <w:rPr>
                <w:noProof/>
                <w:sz w:val="18"/>
                <w:szCs w:val="18"/>
              </w:rPr>
              <w:t>ne-off cos</w:t>
            </w:r>
            <w:r w:rsidR="00094014">
              <w:rPr>
                <w:noProof/>
                <w:sz w:val="18"/>
                <w:szCs w:val="18"/>
              </w:rPr>
              <w:t>t</w:t>
            </w:r>
            <w:r w:rsidR="00094014" w:rsidRPr="00C15976">
              <w:rPr>
                <w:noProof/>
                <w:sz w:val="18"/>
                <w:szCs w:val="18"/>
              </w:rPr>
              <w:t>)</w:t>
            </w:r>
          </w:p>
        </w:tc>
        <w:tc>
          <w:tcPr>
            <w:tcW w:w="994" w:type="dxa"/>
          </w:tcPr>
          <w:p w14:paraId="687B420A" w14:textId="6FC4AE95" w:rsidR="00DF5E69" w:rsidRDefault="00BF1FDA" w:rsidP="006E6498">
            <w:pPr>
              <w:jc w:val="center"/>
              <w:rPr>
                <w:noProof/>
                <w:szCs w:val="20"/>
              </w:rPr>
            </w:pPr>
            <w:r>
              <w:rPr>
                <w:noProof/>
                <w:szCs w:val="20"/>
              </w:rPr>
              <w:t>4</w:t>
            </w:r>
          </w:p>
          <w:p w14:paraId="393C0320" w14:textId="77777777" w:rsidR="00013B57" w:rsidRDefault="00013B57" w:rsidP="00DF5E69">
            <w:pPr>
              <w:rPr>
                <w:noProof/>
                <w:szCs w:val="20"/>
              </w:rPr>
            </w:pPr>
          </w:p>
          <w:p w14:paraId="64AB8ADC" w14:textId="458291E4" w:rsidR="00013B57" w:rsidRPr="00C15976" w:rsidRDefault="00013B57" w:rsidP="00013B57">
            <w:pPr>
              <w:jc w:val="center"/>
              <w:rPr>
                <w:noProof/>
                <w:sz w:val="18"/>
                <w:szCs w:val="18"/>
              </w:rPr>
            </w:pPr>
            <w:r w:rsidRPr="00C15976">
              <w:rPr>
                <w:noProof/>
                <w:sz w:val="18"/>
                <w:szCs w:val="18"/>
              </w:rPr>
              <w:t>2.7 million IT develop ment cost (100.00 0 per MS) (one-off co</w:t>
            </w:r>
            <w:r w:rsidR="00AB014D">
              <w:rPr>
                <w:noProof/>
                <w:sz w:val="18"/>
                <w:szCs w:val="18"/>
              </w:rPr>
              <w:t>st</w:t>
            </w:r>
            <w:r w:rsidRPr="00C15976">
              <w:rPr>
                <w:noProof/>
                <w:sz w:val="18"/>
                <w:szCs w:val="18"/>
              </w:rPr>
              <w:t xml:space="preserve">) </w:t>
            </w:r>
          </w:p>
          <w:p w14:paraId="44AE38D7" w14:textId="73A2922C" w:rsidR="00094014" w:rsidRDefault="00AA39DD" w:rsidP="006E0298">
            <w:pPr>
              <w:spacing w:before="0" w:after="0"/>
              <w:jc w:val="center"/>
              <w:rPr>
                <w:noProof/>
                <w:sz w:val="18"/>
                <w:szCs w:val="18"/>
              </w:rPr>
            </w:pPr>
            <w:r>
              <w:rPr>
                <w:noProof/>
                <w:sz w:val="18"/>
                <w:szCs w:val="18"/>
              </w:rPr>
              <w:t>900.000</w:t>
            </w:r>
            <w:r w:rsidR="00094014" w:rsidRPr="00C15976">
              <w:rPr>
                <w:noProof/>
                <w:sz w:val="18"/>
                <w:szCs w:val="18"/>
              </w:rPr>
              <w:t xml:space="preserve"> IT develop ment cost (</w:t>
            </w:r>
            <w:r w:rsidR="00A44280">
              <w:rPr>
                <w:noProof/>
                <w:sz w:val="18"/>
                <w:szCs w:val="18"/>
              </w:rPr>
              <w:t>5</w:t>
            </w:r>
            <w:r w:rsidR="00094014" w:rsidRPr="00C15976">
              <w:rPr>
                <w:noProof/>
                <w:sz w:val="18"/>
                <w:szCs w:val="18"/>
              </w:rPr>
              <w:t xml:space="preserve">0.00 0 per </w:t>
            </w:r>
            <w:r>
              <w:rPr>
                <w:noProof/>
                <w:sz w:val="18"/>
                <w:szCs w:val="18"/>
              </w:rPr>
              <w:t xml:space="preserve">18 </w:t>
            </w:r>
            <w:r w:rsidR="00094014" w:rsidRPr="00C15976">
              <w:rPr>
                <w:noProof/>
                <w:sz w:val="18"/>
                <w:szCs w:val="18"/>
              </w:rPr>
              <w:t>MS) (one-off cos</w:t>
            </w:r>
            <w:r w:rsidR="00094014">
              <w:rPr>
                <w:noProof/>
                <w:sz w:val="18"/>
                <w:szCs w:val="18"/>
              </w:rPr>
              <w:t>t</w:t>
            </w:r>
            <w:r w:rsidR="00094014" w:rsidRPr="00C15976">
              <w:rPr>
                <w:noProof/>
                <w:sz w:val="18"/>
                <w:szCs w:val="18"/>
              </w:rPr>
              <w:t>)</w:t>
            </w:r>
          </w:p>
          <w:p w14:paraId="404EF0D7" w14:textId="1291DA4F" w:rsidR="00013B57" w:rsidRPr="0029649C" w:rsidDel="00073540" w:rsidRDefault="00013B57" w:rsidP="006E6498">
            <w:pPr>
              <w:spacing w:before="0"/>
              <w:rPr>
                <w:noProof/>
                <w:szCs w:val="20"/>
              </w:rPr>
            </w:pPr>
            <w:r w:rsidRPr="00C15976">
              <w:rPr>
                <w:noProof/>
                <w:sz w:val="18"/>
                <w:szCs w:val="18"/>
              </w:rPr>
              <w:t xml:space="preserve"> </w:t>
            </w:r>
          </w:p>
        </w:tc>
        <w:tc>
          <w:tcPr>
            <w:tcW w:w="7508" w:type="dxa"/>
          </w:tcPr>
          <w:p w14:paraId="009F2EA0" w14:textId="4741D0F4" w:rsidR="008162A0" w:rsidRDefault="007C5D8F" w:rsidP="008162A0">
            <w:pPr>
              <w:jc w:val="both"/>
              <w:rPr>
                <w:bCs/>
                <w:noProof/>
                <w:szCs w:val="20"/>
              </w:rPr>
            </w:pPr>
            <w:r>
              <w:rPr>
                <w:noProof/>
                <w:szCs w:val="20"/>
              </w:rPr>
              <w:t>To im</w:t>
            </w:r>
            <w:r w:rsidR="003D2B0D">
              <w:rPr>
                <w:noProof/>
                <w:szCs w:val="20"/>
              </w:rPr>
              <w:t xml:space="preserve">plement these options, </w:t>
            </w:r>
            <w:r w:rsidR="00E61487">
              <w:rPr>
                <w:noProof/>
                <w:szCs w:val="20"/>
              </w:rPr>
              <w:t xml:space="preserve">as all </w:t>
            </w:r>
            <w:r w:rsidR="00023B1D">
              <w:rPr>
                <w:noProof/>
                <w:szCs w:val="20"/>
              </w:rPr>
              <w:t xml:space="preserve">Member States </w:t>
            </w:r>
            <w:r w:rsidR="00E61487">
              <w:rPr>
                <w:noProof/>
              </w:rPr>
              <w:t>have already developed the interconnection of their national business registers to BRIS, they</w:t>
            </w:r>
            <w:r w:rsidR="00E61487">
              <w:rPr>
                <w:noProof/>
                <w:szCs w:val="20"/>
              </w:rPr>
              <w:t xml:space="preserve"> </w:t>
            </w:r>
            <w:r w:rsidR="00023B1D">
              <w:rPr>
                <w:noProof/>
                <w:szCs w:val="20"/>
              </w:rPr>
              <w:t xml:space="preserve">would </w:t>
            </w:r>
            <w:r w:rsidR="00E61487">
              <w:rPr>
                <w:noProof/>
                <w:szCs w:val="20"/>
              </w:rPr>
              <w:t xml:space="preserve">only </w:t>
            </w:r>
            <w:r w:rsidR="00023B1D">
              <w:rPr>
                <w:noProof/>
                <w:szCs w:val="20"/>
              </w:rPr>
              <w:t xml:space="preserve">need to </w:t>
            </w:r>
            <w:r w:rsidR="00023B1D">
              <w:rPr>
                <w:noProof/>
              </w:rPr>
              <w:t xml:space="preserve">develop the new software needed to receive the company registration data from </w:t>
            </w:r>
            <w:r w:rsidR="003D0A36">
              <w:rPr>
                <w:noProof/>
              </w:rPr>
              <w:t xml:space="preserve">the single interface through </w:t>
            </w:r>
            <w:r w:rsidR="00023B1D">
              <w:rPr>
                <w:noProof/>
              </w:rPr>
              <w:t>BRIS</w:t>
            </w:r>
            <w:r w:rsidR="003D0A36">
              <w:rPr>
                <w:noProof/>
              </w:rPr>
              <w:t>.</w:t>
            </w:r>
            <w:r w:rsidR="00023B1D">
              <w:rPr>
                <w:noProof/>
                <w:szCs w:val="20"/>
              </w:rPr>
              <w:t xml:space="preserve"> </w:t>
            </w:r>
            <w:r w:rsidR="008162A0">
              <w:rPr>
                <w:rStyle w:val="FootnoteReference"/>
                <w:noProof/>
              </w:rPr>
              <w:footnoteReference w:id="35"/>
            </w:r>
            <w:r w:rsidR="008162A0" w:rsidRPr="008B1199">
              <w:rPr>
                <w:noProof/>
              </w:rPr>
              <w:t>.</w:t>
            </w:r>
            <w:r w:rsidR="008162A0" w:rsidRPr="5CBCE07D">
              <w:rPr>
                <w:noProof/>
              </w:rPr>
              <w:t xml:space="preserve"> </w:t>
            </w:r>
            <w:r w:rsidR="008162A0">
              <w:rPr>
                <w:noProof/>
              </w:rPr>
              <w:t xml:space="preserve">Based on </w:t>
            </w:r>
            <w:r w:rsidR="00BF7E01" w:rsidRPr="5CBCE07D">
              <w:rPr>
                <w:noProof/>
              </w:rPr>
              <w:t>the assumptions taken in the 2023 impact assessment for Directive (EU) 2025/25 on the upgrading of digital company law</w:t>
            </w:r>
            <w:r w:rsidR="00BF7E01">
              <w:rPr>
                <w:noProof/>
              </w:rPr>
              <w:t xml:space="preserve">, it is estimated that </w:t>
            </w:r>
            <w:r w:rsidR="007474E0">
              <w:rPr>
                <w:noProof/>
              </w:rPr>
              <w:t xml:space="preserve">all </w:t>
            </w:r>
            <w:r w:rsidR="00DE35EE" w:rsidRPr="00DE35EE">
              <w:rPr>
                <w:noProof/>
              </w:rPr>
              <w:t>option</w:t>
            </w:r>
            <w:r w:rsidR="00DE35EE">
              <w:rPr>
                <w:noProof/>
              </w:rPr>
              <w:t>s</w:t>
            </w:r>
            <w:r w:rsidR="00DE35EE" w:rsidRPr="00DE35EE">
              <w:rPr>
                <w:noProof/>
              </w:rPr>
              <w:t xml:space="preserve"> </w:t>
            </w:r>
            <w:r w:rsidR="007474E0">
              <w:rPr>
                <w:noProof/>
              </w:rPr>
              <w:t xml:space="preserve">would </w:t>
            </w:r>
            <w:r w:rsidR="00DE35EE" w:rsidRPr="00DE35EE">
              <w:rPr>
                <w:noProof/>
              </w:rPr>
              <w:t xml:space="preserve">incur average cost of </w:t>
            </w:r>
            <w:r w:rsidR="00EE0F9B">
              <w:rPr>
                <w:noProof/>
              </w:rPr>
              <w:t>EUR </w:t>
            </w:r>
            <w:r w:rsidR="00DE35EE" w:rsidRPr="00DE35EE">
              <w:rPr>
                <w:noProof/>
              </w:rPr>
              <w:t>2.7 million to business registers</w:t>
            </w:r>
            <w:r w:rsidR="008162A0">
              <w:rPr>
                <w:bCs/>
                <w:noProof/>
                <w:szCs w:val="20"/>
              </w:rPr>
              <w:t>.</w:t>
            </w:r>
          </w:p>
          <w:p w14:paraId="693FB9B5" w14:textId="12237A7A" w:rsidR="007E7A9C" w:rsidRDefault="00496948" w:rsidP="002E050B">
            <w:pPr>
              <w:tabs>
                <w:tab w:val="left" w:pos="170"/>
              </w:tabs>
              <w:jc w:val="both"/>
              <w:rPr>
                <w:noProof/>
              </w:rPr>
            </w:pPr>
            <w:r>
              <w:rPr>
                <w:noProof/>
                <w:szCs w:val="20"/>
              </w:rPr>
              <w:t>Under option 2b, t</w:t>
            </w:r>
            <w:r w:rsidR="009A6DCA">
              <w:rPr>
                <w:noProof/>
                <w:szCs w:val="20"/>
              </w:rPr>
              <w:t xml:space="preserve">hose </w:t>
            </w:r>
            <w:r w:rsidR="001E7C49">
              <w:rPr>
                <w:noProof/>
                <w:szCs w:val="20"/>
              </w:rPr>
              <w:t>Member S</w:t>
            </w:r>
            <w:r w:rsidR="003669F1">
              <w:rPr>
                <w:noProof/>
                <w:szCs w:val="20"/>
              </w:rPr>
              <w:t>t</w:t>
            </w:r>
            <w:r w:rsidR="001E7C49">
              <w:rPr>
                <w:noProof/>
                <w:szCs w:val="20"/>
              </w:rPr>
              <w:t>ates</w:t>
            </w:r>
            <w:r w:rsidR="009A6DCA">
              <w:rPr>
                <w:noProof/>
                <w:szCs w:val="20"/>
              </w:rPr>
              <w:t xml:space="preserve"> where preventive control is carried out by </w:t>
            </w:r>
            <w:r w:rsidR="00D678E3">
              <w:rPr>
                <w:noProof/>
                <w:szCs w:val="20"/>
              </w:rPr>
              <w:t>other authorities tha</w:t>
            </w:r>
            <w:r w:rsidR="002F5F66">
              <w:rPr>
                <w:noProof/>
                <w:szCs w:val="20"/>
              </w:rPr>
              <w:t>n</w:t>
            </w:r>
            <w:r w:rsidR="00D678E3">
              <w:rPr>
                <w:noProof/>
                <w:szCs w:val="20"/>
              </w:rPr>
              <w:t xml:space="preserve"> business re</w:t>
            </w:r>
            <w:r w:rsidR="00F358AD">
              <w:rPr>
                <w:noProof/>
                <w:szCs w:val="20"/>
              </w:rPr>
              <w:t>gisters,</w:t>
            </w:r>
            <w:r w:rsidR="001E7C49">
              <w:rPr>
                <w:noProof/>
                <w:szCs w:val="20"/>
              </w:rPr>
              <w:t xml:space="preserve"> </w:t>
            </w:r>
            <w:r w:rsidR="003A5A52">
              <w:rPr>
                <w:noProof/>
                <w:szCs w:val="20"/>
              </w:rPr>
              <w:t>would</w:t>
            </w:r>
            <w:r w:rsidR="001E7C49">
              <w:rPr>
                <w:noProof/>
                <w:szCs w:val="20"/>
              </w:rPr>
              <w:t xml:space="preserve"> need to ensure technical solutions</w:t>
            </w:r>
            <w:r w:rsidR="002C0DFD">
              <w:rPr>
                <w:noProof/>
                <w:szCs w:val="20"/>
              </w:rPr>
              <w:t>,</w:t>
            </w:r>
            <w:r w:rsidR="001E7C49">
              <w:rPr>
                <w:noProof/>
                <w:szCs w:val="20"/>
              </w:rPr>
              <w:t xml:space="preserve"> </w:t>
            </w:r>
            <w:r w:rsidR="002C0DFD">
              <w:rPr>
                <w:noProof/>
                <w:szCs w:val="20"/>
              </w:rPr>
              <w:t xml:space="preserve">or adapt the existing ones, </w:t>
            </w:r>
            <w:r w:rsidR="00F526D8">
              <w:rPr>
                <w:noProof/>
                <w:szCs w:val="20"/>
              </w:rPr>
              <w:t xml:space="preserve">to </w:t>
            </w:r>
            <w:r w:rsidR="00796C48">
              <w:rPr>
                <w:noProof/>
                <w:szCs w:val="20"/>
              </w:rPr>
              <w:t>connect</w:t>
            </w:r>
            <w:r w:rsidR="00F526D8">
              <w:rPr>
                <w:noProof/>
                <w:szCs w:val="20"/>
              </w:rPr>
              <w:t xml:space="preserve"> </w:t>
            </w:r>
            <w:r w:rsidR="0091643E">
              <w:rPr>
                <w:noProof/>
                <w:szCs w:val="20"/>
              </w:rPr>
              <w:t xml:space="preserve">the authorities </w:t>
            </w:r>
            <w:r w:rsidR="00796C48">
              <w:rPr>
                <w:noProof/>
                <w:szCs w:val="20"/>
              </w:rPr>
              <w:t>or</w:t>
            </w:r>
            <w:r w:rsidR="00C808A4">
              <w:rPr>
                <w:noProof/>
                <w:szCs w:val="20"/>
              </w:rPr>
              <w:t xml:space="preserve"> bodies</w:t>
            </w:r>
            <w:r w:rsidR="00536AEE">
              <w:rPr>
                <w:noProof/>
                <w:szCs w:val="20"/>
              </w:rPr>
              <w:t xml:space="preserve"> (notaries)</w:t>
            </w:r>
            <w:r w:rsidR="00C808A4">
              <w:rPr>
                <w:noProof/>
                <w:szCs w:val="20"/>
              </w:rPr>
              <w:t xml:space="preserve"> </w:t>
            </w:r>
            <w:r w:rsidR="00796C48">
              <w:rPr>
                <w:noProof/>
                <w:szCs w:val="20"/>
              </w:rPr>
              <w:t xml:space="preserve">involved in preventive control </w:t>
            </w:r>
            <w:r w:rsidR="00C808A4">
              <w:rPr>
                <w:noProof/>
                <w:szCs w:val="20"/>
              </w:rPr>
              <w:t xml:space="preserve">to the </w:t>
            </w:r>
            <w:r w:rsidR="00874CD3">
              <w:rPr>
                <w:noProof/>
                <w:szCs w:val="20"/>
              </w:rPr>
              <w:t xml:space="preserve">business registers. </w:t>
            </w:r>
            <w:r w:rsidR="005969A3">
              <w:rPr>
                <w:noProof/>
              </w:rPr>
              <w:t>I</w:t>
            </w:r>
            <w:r w:rsidR="004042F3">
              <w:rPr>
                <w:noProof/>
              </w:rPr>
              <w:t>t is estimated</w:t>
            </w:r>
            <w:r w:rsidR="004042F3">
              <w:rPr>
                <w:bCs/>
                <w:noProof/>
                <w:szCs w:val="20"/>
              </w:rPr>
              <w:t xml:space="preserve"> that the cost of </w:t>
            </w:r>
            <w:r w:rsidR="004042F3">
              <w:rPr>
                <w:noProof/>
              </w:rPr>
              <w:t>connecting the IT system of the authority performing preventive checks (e.g. the national notarial IT system to the single registration system</w:t>
            </w:r>
            <w:r w:rsidR="002011C1">
              <w:rPr>
                <w:noProof/>
              </w:rPr>
              <w:t xml:space="preserve"> under </w:t>
            </w:r>
            <w:r w:rsidR="008001C1">
              <w:rPr>
                <w:noProof/>
              </w:rPr>
              <w:t>PO2b or the IT system of authorities which took over from notaries under PO2c</w:t>
            </w:r>
            <w:r w:rsidR="004042F3">
              <w:rPr>
                <w:noProof/>
              </w:rPr>
              <w:t>)</w:t>
            </w:r>
            <w:r w:rsidR="004042F3" w:rsidRPr="0011224B">
              <w:rPr>
                <w:noProof/>
              </w:rPr>
              <w:t xml:space="preserve"> </w:t>
            </w:r>
            <w:r w:rsidR="004042F3">
              <w:rPr>
                <w:noProof/>
              </w:rPr>
              <w:t xml:space="preserve">amounts to </w:t>
            </w:r>
            <w:r w:rsidR="0025434D">
              <w:rPr>
                <w:noProof/>
              </w:rPr>
              <w:t xml:space="preserve">average </w:t>
            </w:r>
            <w:r w:rsidR="00EE0F9B" w:rsidRPr="5CBCE07D">
              <w:rPr>
                <w:noProof/>
              </w:rPr>
              <w:t xml:space="preserve">EUR </w:t>
            </w:r>
            <w:r w:rsidR="0025434D">
              <w:rPr>
                <w:noProof/>
              </w:rPr>
              <w:t>5</w:t>
            </w:r>
            <w:r w:rsidR="004042F3" w:rsidRPr="5CBCE07D">
              <w:rPr>
                <w:noProof/>
              </w:rPr>
              <w:t>0</w:t>
            </w:r>
            <w:r w:rsidR="00EE0F9B">
              <w:rPr>
                <w:noProof/>
              </w:rPr>
              <w:t> </w:t>
            </w:r>
            <w:r w:rsidR="004042F3" w:rsidRPr="5CBCE07D">
              <w:rPr>
                <w:noProof/>
              </w:rPr>
              <w:t xml:space="preserve">000 per </w:t>
            </w:r>
            <w:r w:rsidR="004042F3">
              <w:rPr>
                <w:noProof/>
              </w:rPr>
              <w:t xml:space="preserve">affected </w:t>
            </w:r>
            <w:r w:rsidR="004042F3" w:rsidRPr="5CBCE07D">
              <w:rPr>
                <w:noProof/>
              </w:rPr>
              <w:t>Member State</w:t>
            </w:r>
            <w:r w:rsidR="00496993">
              <w:rPr>
                <w:noProof/>
              </w:rPr>
              <w:t xml:space="preserve">. </w:t>
            </w:r>
            <w:r w:rsidR="00714168">
              <w:rPr>
                <w:noProof/>
              </w:rPr>
              <w:t xml:space="preserve"> </w:t>
            </w:r>
          </w:p>
          <w:p w14:paraId="28E735BF" w14:textId="5BCE189F" w:rsidR="005674A0" w:rsidRDefault="007E7A9C" w:rsidP="002E050B">
            <w:pPr>
              <w:tabs>
                <w:tab w:val="left" w:pos="170"/>
              </w:tabs>
              <w:jc w:val="both"/>
              <w:rPr>
                <w:noProof/>
              </w:rPr>
            </w:pPr>
            <w:r>
              <w:rPr>
                <w:noProof/>
              </w:rPr>
              <w:t xml:space="preserve">In addition, the </w:t>
            </w:r>
            <w:r w:rsidRPr="004A5915">
              <w:rPr>
                <w:noProof/>
              </w:rPr>
              <w:t xml:space="preserve">cost ceiling of </w:t>
            </w:r>
            <w:r w:rsidR="005C2D4C" w:rsidRPr="004A5915">
              <w:rPr>
                <w:noProof/>
              </w:rPr>
              <w:t>EUR</w:t>
            </w:r>
            <w:r w:rsidR="005C2D4C">
              <w:rPr>
                <w:noProof/>
              </w:rPr>
              <w:t> </w:t>
            </w:r>
            <w:r w:rsidRPr="004A5915">
              <w:rPr>
                <w:noProof/>
              </w:rPr>
              <w:t>100 to complete the registration</w:t>
            </w:r>
            <w:r w:rsidRPr="00903D33">
              <w:rPr>
                <w:noProof/>
              </w:rPr>
              <w:t xml:space="preserve"> </w:t>
            </w:r>
            <w:r w:rsidRPr="004A5915">
              <w:rPr>
                <w:noProof/>
              </w:rPr>
              <w:t xml:space="preserve">when </w:t>
            </w:r>
            <w:r>
              <w:rPr>
                <w:noProof/>
              </w:rPr>
              <w:t xml:space="preserve">using a </w:t>
            </w:r>
            <w:r w:rsidRPr="004A5915">
              <w:rPr>
                <w:noProof/>
              </w:rPr>
              <w:t>standardised template</w:t>
            </w:r>
            <w:r>
              <w:rPr>
                <w:noProof/>
              </w:rPr>
              <w:t xml:space="preserve"> under PO2b and 2c would entail reduced </w:t>
            </w:r>
            <w:r w:rsidRPr="00CA7529">
              <w:rPr>
                <w:noProof/>
              </w:rPr>
              <w:t>revenue for business registers and other authorities involved in the registration, including preventive control</w:t>
            </w:r>
            <w:r>
              <w:rPr>
                <w:noProof/>
              </w:rPr>
              <w:t xml:space="preserve">. Such reduced revenue </w:t>
            </w:r>
            <w:r w:rsidRPr="00DB7418">
              <w:rPr>
                <w:noProof/>
              </w:rPr>
              <w:t xml:space="preserve">is largely attributable to </w:t>
            </w:r>
            <w:r>
              <w:rPr>
                <w:noProof/>
              </w:rPr>
              <w:t xml:space="preserve">net increase </w:t>
            </w:r>
            <w:r w:rsidRPr="00DB7418">
              <w:rPr>
                <w:noProof/>
              </w:rPr>
              <w:t>companies</w:t>
            </w:r>
            <w:r>
              <w:rPr>
                <w:noProof/>
              </w:rPr>
              <w:t>, i.e. companies</w:t>
            </w:r>
            <w:r w:rsidRPr="00DB7418">
              <w:rPr>
                <w:noProof/>
              </w:rPr>
              <w:t xml:space="preserve"> that would not have been created </w:t>
            </w:r>
            <w:r>
              <w:rPr>
                <w:noProof/>
              </w:rPr>
              <w:t xml:space="preserve">in absence of a </w:t>
            </w:r>
            <w:r w:rsidRPr="00DB7418">
              <w:rPr>
                <w:noProof/>
              </w:rPr>
              <w:t>28</w:t>
            </w:r>
            <w:r w:rsidRPr="00CE1E7C">
              <w:rPr>
                <w:noProof/>
                <w:vertAlign w:val="superscript"/>
              </w:rPr>
              <w:t>th</w:t>
            </w:r>
            <w:r w:rsidRPr="00DB7418">
              <w:rPr>
                <w:noProof/>
              </w:rPr>
              <w:t xml:space="preserve"> regime, hence suggesting that the </w:t>
            </w:r>
            <w:r>
              <w:rPr>
                <w:noProof/>
              </w:rPr>
              <w:t xml:space="preserve">company </w:t>
            </w:r>
            <w:r w:rsidRPr="00DB7418">
              <w:rPr>
                <w:noProof/>
              </w:rPr>
              <w:t xml:space="preserve">registrations facilitated by </w:t>
            </w:r>
            <w:r>
              <w:rPr>
                <w:noProof/>
              </w:rPr>
              <w:t xml:space="preserve">the </w:t>
            </w:r>
            <w:r w:rsidRPr="00DB7418">
              <w:rPr>
                <w:noProof/>
              </w:rPr>
              <w:t>regime would likely offset</w:t>
            </w:r>
            <w:r>
              <w:rPr>
                <w:noProof/>
              </w:rPr>
              <w:t>, at least to some degree,</w:t>
            </w:r>
            <w:r w:rsidRPr="00DB7418">
              <w:rPr>
                <w:noProof/>
              </w:rPr>
              <w:t xml:space="preserve"> the lost revenue through increased economic activity, job creation, and subsequent tax contributions</w:t>
            </w:r>
            <w:r>
              <w:rPr>
                <w:noProof/>
              </w:rPr>
              <w:t xml:space="preserve">. </w:t>
            </w:r>
          </w:p>
          <w:p w14:paraId="2F7A508F" w14:textId="7698E4F7" w:rsidR="00DF5E69" w:rsidRPr="00EE4F9D" w:rsidRDefault="007E7A9C" w:rsidP="002E050B">
            <w:pPr>
              <w:tabs>
                <w:tab w:val="left" w:pos="170"/>
              </w:tabs>
              <w:jc w:val="both"/>
              <w:rPr>
                <w:noProof/>
              </w:rPr>
            </w:pPr>
            <w:r>
              <w:rPr>
                <w:noProof/>
              </w:rPr>
              <w:t xml:space="preserve">PO2c would </w:t>
            </w:r>
            <w:r w:rsidR="00A3784F">
              <w:rPr>
                <w:noProof/>
              </w:rPr>
              <w:t>also</w:t>
            </w:r>
            <w:r>
              <w:rPr>
                <w:noProof/>
              </w:rPr>
              <w:t xml:space="preserve"> result in additional costs as </w:t>
            </w:r>
            <w:r w:rsidRPr="0031508F">
              <w:rPr>
                <w:noProof/>
                <w:szCs w:val="20"/>
              </w:rPr>
              <w:t>the responsibility for preventive control currently carried out by notaries</w:t>
            </w:r>
            <w:r>
              <w:rPr>
                <w:noProof/>
              </w:rPr>
              <w:t xml:space="preserve"> </w:t>
            </w:r>
            <w:r w:rsidRPr="00ED392F">
              <w:rPr>
                <w:noProof/>
              </w:rPr>
              <w:t xml:space="preserve">would need to be </w:t>
            </w:r>
            <w:r>
              <w:rPr>
                <w:noProof/>
              </w:rPr>
              <w:t xml:space="preserve">taken over by other authorities, impacting the legal systems of those Member States and leading to </w:t>
            </w:r>
            <w:r w:rsidRPr="0031508F">
              <w:rPr>
                <w:noProof/>
                <w:szCs w:val="20"/>
              </w:rPr>
              <w:t>adjustment costs</w:t>
            </w:r>
            <w:r>
              <w:rPr>
                <w:noProof/>
              </w:rPr>
              <w:t xml:space="preserve">. </w:t>
            </w:r>
            <w:r w:rsidR="00F452C2">
              <w:rPr>
                <w:noProof/>
              </w:rPr>
              <w:t>By contrast, l</w:t>
            </w:r>
            <w:r w:rsidR="003333AF">
              <w:rPr>
                <w:noProof/>
              </w:rPr>
              <w:t>oss</w:t>
            </w:r>
            <w:r w:rsidR="00F452C2">
              <w:rPr>
                <w:noProof/>
              </w:rPr>
              <w:t>es</w:t>
            </w:r>
            <w:r>
              <w:rPr>
                <w:noProof/>
              </w:rPr>
              <w:t xml:space="preserve"> of </w:t>
            </w:r>
            <w:r w:rsidR="003333AF">
              <w:rPr>
                <w:noProof/>
              </w:rPr>
              <w:t xml:space="preserve">notarial </w:t>
            </w:r>
            <w:r w:rsidR="00874167">
              <w:rPr>
                <w:noProof/>
              </w:rPr>
              <w:t>revenues</w:t>
            </w:r>
            <w:r w:rsidR="00F452C2">
              <w:rPr>
                <w:noProof/>
              </w:rPr>
              <w:t xml:space="preserve"> </w:t>
            </w:r>
            <w:r>
              <w:rPr>
                <w:noProof/>
              </w:rPr>
              <w:t xml:space="preserve">in Member States </w:t>
            </w:r>
            <w:r w:rsidR="00874167">
              <w:rPr>
                <w:noProof/>
              </w:rPr>
              <w:t>with notarial systems</w:t>
            </w:r>
            <w:r>
              <w:rPr>
                <w:noProof/>
              </w:rPr>
              <w:t xml:space="preserve"> are </w:t>
            </w:r>
            <w:r w:rsidR="00874167">
              <w:rPr>
                <w:noProof/>
              </w:rPr>
              <w:t>not</w:t>
            </w:r>
            <w:r w:rsidR="003F23CA">
              <w:rPr>
                <w:noProof/>
              </w:rPr>
              <w:t xml:space="preserve"> treated as economic costs</w:t>
            </w:r>
            <w:r w:rsidR="00F452C2">
              <w:rPr>
                <w:noProof/>
              </w:rPr>
              <w:t xml:space="preserve"> </w:t>
            </w:r>
            <w:r w:rsidR="006E5D32">
              <w:rPr>
                <w:noProof/>
              </w:rPr>
              <w:t>impact</w:t>
            </w:r>
            <w:r w:rsidR="003F23CA">
              <w:rPr>
                <w:noProof/>
              </w:rPr>
              <w:t>ing</w:t>
            </w:r>
            <w:r w:rsidR="006E5D32">
              <w:rPr>
                <w:noProof/>
              </w:rPr>
              <w:t xml:space="preserve"> the score of PO2c as the</w:t>
            </w:r>
            <w:r w:rsidR="00874167">
              <w:rPr>
                <w:noProof/>
              </w:rPr>
              <w:t>se revenues would</w:t>
            </w:r>
            <w:r w:rsidR="006C6B93">
              <w:rPr>
                <w:noProof/>
              </w:rPr>
              <w:t xml:space="preserve"> be transferred to other public authorities carrying out preventive controls</w:t>
            </w:r>
            <w:r w:rsidR="00EE4F9D">
              <w:rPr>
                <w:noProof/>
              </w:rPr>
              <w:t xml:space="preserve"> instead of notaries under this option</w:t>
            </w:r>
            <w:r w:rsidR="006C6B93">
              <w:rPr>
                <w:noProof/>
              </w:rPr>
              <w:t>.</w:t>
            </w:r>
            <w:r w:rsidR="006E5D32">
              <w:rPr>
                <w:noProof/>
              </w:rPr>
              <w:t xml:space="preserve"> </w:t>
            </w:r>
          </w:p>
        </w:tc>
      </w:tr>
      <w:tr w:rsidR="00DF5E69" w:rsidRPr="00DC6DD8" w14:paraId="31A60EAF" w14:textId="77777777" w:rsidTr="6F00936E">
        <w:tc>
          <w:tcPr>
            <w:tcW w:w="2122" w:type="dxa"/>
          </w:tcPr>
          <w:p w14:paraId="4CB2A68F" w14:textId="77777777" w:rsidR="00DF5E69" w:rsidRDefault="00DF5E69" w:rsidP="00DF5E69">
            <w:pPr>
              <w:rPr>
                <w:b/>
                <w:noProof/>
                <w:szCs w:val="20"/>
              </w:rPr>
            </w:pPr>
            <w:r>
              <w:rPr>
                <w:b/>
                <w:noProof/>
                <w:szCs w:val="20"/>
              </w:rPr>
              <w:t>Benefits</w:t>
            </w:r>
          </w:p>
        </w:tc>
        <w:tc>
          <w:tcPr>
            <w:tcW w:w="1508" w:type="dxa"/>
          </w:tcPr>
          <w:p w14:paraId="7CACACDD" w14:textId="77777777" w:rsidR="00DF5E69" w:rsidRPr="00170FBB" w:rsidRDefault="00DF5E69" w:rsidP="00DF5E69">
            <w:pPr>
              <w:rPr>
                <w:noProof/>
                <w:sz w:val="18"/>
                <w:szCs w:val="18"/>
              </w:rPr>
            </w:pPr>
            <w:r w:rsidRPr="00170FBB">
              <w:rPr>
                <w:noProof/>
                <w:sz w:val="18"/>
                <w:szCs w:val="18"/>
              </w:rPr>
              <w:t>Score 0-5</w:t>
            </w:r>
          </w:p>
        </w:tc>
        <w:tc>
          <w:tcPr>
            <w:tcW w:w="1042" w:type="dxa"/>
          </w:tcPr>
          <w:p w14:paraId="0770A73B" w14:textId="6A37D536" w:rsidR="00DF5E69" w:rsidRPr="0029649C" w:rsidRDefault="00E95950" w:rsidP="006E6498">
            <w:pPr>
              <w:jc w:val="center"/>
              <w:rPr>
                <w:noProof/>
                <w:szCs w:val="20"/>
              </w:rPr>
            </w:pPr>
            <w:r>
              <w:rPr>
                <w:noProof/>
                <w:szCs w:val="20"/>
              </w:rPr>
              <w:t>1</w:t>
            </w:r>
          </w:p>
        </w:tc>
        <w:tc>
          <w:tcPr>
            <w:tcW w:w="996" w:type="dxa"/>
          </w:tcPr>
          <w:p w14:paraId="07CC292D" w14:textId="04FC2C21" w:rsidR="00DF5E69" w:rsidRPr="0029649C" w:rsidRDefault="00E95950" w:rsidP="006E6498">
            <w:pPr>
              <w:jc w:val="center"/>
              <w:rPr>
                <w:noProof/>
                <w:szCs w:val="20"/>
              </w:rPr>
            </w:pPr>
            <w:r>
              <w:rPr>
                <w:noProof/>
                <w:szCs w:val="20"/>
              </w:rPr>
              <w:t>1</w:t>
            </w:r>
          </w:p>
        </w:tc>
        <w:tc>
          <w:tcPr>
            <w:tcW w:w="994" w:type="dxa"/>
          </w:tcPr>
          <w:p w14:paraId="3E54534D" w14:textId="102B5358" w:rsidR="00DF5E69" w:rsidRPr="0029649C" w:rsidDel="00073540" w:rsidRDefault="00E95950" w:rsidP="006E6498">
            <w:pPr>
              <w:jc w:val="center"/>
              <w:rPr>
                <w:noProof/>
                <w:szCs w:val="20"/>
              </w:rPr>
            </w:pPr>
            <w:r>
              <w:rPr>
                <w:noProof/>
                <w:szCs w:val="20"/>
              </w:rPr>
              <w:t>1</w:t>
            </w:r>
          </w:p>
        </w:tc>
        <w:tc>
          <w:tcPr>
            <w:tcW w:w="7508" w:type="dxa"/>
          </w:tcPr>
          <w:p w14:paraId="440C9467" w14:textId="4C2D9693" w:rsidR="00DF5E69" w:rsidRPr="00BD6A00" w:rsidRDefault="000F47FA" w:rsidP="00BD6A00">
            <w:pPr>
              <w:tabs>
                <w:tab w:val="left" w:pos="170"/>
              </w:tabs>
              <w:spacing w:after="0"/>
              <w:jc w:val="both"/>
              <w:rPr>
                <w:noProof/>
                <w:szCs w:val="20"/>
                <w:lang w:val="en-US"/>
              </w:rPr>
            </w:pPr>
            <w:r>
              <w:rPr>
                <w:rFonts w:eastAsia="Courier New"/>
                <w:noProof/>
                <w:szCs w:val="24"/>
              </w:rPr>
              <w:t xml:space="preserve">Introducing </w:t>
            </w:r>
            <w:r w:rsidR="000B13C8" w:rsidRPr="002F072B">
              <w:rPr>
                <w:rFonts w:eastAsia="Courier New"/>
                <w:noProof/>
                <w:szCs w:val="24"/>
              </w:rPr>
              <w:t>harmonised bilingual templates</w:t>
            </w:r>
            <w:r w:rsidR="000B13C8">
              <w:rPr>
                <w:bCs/>
                <w:noProof/>
                <w:szCs w:val="20"/>
                <w:lang w:val="en-US"/>
              </w:rPr>
              <w:t xml:space="preserve"> under option 2a</w:t>
            </w:r>
            <w:r w:rsidR="002E04A2">
              <w:rPr>
                <w:bCs/>
                <w:noProof/>
                <w:szCs w:val="20"/>
                <w:lang w:val="en-US"/>
              </w:rPr>
              <w:t xml:space="preserve"> </w:t>
            </w:r>
            <w:r w:rsidR="00970190">
              <w:rPr>
                <w:bCs/>
                <w:noProof/>
                <w:szCs w:val="20"/>
                <w:lang w:val="en-US"/>
              </w:rPr>
              <w:t xml:space="preserve">could make it easier for business registers to </w:t>
            </w:r>
            <w:r w:rsidR="002B6E6B">
              <w:rPr>
                <w:bCs/>
                <w:noProof/>
                <w:szCs w:val="20"/>
                <w:lang w:val="en-US"/>
              </w:rPr>
              <w:t>process the information submitted to register 28</w:t>
            </w:r>
            <w:r w:rsidR="002B6E6B" w:rsidRPr="00BD6A00">
              <w:rPr>
                <w:bCs/>
                <w:noProof/>
                <w:szCs w:val="20"/>
                <w:vertAlign w:val="superscript"/>
                <w:lang w:val="en-US"/>
              </w:rPr>
              <w:t>th</w:t>
            </w:r>
            <w:r w:rsidR="002B6E6B">
              <w:rPr>
                <w:bCs/>
                <w:noProof/>
                <w:szCs w:val="20"/>
                <w:lang w:val="en-US"/>
              </w:rPr>
              <w:t xml:space="preserve"> regime companies.</w:t>
            </w:r>
            <w:r w:rsidR="000B13C8">
              <w:rPr>
                <w:bCs/>
                <w:noProof/>
                <w:szCs w:val="20"/>
                <w:lang w:val="en-US"/>
              </w:rPr>
              <w:t xml:space="preserve"> In addition, u</w:t>
            </w:r>
            <w:r w:rsidR="00CE3363">
              <w:rPr>
                <w:bCs/>
                <w:noProof/>
                <w:szCs w:val="20"/>
                <w:lang w:val="en-US"/>
              </w:rPr>
              <w:t xml:space="preserve">nder option 2c, </w:t>
            </w:r>
            <w:r w:rsidR="00CE3363">
              <w:rPr>
                <w:noProof/>
                <w:szCs w:val="20"/>
                <w:lang w:val="en-US"/>
              </w:rPr>
              <w:t>centralising preventive checks within one administrative or judicial authority could create cost savings for public bodies in those Member States where these checks are currently carried out by a notary and an administrative or judicial authority. However, it is not possible to estimate such savings given that it would be left to the concerned Member States to organize the replacement of notaries in preventive checks.</w:t>
            </w:r>
          </w:p>
        </w:tc>
      </w:tr>
      <w:tr w:rsidR="00DF5E69" w:rsidRPr="00DC6DD8" w14:paraId="46768B9E" w14:textId="77777777" w:rsidTr="6F00936E">
        <w:tc>
          <w:tcPr>
            <w:tcW w:w="14170" w:type="dxa"/>
            <w:gridSpan w:val="6"/>
            <w:shd w:val="clear" w:color="auto" w:fill="92D050"/>
          </w:tcPr>
          <w:p w14:paraId="4A8E0C31" w14:textId="77777777" w:rsidR="00DF5E69" w:rsidRPr="006E78FA" w:rsidRDefault="00DF5E69" w:rsidP="00DF5E69">
            <w:pPr>
              <w:rPr>
                <w:b/>
                <w:bCs/>
                <w:noProof/>
                <w:szCs w:val="20"/>
              </w:rPr>
            </w:pPr>
            <w:r w:rsidRPr="00D345EC">
              <w:rPr>
                <w:b/>
                <w:noProof/>
                <w:sz w:val="24"/>
                <w:szCs w:val="24"/>
              </w:rPr>
              <w:t>Economy and society at large</w:t>
            </w:r>
          </w:p>
        </w:tc>
      </w:tr>
      <w:tr w:rsidR="00DF5E69" w:rsidRPr="00DC6DD8" w14:paraId="66047B36" w14:textId="77777777" w:rsidTr="6F00936E">
        <w:tc>
          <w:tcPr>
            <w:tcW w:w="2122" w:type="dxa"/>
          </w:tcPr>
          <w:p w14:paraId="4CD701BE" w14:textId="77777777" w:rsidR="00DF5E69" w:rsidRPr="0074616C" w:rsidRDefault="00DF5E69" w:rsidP="00DF5E69">
            <w:pPr>
              <w:rPr>
                <w:b/>
                <w:noProof/>
                <w:szCs w:val="20"/>
              </w:rPr>
            </w:pPr>
            <w:r>
              <w:rPr>
                <w:b/>
                <w:noProof/>
                <w:szCs w:val="20"/>
              </w:rPr>
              <w:t>Functioning of the internal market and competitiveness</w:t>
            </w:r>
          </w:p>
        </w:tc>
        <w:tc>
          <w:tcPr>
            <w:tcW w:w="1508" w:type="dxa"/>
          </w:tcPr>
          <w:p w14:paraId="6F6AAB97" w14:textId="77777777" w:rsidR="00DF5E69" w:rsidRPr="00DC6DD8" w:rsidRDefault="00DF5E69" w:rsidP="00DF5E69">
            <w:pPr>
              <w:rPr>
                <w:noProof/>
                <w:szCs w:val="20"/>
              </w:rPr>
            </w:pPr>
            <w:r w:rsidRPr="00170FBB">
              <w:rPr>
                <w:noProof/>
                <w:sz w:val="18"/>
                <w:szCs w:val="18"/>
              </w:rPr>
              <w:t>Score 0-5</w:t>
            </w:r>
          </w:p>
        </w:tc>
        <w:tc>
          <w:tcPr>
            <w:tcW w:w="1042" w:type="dxa"/>
          </w:tcPr>
          <w:p w14:paraId="6A45AA54" w14:textId="3E970038" w:rsidR="00DF5E69" w:rsidRPr="0029649C" w:rsidRDefault="003204B2" w:rsidP="006E6498">
            <w:pPr>
              <w:jc w:val="center"/>
              <w:rPr>
                <w:noProof/>
                <w:szCs w:val="20"/>
              </w:rPr>
            </w:pPr>
            <w:r>
              <w:rPr>
                <w:noProof/>
                <w:szCs w:val="20"/>
              </w:rPr>
              <w:t>2</w:t>
            </w:r>
          </w:p>
        </w:tc>
        <w:tc>
          <w:tcPr>
            <w:tcW w:w="996" w:type="dxa"/>
          </w:tcPr>
          <w:p w14:paraId="0DA436B4" w14:textId="45349C2A" w:rsidR="00DF5E69" w:rsidRPr="0029649C" w:rsidRDefault="003204B2" w:rsidP="006E6498">
            <w:pPr>
              <w:jc w:val="center"/>
              <w:rPr>
                <w:noProof/>
                <w:szCs w:val="20"/>
              </w:rPr>
            </w:pPr>
            <w:r>
              <w:rPr>
                <w:noProof/>
                <w:szCs w:val="20"/>
              </w:rPr>
              <w:t>3</w:t>
            </w:r>
          </w:p>
        </w:tc>
        <w:tc>
          <w:tcPr>
            <w:tcW w:w="994" w:type="dxa"/>
          </w:tcPr>
          <w:p w14:paraId="6FD3573A" w14:textId="2C15EBDE" w:rsidR="00DF5E69" w:rsidRPr="0029649C" w:rsidDel="00073540" w:rsidRDefault="00E03475" w:rsidP="006E6498">
            <w:pPr>
              <w:jc w:val="center"/>
              <w:rPr>
                <w:noProof/>
                <w:szCs w:val="20"/>
              </w:rPr>
            </w:pPr>
            <w:r>
              <w:rPr>
                <w:noProof/>
                <w:szCs w:val="20"/>
              </w:rPr>
              <w:t>3</w:t>
            </w:r>
          </w:p>
        </w:tc>
        <w:tc>
          <w:tcPr>
            <w:tcW w:w="7508" w:type="dxa"/>
          </w:tcPr>
          <w:p w14:paraId="6594902C" w14:textId="122F1DA9" w:rsidR="00DF5E69" w:rsidRDefault="00D5272B" w:rsidP="00595358">
            <w:pPr>
              <w:jc w:val="both"/>
              <w:rPr>
                <w:noProof/>
                <w:szCs w:val="20"/>
              </w:rPr>
            </w:pPr>
            <w:r>
              <w:rPr>
                <w:noProof/>
                <w:szCs w:val="20"/>
              </w:rPr>
              <w:t xml:space="preserve">A centralised registration system would </w:t>
            </w:r>
            <w:r w:rsidR="005B4068">
              <w:rPr>
                <w:noProof/>
                <w:szCs w:val="20"/>
              </w:rPr>
              <w:t xml:space="preserve">directly reduce fragmentation </w:t>
            </w:r>
            <w:r w:rsidR="008F555A">
              <w:rPr>
                <w:noProof/>
                <w:szCs w:val="20"/>
              </w:rPr>
              <w:t xml:space="preserve">in the single market </w:t>
            </w:r>
            <w:r w:rsidR="006F04B2">
              <w:rPr>
                <w:noProof/>
                <w:szCs w:val="20"/>
              </w:rPr>
              <w:t xml:space="preserve">by </w:t>
            </w:r>
            <w:r w:rsidR="002A57D6">
              <w:rPr>
                <w:noProof/>
                <w:szCs w:val="20"/>
              </w:rPr>
              <w:t xml:space="preserve">providing </w:t>
            </w:r>
            <w:r w:rsidR="00D33976">
              <w:rPr>
                <w:noProof/>
                <w:szCs w:val="20"/>
              </w:rPr>
              <w:t>that 28</w:t>
            </w:r>
            <w:r w:rsidR="00D33976" w:rsidRPr="00595358">
              <w:rPr>
                <w:noProof/>
                <w:szCs w:val="20"/>
                <w:vertAlign w:val="superscript"/>
              </w:rPr>
              <w:t>th</w:t>
            </w:r>
            <w:r w:rsidR="00D33976">
              <w:rPr>
                <w:noProof/>
                <w:szCs w:val="20"/>
              </w:rPr>
              <w:t xml:space="preserve"> regime companies could be set through a centralised</w:t>
            </w:r>
            <w:r w:rsidR="002A57D6">
              <w:rPr>
                <w:noProof/>
                <w:szCs w:val="20"/>
              </w:rPr>
              <w:t xml:space="preserve"> EU level syste</w:t>
            </w:r>
            <w:r w:rsidR="009F0F26">
              <w:rPr>
                <w:noProof/>
                <w:szCs w:val="20"/>
              </w:rPr>
              <w:t xml:space="preserve">m </w:t>
            </w:r>
            <w:r w:rsidR="00E87BBB">
              <w:rPr>
                <w:noProof/>
                <w:szCs w:val="20"/>
              </w:rPr>
              <w:t>while</w:t>
            </w:r>
            <w:r w:rsidR="009F0F26">
              <w:rPr>
                <w:noProof/>
                <w:szCs w:val="20"/>
              </w:rPr>
              <w:t xml:space="preserve"> at the same time </w:t>
            </w:r>
            <w:r w:rsidR="00E87BBB">
              <w:rPr>
                <w:noProof/>
                <w:szCs w:val="20"/>
              </w:rPr>
              <w:t xml:space="preserve">fully integrated into Member States’ </w:t>
            </w:r>
            <w:r w:rsidR="00EB207F">
              <w:rPr>
                <w:noProof/>
                <w:szCs w:val="20"/>
              </w:rPr>
              <w:t>systems and regulatory environment.</w:t>
            </w:r>
            <w:r w:rsidR="009F0F26">
              <w:rPr>
                <w:noProof/>
                <w:szCs w:val="20"/>
              </w:rPr>
              <w:t xml:space="preserve"> </w:t>
            </w:r>
          </w:p>
          <w:p w14:paraId="1A3F40A2" w14:textId="3B1384A6" w:rsidR="00A34037" w:rsidRDefault="00A34037" w:rsidP="00595358">
            <w:pPr>
              <w:jc w:val="both"/>
              <w:rPr>
                <w:noProof/>
              </w:rPr>
            </w:pPr>
            <w:r w:rsidRPr="2E375142">
              <w:rPr>
                <w:rFonts w:eastAsia="Times New Roman" w:cs="Times New Roman"/>
                <w:noProof/>
                <w:lang w:val="en-IE"/>
              </w:rPr>
              <w:t xml:space="preserve">The participants to the workshop considered that an EU legal form with an EU brand and a single access point with a standardized/single template would result in more </w:t>
            </w:r>
            <w:r w:rsidR="0A67FC79" w:rsidRPr="2E375142">
              <w:rPr>
                <w:rFonts w:eastAsia="Times New Roman" w:cs="Times New Roman"/>
                <w:noProof/>
                <w:lang w:val="en-IE"/>
              </w:rPr>
              <w:t>s</w:t>
            </w:r>
            <w:r w:rsidR="006996C2" w:rsidRPr="2E375142">
              <w:rPr>
                <w:rFonts w:eastAsia="Times New Roman" w:cs="Times New Roman"/>
                <w:noProof/>
                <w:lang w:val="en-IE"/>
              </w:rPr>
              <w:t>tartup</w:t>
            </w:r>
            <w:r w:rsidR="0A67FC79" w:rsidRPr="2E375142">
              <w:rPr>
                <w:rFonts w:eastAsia="Times New Roman" w:cs="Times New Roman"/>
                <w:noProof/>
                <w:lang w:val="en-IE"/>
              </w:rPr>
              <w:t>s</w:t>
            </w:r>
            <w:r w:rsidRPr="2E375142">
              <w:rPr>
                <w:rFonts w:eastAsia="Times New Roman" w:cs="Times New Roman"/>
                <w:noProof/>
                <w:lang w:val="en-IE"/>
              </w:rPr>
              <w:t xml:space="preserve"> created in Europe at a scale of 4.3 corresponding to around 60% increase, easier cross-border expansion across the EU at a scale of 5.7 corresponding almost to 80% and improved legal certainty at the scale of 5.5 corresponding to 70%.</w:t>
            </w:r>
          </w:p>
          <w:p w14:paraId="2ADD0B44" w14:textId="34F07113" w:rsidR="003F2F08" w:rsidRPr="0053365D" w:rsidDel="00AB397F" w:rsidRDefault="00E33F66" w:rsidP="00A94CB1">
            <w:pPr>
              <w:jc w:val="both"/>
              <w:rPr>
                <w:rFonts w:eastAsia="Times New Roman" w:cs="Times New Roman"/>
                <w:noProof/>
                <w:lang w:val="en-IE"/>
              </w:rPr>
            </w:pPr>
            <w:r w:rsidRPr="3F78DA1D">
              <w:rPr>
                <w:rFonts w:eastAsia="Times New Roman" w:cs="Times New Roman"/>
                <w:noProof/>
                <w:lang w:val="en-IE"/>
              </w:rPr>
              <w:t>In particular</w:t>
            </w:r>
            <w:r w:rsidR="00C11968" w:rsidRPr="3F78DA1D">
              <w:rPr>
                <w:rFonts w:eastAsia="Times New Roman" w:cs="Times New Roman"/>
                <w:noProof/>
                <w:lang w:val="en-IE"/>
              </w:rPr>
              <w:t xml:space="preserve"> options 2b and 2c would </w:t>
            </w:r>
            <w:r w:rsidR="008E4F41" w:rsidRPr="3F78DA1D">
              <w:rPr>
                <w:rFonts w:eastAsia="Times New Roman" w:cs="Times New Roman"/>
                <w:noProof/>
                <w:lang w:val="en-IE"/>
              </w:rPr>
              <w:t>enhance</w:t>
            </w:r>
            <w:r w:rsidR="00C11968" w:rsidRPr="3F78DA1D">
              <w:rPr>
                <w:rFonts w:eastAsia="Times New Roman" w:cs="Times New Roman"/>
                <w:noProof/>
                <w:lang w:val="en-IE"/>
              </w:rPr>
              <w:t xml:space="preserve"> </w:t>
            </w:r>
            <w:r w:rsidR="002B1A5C" w:rsidRPr="3F78DA1D">
              <w:rPr>
                <w:rFonts w:eastAsia="Times New Roman" w:cs="Times New Roman"/>
                <w:noProof/>
                <w:lang w:val="en-IE"/>
              </w:rPr>
              <w:t xml:space="preserve">the competitiveness of the EU economy by </w:t>
            </w:r>
            <w:r w:rsidR="008B698B" w:rsidRPr="3F78DA1D">
              <w:rPr>
                <w:rFonts w:eastAsia="Times New Roman" w:cs="Times New Roman"/>
                <w:noProof/>
                <w:lang w:val="en-IE"/>
              </w:rPr>
              <w:t>providing a</w:t>
            </w:r>
            <w:r w:rsidR="00A94CB1" w:rsidRPr="3F78DA1D">
              <w:rPr>
                <w:rFonts w:eastAsia="Times New Roman" w:cs="Times New Roman"/>
                <w:noProof/>
                <w:lang w:val="en-IE"/>
              </w:rPr>
              <w:t>n affordable</w:t>
            </w:r>
            <w:r w:rsidR="00EA1143" w:rsidRPr="3F78DA1D">
              <w:rPr>
                <w:rFonts w:eastAsia="Times New Roman" w:cs="Times New Roman"/>
                <w:noProof/>
                <w:lang w:val="en-IE"/>
              </w:rPr>
              <w:t xml:space="preserve"> and fast setting up </w:t>
            </w:r>
            <w:r w:rsidR="0044638A" w:rsidRPr="3F78DA1D">
              <w:rPr>
                <w:rFonts w:eastAsia="Times New Roman" w:cs="Times New Roman"/>
                <w:noProof/>
                <w:lang w:val="en-IE"/>
              </w:rPr>
              <w:t>of 28</w:t>
            </w:r>
            <w:r w:rsidR="0044638A" w:rsidRPr="3F78DA1D">
              <w:rPr>
                <w:rFonts w:eastAsia="Times New Roman" w:cs="Times New Roman"/>
                <w:noProof/>
                <w:vertAlign w:val="superscript"/>
                <w:lang w:val="en-IE"/>
              </w:rPr>
              <w:t>th</w:t>
            </w:r>
            <w:r w:rsidR="0044638A" w:rsidRPr="3F78DA1D">
              <w:rPr>
                <w:rFonts w:eastAsia="Times New Roman" w:cs="Times New Roman"/>
                <w:noProof/>
                <w:lang w:val="en-IE"/>
              </w:rPr>
              <w:t xml:space="preserve"> regime companies compared to other jurisdictions. </w:t>
            </w:r>
            <w:r w:rsidR="00751F68" w:rsidRPr="3F78DA1D">
              <w:rPr>
                <w:rFonts w:eastAsia="Times New Roman" w:cs="Times New Roman"/>
                <w:noProof/>
                <w:lang w:val="en-IE"/>
              </w:rPr>
              <w:t xml:space="preserve">It is often claimed that some </w:t>
            </w:r>
            <w:r w:rsidR="7D1C7D9E" w:rsidRPr="3F78DA1D">
              <w:rPr>
                <w:rFonts w:eastAsia="Times New Roman" w:cs="Times New Roman"/>
                <w:noProof/>
                <w:lang w:val="en-IE"/>
              </w:rPr>
              <w:t>s</w:t>
            </w:r>
            <w:r w:rsidR="760604A3" w:rsidRPr="3F78DA1D">
              <w:rPr>
                <w:rFonts w:eastAsia="Times New Roman" w:cs="Times New Roman"/>
                <w:noProof/>
                <w:lang w:val="en-IE"/>
              </w:rPr>
              <w:t>tartup</w:t>
            </w:r>
            <w:r w:rsidR="002E356A" w:rsidRPr="3F78DA1D">
              <w:rPr>
                <w:rFonts w:eastAsia="Times New Roman" w:cs="Times New Roman"/>
                <w:noProof/>
                <w:lang w:val="en-IE"/>
              </w:rPr>
              <w:t xml:space="preserve"> </w:t>
            </w:r>
            <w:r w:rsidR="00751F68" w:rsidRPr="3F78DA1D">
              <w:rPr>
                <w:rFonts w:eastAsia="Times New Roman" w:cs="Times New Roman"/>
                <w:noProof/>
                <w:lang w:val="en-IE"/>
              </w:rPr>
              <w:t>founders aband</w:t>
            </w:r>
            <w:r w:rsidR="002E356A" w:rsidRPr="3F78DA1D">
              <w:rPr>
                <w:rFonts w:eastAsia="Times New Roman" w:cs="Times New Roman"/>
                <w:noProof/>
                <w:lang w:val="en-IE"/>
              </w:rPr>
              <w:t xml:space="preserve">on setting up a company in the EU because of regulatory fragmentation and slow and costly procedures and </w:t>
            </w:r>
            <w:r w:rsidR="006F2A2A" w:rsidRPr="3F78DA1D">
              <w:rPr>
                <w:rFonts w:eastAsia="Times New Roman" w:cs="Times New Roman"/>
                <w:noProof/>
                <w:lang w:val="en-IE"/>
              </w:rPr>
              <w:t xml:space="preserve">instead set up a company in </w:t>
            </w:r>
            <w:r w:rsidR="0044638A" w:rsidRPr="3F78DA1D">
              <w:rPr>
                <w:rFonts w:eastAsia="Times New Roman" w:cs="Times New Roman"/>
                <w:noProof/>
                <w:lang w:val="en-IE"/>
              </w:rPr>
              <w:t xml:space="preserve">Delaware. </w:t>
            </w:r>
          </w:p>
          <w:p w14:paraId="19C642FC" w14:textId="3163CF76" w:rsidR="00DF5E69" w:rsidRDefault="00455F5E" w:rsidP="00D20173">
            <w:pPr>
              <w:jc w:val="both"/>
              <w:rPr>
                <w:noProof/>
                <w:szCs w:val="20"/>
              </w:rPr>
            </w:pPr>
            <w:r w:rsidRPr="00F02AFB">
              <w:rPr>
                <w:noProof/>
                <w:szCs w:val="20"/>
              </w:rPr>
              <w:t xml:space="preserve">The timeframe for completing the registration process </w:t>
            </w:r>
            <w:r w:rsidR="00DA4FF4" w:rsidRPr="00F02AFB">
              <w:rPr>
                <w:noProof/>
                <w:szCs w:val="20"/>
              </w:rPr>
              <w:t xml:space="preserve">of a Delaware company </w:t>
            </w:r>
            <w:r w:rsidRPr="00F02AFB">
              <w:rPr>
                <w:noProof/>
                <w:szCs w:val="20"/>
              </w:rPr>
              <w:t xml:space="preserve">may vary depending on the procedure to be followed. Standard processing by the Division of Corporations can take approximately 10 working </w:t>
            </w:r>
            <w:r w:rsidR="0086721E" w:rsidRPr="00F02AFB">
              <w:rPr>
                <w:noProof/>
                <w:szCs w:val="20"/>
              </w:rPr>
              <w:t>days</w:t>
            </w:r>
            <w:r w:rsidR="0086721E" w:rsidRPr="00F02AFB">
              <w:rPr>
                <w:rStyle w:val="FootnoteReference"/>
                <w:noProof/>
                <w:szCs w:val="20"/>
              </w:rPr>
              <w:footnoteReference w:id="36"/>
            </w:r>
            <w:r w:rsidR="0086721E" w:rsidRPr="00F02AFB">
              <w:rPr>
                <w:noProof/>
                <w:szCs w:val="20"/>
              </w:rPr>
              <w:t>. However, the state offers a system of expedited filing services for an additional fee: within 24 hours (</w:t>
            </w:r>
            <w:r w:rsidR="00DE6273">
              <w:rPr>
                <w:noProof/>
                <w:szCs w:val="20"/>
              </w:rPr>
              <w:t>USD </w:t>
            </w:r>
            <w:r w:rsidR="0086721E" w:rsidRPr="00F02AFB">
              <w:rPr>
                <w:noProof/>
                <w:szCs w:val="20"/>
              </w:rPr>
              <w:t>50), the same day (</w:t>
            </w:r>
            <w:r w:rsidR="00DE6273">
              <w:rPr>
                <w:noProof/>
                <w:szCs w:val="20"/>
              </w:rPr>
              <w:t>USD </w:t>
            </w:r>
            <w:r w:rsidR="0086721E" w:rsidRPr="00F02AFB">
              <w:rPr>
                <w:noProof/>
                <w:szCs w:val="20"/>
              </w:rPr>
              <w:t>100), two hours (</w:t>
            </w:r>
            <w:r w:rsidR="00DE6273">
              <w:rPr>
                <w:noProof/>
                <w:szCs w:val="20"/>
              </w:rPr>
              <w:t>USD </w:t>
            </w:r>
            <w:r w:rsidR="0086721E" w:rsidRPr="00F02AFB">
              <w:rPr>
                <w:noProof/>
                <w:szCs w:val="20"/>
              </w:rPr>
              <w:t>500) or one hour (</w:t>
            </w:r>
            <w:r w:rsidR="00DE6273">
              <w:rPr>
                <w:noProof/>
                <w:szCs w:val="20"/>
              </w:rPr>
              <w:t>USD </w:t>
            </w:r>
            <w:r w:rsidR="0086721E" w:rsidRPr="00F02AFB">
              <w:rPr>
                <w:noProof/>
                <w:szCs w:val="20"/>
              </w:rPr>
              <w:t>1</w:t>
            </w:r>
            <w:r w:rsidR="00557B2C">
              <w:rPr>
                <w:noProof/>
                <w:szCs w:val="20"/>
              </w:rPr>
              <w:t> </w:t>
            </w:r>
            <w:r w:rsidR="0086721E" w:rsidRPr="00F02AFB">
              <w:rPr>
                <w:noProof/>
                <w:szCs w:val="20"/>
              </w:rPr>
              <w:t>000)</w:t>
            </w:r>
            <w:r w:rsidR="0086721E" w:rsidRPr="00F02AFB">
              <w:rPr>
                <w:rStyle w:val="FootnoteReference"/>
                <w:noProof/>
                <w:szCs w:val="20"/>
              </w:rPr>
              <w:footnoteReference w:id="37"/>
            </w:r>
            <w:r w:rsidR="0086721E" w:rsidRPr="00F02AFB">
              <w:rPr>
                <w:noProof/>
                <w:szCs w:val="20"/>
              </w:rPr>
              <w:t>.</w:t>
            </w:r>
            <w:r w:rsidRPr="00F02AFB">
              <w:rPr>
                <w:noProof/>
                <w:szCs w:val="20"/>
              </w:rPr>
              <w:t xml:space="preserve"> </w:t>
            </w:r>
            <w:r w:rsidR="003F2F08" w:rsidRPr="00F02AFB">
              <w:rPr>
                <w:noProof/>
                <w:szCs w:val="20"/>
                <w:lang w:eastAsia="en-IE"/>
              </w:rPr>
              <w:t xml:space="preserve">Delaware law mandates that every business entity maintain a Registered Agent in the state. The agent must have a physical address in Delaware and be authorized to do business in the state. If the business is located in Delaware, it may act as its own registered agent. A list of Delaware Registered Agents is available on the Division of Corporations website. </w:t>
            </w:r>
            <w:r w:rsidR="00BC0902" w:rsidRPr="00F02AFB">
              <w:rPr>
                <w:noProof/>
                <w:szCs w:val="20"/>
              </w:rPr>
              <w:t xml:space="preserve">The total cost of registration may vary depending on the selected services. The baseline is the state filing fee for the incorporation document, which is </w:t>
            </w:r>
            <w:r w:rsidR="00DE6273">
              <w:rPr>
                <w:noProof/>
                <w:szCs w:val="20"/>
              </w:rPr>
              <w:t>USD </w:t>
            </w:r>
            <w:r w:rsidR="00BC0902" w:rsidRPr="00F02AFB">
              <w:rPr>
                <w:noProof/>
                <w:szCs w:val="20"/>
              </w:rPr>
              <w:t>109 for a Certificate of Incorporation</w:t>
            </w:r>
            <w:r w:rsidR="00BC0902" w:rsidRPr="00F02AFB">
              <w:rPr>
                <w:rStyle w:val="FootnoteReference"/>
                <w:noProof/>
                <w:szCs w:val="20"/>
              </w:rPr>
              <w:footnoteReference w:id="38"/>
            </w:r>
            <w:r w:rsidR="00BC0902" w:rsidRPr="00F02AFB">
              <w:rPr>
                <w:noProof/>
                <w:szCs w:val="20"/>
              </w:rPr>
              <w:t xml:space="preserve">. Other costs include the annual fee for a registered agent, which can range typically from </w:t>
            </w:r>
            <w:r w:rsidR="00DE6273">
              <w:rPr>
                <w:noProof/>
                <w:szCs w:val="20"/>
              </w:rPr>
              <w:t>USD </w:t>
            </w:r>
            <w:r w:rsidR="00BC0902" w:rsidRPr="00F02AFB">
              <w:rPr>
                <w:noProof/>
                <w:szCs w:val="20"/>
              </w:rPr>
              <w:t xml:space="preserve">50 to over </w:t>
            </w:r>
            <w:r w:rsidR="00DE6273">
              <w:rPr>
                <w:noProof/>
                <w:szCs w:val="20"/>
              </w:rPr>
              <w:t>USD </w:t>
            </w:r>
            <w:r w:rsidR="00BC0902" w:rsidRPr="00F02AFB">
              <w:rPr>
                <w:noProof/>
                <w:szCs w:val="20"/>
              </w:rPr>
              <w:t xml:space="preserve">300 depending on the service packages, and the annual franchise tax which is a flat </w:t>
            </w:r>
            <w:r w:rsidR="00DE6273">
              <w:rPr>
                <w:noProof/>
                <w:szCs w:val="20"/>
              </w:rPr>
              <w:t>USD </w:t>
            </w:r>
            <w:r w:rsidR="00BC0902" w:rsidRPr="00F02AFB">
              <w:rPr>
                <w:noProof/>
                <w:szCs w:val="20"/>
              </w:rPr>
              <w:t xml:space="preserve">300 for LLCs and a minimum of </w:t>
            </w:r>
            <w:r w:rsidR="00DE6273">
              <w:rPr>
                <w:noProof/>
                <w:szCs w:val="20"/>
              </w:rPr>
              <w:t>USD </w:t>
            </w:r>
            <w:r w:rsidR="00BC0902" w:rsidRPr="00F02AFB">
              <w:rPr>
                <w:noProof/>
                <w:szCs w:val="20"/>
              </w:rPr>
              <w:t>175 for corporations</w:t>
            </w:r>
            <w:r w:rsidR="00BC0902" w:rsidRPr="00F02AFB">
              <w:rPr>
                <w:rStyle w:val="FootnoteReference"/>
                <w:noProof/>
                <w:szCs w:val="20"/>
              </w:rPr>
              <w:footnoteReference w:id="39"/>
            </w:r>
            <w:r w:rsidR="00BC0902" w:rsidRPr="00F02AFB">
              <w:rPr>
                <w:noProof/>
                <w:szCs w:val="20"/>
              </w:rPr>
              <w:t>.</w:t>
            </w:r>
          </w:p>
        </w:tc>
      </w:tr>
    </w:tbl>
    <w:p w14:paraId="283DADA3" w14:textId="73182458" w:rsidR="00861BF0" w:rsidRDefault="00861BF0">
      <w:pPr>
        <w:spacing w:before="0" w:after="200" w:line="276" w:lineRule="auto"/>
        <w:rPr>
          <w:rFonts w:eastAsia="Courier New" w:cstheme="majorBidi"/>
          <w:b/>
          <w:bCs/>
          <w:noProof/>
          <w:color w:val="auto"/>
          <w:sz w:val="22"/>
          <w:szCs w:val="26"/>
          <w:u w:val="single"/>
        </w:rPr>
      </w:pPr>
    </w:p>
    <w:p w14:paraId="093C46F7" w14:textId="77777777" w:rsidR="00861BF0" w:rsidRPr="00861BF0" w:rsidRDefault="00861BF0" w:rsidP="00861BF0">
      <w:pPr>
        <w:pStyle w:val="Heading2"/>
        <w:numPr>
          <w:ilvl w:val="0"/>
          <w:numId w:val="0"/>
        </w:numPr>
        <w:ind w:left="680" w:hanging="680"/>
        <w:rPr>
          <w:rFonts w:eastAsia="Courier New"/>
          <w:noProof/>
          <w:u w:val="single"/>
        </w:rPr>
      </w:pPr>
      <w:r>
        <w:rPr>
          <w:rFonts w:eastAsia="Courier New"/>
          <w:noProof/>
          <w:u w:val="single"/>
        </w:rPr>
        <w:t>P</w:t>
      </w:r>
      <w:r w:rsidRPr="002F072B">
        <w:rPr>
          <w:rFonts w:eastAsia="Courier New"/>
          <w:noProof/>
          <w:u w:val="single"/>
        </w:rPr>
        <w:t xml:space="preserve">olicy options </w:t>
      </w:r>
      <w:r>
        <w:rPr>
          <w:rFonts w:eastAsia="Courier New"/>
          <w:noProof/>
          <w:u w:val="single"/>
        </w:rPr>
        <w:t>3</w:t>
      </w:r>
      <w:r w:rsidRPr="002F072B">
        <w:rPr>
          <w:rFonts w:eastAsia="Courier New"/>
          <w:noProof/>
          <w:u w:val="single"/>
        </w:rPr>
        <w:t xml:space="preserve"> </w:t>
      </w:r>
      <w:r w:rsidRPr="00861BF0">
        <w:rPr>
          <w:rFonts w:eastAsia="Courier New"/>
          <w:noProof/>
          <w:u w:val="single"/>
        </w:rPr>
        <w:t xml:space="preserve">to ensure once-only submission of information in the context of registration </w:t>
      </w:r>
    </w:p>
    <w:p w14:paraId="46594933" w14:textId="69FD622B" w:rsidR="00861BF0" w:rsidRDefault="00861BF0" w:rsidP="00C4288E">
      <w:pPr>
        <w:pStyle w:val="ListParagraph"/>
        <w:numPr>
          <w:ilvl w:val="0"/>
          <w:numId w:val="15"/>
        </w:numPr>
        <w:tabs>
          <w:tab w:val="left" w:pos="170"/>
        </w:tabs>
        <w:jc w:val="both"/>
        <w:rPr>
          <w:noProof/>
        </w:rPr>
      </w:pPr>
      <w:r>
        <w:rPr>
          <w:noProof/>
        </w:rPr>
        <w:t>Policy option 3a - I</w:t>
      </w:r>
      <w:r w:rsidRPr="00C9711C">
        <w:rPr>
          <w:noProof/>
        </w:rPr>
        <w:t xml:space="preserve">n the context of the registration, </w:t>
      </w:r>
      <w:r>
        <w:rPr>
          <w:noProof/>
        </w:rPr>
        <w:t xml:space="preserve">ensure that </w:t>
      </w:r>
      <w:r w:rsidRPr="00C9711C">
        <w:rPr>
          <w:noProof/>
        </w:rPr>
        <w:t xml:space="preserve">the information about the company </w:t>
      </w:r>
      <w:r>
        <w:rPr>
          <w:noProof/>
        </w:rPr>
        <w:t xml:space="preserve">is </w:t>
      </w:r>
      <w:r w:rsidRPr="00C9711C">
        <w:rPr>
          <w:noProof/>
        </w:rPr>
        <w:t>transferred from the business register to the authority</w:t>
      </w:r>
      <w:r w:rsidR="00AC1427" w:rsidRPr="00AC1427">
        <w:rPr>
          <w:bCs/>
          <w:noProof/>
          <w:szCs w:val="20"/>
        </w:rPr>
        <w:t xml:space="preserve"> </w:t>
      </w:r>
      <w:r w:rsidR="00AC1427" w:rsidRPr="00BF18CD">
        <w:rPr>
          <w:bCs/>
          <w:noProof/>
          <w:szCs w:val="20"/>
        </w:rPr>
        <w:t>in charge of issuing the TIN</w:t>
      </w:r>
      <w:r w:rsidRPr="00C9711C">
        <w:rPr>
          <w:noProof/>
        </w:rPr>
        <w:t>, to social security authority and to the beneficial ownership register</w:t>
      </w:r>
      <w:r w:rsidR="00DF6EAC">
        <w:rPr>
          <w:noProof/>
          <w:szCs w:val="20"/>
          <w:lang w:val="en-IE"/>
        </w:rPr>
        <w:t xml:space="preserve">, </w:t>
      </w:r>
      <w:r w:rsidR="00DF6EAC" w:rsidRPr="00052A37">
        <w:rPr>
          <w:noProof/>
          <w:szCs w:val="20"/>
          <w:lang w:val="en-IE"/>
        </w:rPr>
        <w:t>with any beneficial ownership information as part of the template</w:t>
      </w:r>
      <w:r w:rsidR="00DF6EAC">
        <w:rPr>
          <w:noProof/>
          <w:szCs w:val="20"/>
          <w:lang w:val="en-IE"/>
        </w:rPr>
        <w:t>,</w:t>
      </w:r>
      <w:r w:rsidR="00DF6EAC" w:rsidRPr="009B43E5">
        <w:rPr>
          <w:noProof/>
          <w:szCs w:val="20"/>
          <w:lang w:val="en-IE"/>
        </w:rPr>
        <w:t xml:space="preserve"> </w:t>
      </w:r>
      <w:r w:rsidRPr="00C9711C">
        <w:rPr>
          <w:noProof/>
        </w:rPr>
        <w:t xml:space="preserve">without the 28th regime company needing to submit it again </w:t>
      </w:r>
      <w:r>
        <w:rPr>
          <w:noProof/>
        </w:rPr>
        <w:t>(“once-only principle”)</w:t>
      </w:r>
      <w:r w:rsidRPr="00C9711C">
        <w:rPr>
          <w:noProof/>
        </w:rPr>
        <w:t>.</w:t>
      </w:r>
    </w:p>
    <w:p w14:paraId="6A5A1040" w14:textId="1AE3C41E" w:rsidR="00861BF0" w:rsidRDefault="00861BF0" w:rsidP="00C4288E">
      <w:pPr>
        <w:pStyle w:val="ListParagraph"/>
        <w:numPr>
          <w:ilvl w:val="0"/>
          <w:numId w:val="15"/>
        </w:numPr>
        <w:tabs>
          <w:tab w:val="left" w:pos="170"/>
        </w:tabs>
        <w:jc w:val="both"/>
        <w:rPr>
          <w:noProof/>
        </w:rPr>
      </w:pPr>
      <w:r>
        <w:rPr>
          <w:noProof/>
        </w:rPr>
        <w:t xml:space="preserve">Policy option 3b - </w:t>
      </w:r>
      <w:r w:rsidRPr="00926445">
        <w:rPr>
          <w:noProof/>
        </w:rPr>
        <w:t xml:space="preserve">Option </w:t>
      </w:r>
      <w:r>
        <w:rPr>
          <w:noProof/>
        </w:rPr>
        <w:t>3</w:t>
      </w:r>
      <w:r w:rsidRPr="00926445">
        <w:rPr>
          <w:noProof/>
        </w:rPr>
        <w:t xml:space="preserve">a + </w:t>
      </w:r>
      <w:r w:rsidRPr="004C599B">
        <w:rPr>
          <w:noProof/>
        </w:rPr>
        <w:t xml:space="preserve">the 28th regime company would obtain the TIN from the </w:t>
      </w:r>
      <w:r w:rsidR="009200A2">
        <w:rPr>
          <w:noProof/>
        </w:rPr>
        <w:t xml:space="preserve">relevant </w:t>
      </w:r>
      <w:r w:rsidRPr="004C599B">
        <w:rPr>
          <w:noProof/>
        </w:rPr>
        <w:t xml:space="preserve">authority as part of </w:t>
      </w:r>
      <w:r w:rsidRPr="00620417">
        <w:rPr>
          <w:noProof/>
        </w:rPr>
        <w:t>the registration process</w:t>
      </w:r>
      <w:r>
        <w:rPr>
          <w:noProof/>
        </w:rPr>
        <w:t>, with</w:t>
      </w:r>
      <w:r w:rsidRPr="004C599B">
        <w:rPr>
          <w:noProof/>
        </w:rPr>
        <w:t xml:space="preserve"> </w:t>
      </w:r>
      <w:r>
        <w:rPr>
          <w:noProof/>
        </w:rPr>
        <w:t>a</w:t>
      </w:r>
      <w:r w:rsidRPr="004C599B">
        <w:rPr>
          <w:noProof/>
        </w:rPr>
        <w:t xml:space="preserve">ny additional information needed </w:t>
      </w:r>
      <w:r>
        <w:rPr>
          <w:noProof/>
        </w:rPr>
        <w:t>to</w:t>
      </w:r>
      <w:r w:rsidRPr="004C599B">
        <w:rPr>
          <w:noProof/>
        </w:rPr>
        <w:t xml:space="preserve"> obtain the TIN </w:t>
      </w:r>
      <w:r>
        <w:rPr>
          <w:noProof/>
        </w:rPr>
        <w:t>as</w:t>
      </w:r>
      <w:r w:rsidRPr="004C599B">
        <w:rPr>
          <w:noProof/>
        </w:rPr>
        <w:t xml:space="preserve"> part of the template.</w:t>
      </w:r>
    </w:p>
    <w:p w14:paraId="1C2E6894" w14:textId="6EDDBFDA" w:rsidR="00861BF0" w:rsidRDefault="00861BF0" w:rsidP="00C4288E">
      <w:pPr>
        <w:pStyle w:val="ListParagraph"/>
        <w:numPr>
          <w:ilvl w:val="0"/>
          <w:numId w:val="15"/>
        </w:numPr>
        <w:tabs>
          <w:tab w:val="left" w:pos="170"/>
        </w:tabs>
        <w:spacing w:before="0" w:after="0"/>
        <w:jc w:val="both"/>
        <w:rPr>
          <w:noProof/>
        </w:rPr>
      </w:pPr>
      <w:r>
        <w:rPr>
          <w:noProof/>
        </w:rPr>
        <w:t>Policy option 3c - O</w:t>
      </w:r>
      <w:r w:rsidRPr="004C599B">
        <w:rPr>
          <w:noProof/>
        </w:rPr>
        <w:t xml:space="preserve">ption </w:t>
      </w:r>
      <w:r>
        <w:rPr>
          <w:noProof/>
        </w:rPr>
        <w:t>3</w:t>
      </w:r>
      <w:r w:rsidRPr="004C599B">
        <w:rPr>
          <w:noProof/>
        </w:rPr>
        <w:t xml:space="preserve">b </w:t>
      </w:r>
      <w:r>
        <w:rPr>
          <w:noProof/>
        </w:rPr>
        <w:t>+</w:t>
      </w:r>
      <w:r w:rsidRPr="004C599B">
        <w:rPr>
          <w:noProof/>
        </w:rPr>
        <w:t xml:space="preserve"> the 28th regime company would obtain the VAT identification number from the </w:t>
      </w:r>
      <w:r w:rsidR="009200A2">
        <w:rPr>
          <w:noProof/>
        </w:rPr>
        <w:t xml:space="preserve">relevant </w:t>
      </w:r>
      <w:r w:rsidRPr="004C599B">
        <w:rPr>
          <w:noProof/>
        </w:rPr>
        <w:t xml:space="preserve">authority as part of </w:t>
      </w:r>
      <w:r w:rsidRPr="00924B2D">
        <w:rPr>
          <w:noProof/>
        </w:rPr>
        <w:t xml:space="preserve">the registration process </w:t>
      </w:r>
      <w:r>
        <w:rPr>
          <w:noProof/>
        </w:rPr>
        <w:t>(</w:t>
      </w:r>
      <w:r w:rsidRPr="00924B2D">
        <w:rPr>
          <w:noProof/>
        </w:rPr>
        <w:t>unless more</w:t>
      </w:r>
      <w:r w:rsidRPr="004C599B">
        <w:rPr>
          <w:noProof/>
        </w:rPr>
        <w:t xml:space="preserve"> information </w:t>
      </w:r>
      <w:r w:rsidRPr="00924B2D">
        <w:rPr>
          <w:noProof/>
        </w:rPr>
        <w:t>is needed</w:t>
      </w:r>
      <w:r>
        <w:rPr>
          <w:noProof/>
        </w:rPr>
        <w:t>)</w:t>
      </w:r>
      <w:r w:rsidRPr="004C599B">
        <w:rPr>
          <w:noProof/>
        </w:rPr>
        <w:t>.</w:t>
      </w:r>
    </w:p>
    <w:p w14:paraId="661DD292" w14:textId="77777777" w:rsidR="00DF5E69" w:rsidRDefault="00DF5E69" w:rsidP="00227183">
      <w:pPr>
        <w:pStyle w:val="ListParagraph"/>
        <w:tabs>
          <w:tab w:val="left" w:pos="170"/>
        </w:tabs>
        <w:spacing w:before="0" w:after="0"/>
        <w:jc w:val="both"/>
        <w:rPr>
          <w:noProof/>
        </w:rPr>
      </w:pPr>
    </w:p>
    <w:tbl>
      <w:tblPr>
        <w:tblStyle w:val="TableGrid"/>
        <w:tblW w:w="14170" w:type="dxa"/>
        <w:tblLayout w:type="fixed"/>
        <w:tblLook w:val="04A0" w:firstRow="1" w:lastRow="0" w:firstColumn="1" w:lastColumn="0" w:noHBand="0" w:noVBand="1"/>
      </w:tblPr>
      <w:tblGrid>
        <w:gridCol w:w="2122"/>
        <w:gridCol w:w="1508"/>
        <w:gridCol w:w="1042"/>
        <w:gridCol w:w="996"/>
        <w:gridCol w:w="994"/>
        <w:gridCol w:w="7508"/>
      </w:tblGrid>
      <w:tr w:rsidR="00DF5E69" w:rsidRPr="00DC6DD8" w14:paraId="55A0AAFC" w14:textId="77777777" w:rsidTr="6F00936E">
        <w:tc>
          <w:tcPr>
            <w:tcW w:w="2122" w:type="dxa"/>
            <w:shd w:val="clear" w:color="auto" w:fill="95B3D7" w:themeFill="accent1" w:themeFillTint="99"/>
          </w:tcPr>
          <w:p w14:paraId="1FE0E3DA" w14:textId="77777777" w:rsidR="00DF5E69" w:rsidRPr="00DC6DD8" w:rsidRDefault="00DF5E69" w:rsidP="00DF5E69">
            <w:pPr>
              <w:rPr>
                <w:b/>
                <w:noProof/>
                <w:szCs w:val="20"/>
              </w:rPr>
            </w:pPr>
            <w:r w:rsidRPr="00DC6DD8">
              <w:rPr>
                <w:b/>
                <w:noProof/>
                <w:szCs w:val="20"/>
              </w:rPr>
              <w:br w:type="page"/>
            </w:r>
          </w:p>
        </w:tc>
        <w:tc>
          <w:tcPr>
            <w:tcW w:w="1508" w:type="dxa"/>
            <w:shd w:val="clear" w:color="auto" w:fill="95B3D7" w:themeFill="accent1" w:themeFillTint="99"/>
          </w:tcPr>
          <w:p w14:paraId="1191D812" w14:textId="77777777" w:rsidR="00DF5E69" w:rsidRPr="00864F5C" w:rsidRDefault="00DF5E69" w:rsidP="00DF5E69">
            <w:pPr>
              <w:rPr>
                <w:b/>
                <w:noProof/>
                <w:sz w:val="18"/>
                <w:szCs w:val="18"/>
              </w:rPr>
            </w:pPr>
            <w:r w:rsidRPr="00864F5C">
              <w:rPr>
                <w:b/>
                <w:noProof/>
                <w:sz w:val="18"/>
                <w:szCs w:val="18"/>
              </w:rPr>
              <w:t>Unit of measurement</w:t>
            </w:r>
          </w:p>
        </w:tc>
        <w:tc>
          <w:tcPr>
            <w:tcW w:w="1042" w:type="dxa"/>
            <w:shd w:val="clear" w:color="auto" w:fill="95B3D7" w:themeFill="accent1" w:themeFillTint="99"/>
          </w:tcPr>
          <w:p w14:paraId="231AF505" w14:textId="493B50EE"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3</w:t>
            </w:r>
            <w:r w:rsidRPr="00DC6DD8">
              <w:rPr>
                <w:b/>
                <w:noProof/>
                <w:szCs w:val="20"/>
              </w:rPr>
              <w:t xml:space="preserve">a </w:t>
            </w:r>
          </w:p>
        </w:tc>
        <w:tc>
          <w:tcPr>
            <w:tcW w:w="996" w:type="dxa"/>
            <w:shd w:val="clear" w:color="auto" w:fill="95B3D7" w:themeFill="accent1" w:themeFillTint="99"/>
          </w:tcPr>
          <w:p w14:paraId="5C36896C" w14:textId="136A601C"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3</w:t>
            </w:r>
            <w:r w:rsidRPr="00DC6DD8">
              <w:rPr>
                <w:b/>
                <w:noProof/>
                <w:szCs w:val="20"/>
              </w:rPr>
              <w:t>b</w:t>
            </w:r>
          </w:p>
        </w:tc>
        <w:tc>
          <w:tcPr>
            <w:tcW w:w="994" w:type="dxa"/>
            <w:shd w:val="clear" w:color="auto" w:fill="95B3D7" w:themeFill="accent1" w:themeFillTint="99"/>
          </w:tcPr>
          <w:p w14:paraId="3342CE73" w14:textId="2DA8E7CE"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3</w:t>
            </w:r>
            <w:r w:rsidRPr="00DC6DD8">
              <w:rPr>
                <w:b/>
                <w:noProof/>
                <w:szCs w:val="20"/>
              </w:rPr>
              <w:t>c</w:t>
            </w:r>
          </w:p>
          <w:p w14:paraId="24F6DFEE" w14:textId="77777777" w:rsidR="00DF5E69" w:rsidRPr="00DC6DD8" w:rsidRDefault="00DF5E69" w:rsidP="00DF5E69">
            <w:pPr>
              <w:rPr>
                <w:b/>
                <w:noProof/>
                <w:szCs w:val="20"/>
              </w:rPr>
            </w:pPr>
          </w:p>
        </w:tc>
        <w:tc>
          <w:tcPr>
            <w:tcW w:w="7508" w:type="dxa"/>
            <w:shd w:val="clear" w:color="auto" w:fill="95B3D7" w:themeFill="accent1" w:themeFillTint="99"/>
          </w:tcPr>
          <w:p w14:paraId="2DF9723F" w14:textId="77777777" w:rsidR="00DF5E69" w:rsidRPr="00DC6DD8" w:rsidRDefault="00DF5E69" w:rsidP="00DF5E69">
            <w:pPr>
              <w:rPr>
                <w:b/>
                <w:noProof/>
                <w:szCs w:val="20"/>
              </w:rPr>
            </w:pPr>
            <w:r w:rsidRPr="00DD0943">
              <w:rPr>
                <w:b/>
                <w:noProof/>
                <w:szCs w:val="20"/>
              </w:rPr>
              <w:t>Motivation</w:t>
            </w:r>
          </w:p>
        </w:tc>
      </w:tr>
      <w:tr w:rsidR="00DF5E69" w:rsidRPr="00DC6DD8" w14:paraId="2F73FF21" w14:textId="77777777" w:rsidTr="6F00936E">
        <w:trPr>
          <w:trHeight w:val="702"/>
        </w:trPr>
        <w:tc>
          <w:tcPr>
            <w:tcW w:w="14170" w:type="dxa"/>
            <w:gridSpan w:val="6"/>
            <w:shd w:val="clear" w:color="auto" w:fill="92D050"/>
          </w:tcPr>
          <w:p w14:paraId="0FCC660F" w14:textId="77777777" w:rsidR="00DF5E69" w:rsidRPr="00035E70" w:rsidRDefault="00DF5E69" w:rsidP="00DF5E69">
            <w:pPr>
              <w:rPr>
                <w:b/>
                <w:bCs/>
                <w:noProof/>
                <w:szCs w:val="20"/>
              </w:rPr>
            </w:pPr>
            <w:r w:rsidRPr="00D345EC">
              <w:rPr>
                <w:b/>
                <w:noProof/>
                <w:sz w:val="24"/>
                <w:szCs w:val="24"/>
              </w:rPr>
              <w:t>Companies and investors</w:t>
            </w:r>
          </w:p>
        </w:tc>
      </w:tr>
      <w:tr w:rsidR="00DF5E69" w:rsidRPr="00DC6DD8" w14:paraId="5B0B9795" w14:textId="77777777" w:rsidTr="6F00936E">
        <w:trPr>
          <w:trHeight w:val="557"/>
        </w:trPr>
        <w:tc>
          <w:tcPr>
            <w:tcW w:w="2122" w:type="dxa"/>
          </w:tcPr>
          <w:p w14:paraId="100F58E0" w14:textId="77777777" w:rsidR="00DF5E69" w:rsidRPr="00DC6DD8" w:rsidRDefault="00DF5E69" w:rsidP="00DF5E69">
            <w:pPr>
              <w:rPr>
                <w:b/>
                <w:noProof/>
                <w:szCs w:val="20"/>
              </w:rPr>
            </w:pPr>
            <w:r>
              <w:rPr>
                <w:b/>
                <w:noProof/>
                <w:szCs w:val="20"/>
              </w:rPr>
              <w:t>Ease of doing business</w:t>
            </w:r>
          </w:p>
        </w:tc>
        <w:tc>
          <w:tcPr>
            <w:tcW w:w="1508" w:type="dxa"/>
          </w:tcPr>
          <w:p w14:paraId="37D15295" w14:textId="77777777" w:rsidR="00DF5E69" w:rsidRPr="00170FBB" w:rsidRDefault="00DF5E69" w:rsidP="00DF5E69">
            <w:pPr>
              <w:rPr>
                <w:b/>
                <w:noProof/>
                <w:sz w:val="18"/>
                <w:szCs w:val="18"/>
              </w:rPr>
            </w:pPr>
            <w:r w:rsidRPr="00170FBB">
              <w:rPr>
                <w:noProof/>
                <w:sz w:val="18"/>
                <w:szCs w:val="18"/>
              </w:rPr>
              <w:t>Score 0-5</w:t>
            </w:r>
          </w:p>
        </w:tc>
        <w:tc>
          <w:tcPr>
            <w:tcW w:w="1042" w:type="dxa"/>
          </w:tcPr>
          <w:p w14:paraId="7459E35C" w14:textId="61FD5B5A" w:rsidR="00DF5E69" w:rsidRPr="006F562E" w:rsidRDefault="00DD591D" w:rsidP="00DF5E69">
            <w:pPr>
              <w:rPr>
                <w:noProof/>
                <w:szCs w:val="20"/>
              </w:rPr>
            </w:pPr>
            <w:r w:rsidRPr="006F562E">
              <w:rPr>
                <w:noProof/>
                <w:szCs w:val="20"/>
              </w:rPr>
              <w:t>2</w:t>
            </w:r>
          </w:p>
        </w:tc>
        <w:tc>
          <w:tcPr>
            <w:tcW w:w="996" w:type="dxa"/>
          </w:tcPr>
          <w:p w14:paraId="37743A55" w14:textId="2C14E98A" w:rsidR="00DF5E69" w:rsidRPr="006F562E" w:rsidRDefault="00DD591D" w:rsidP="00DF5E69">
            <w:pPr>
              <w:rPr>
                <w:noProof/>
                <w:szCs w:val="20"/>
              </w:rPr>
            </w:pPr>
            <w:r w:rsidRPr="006F562E">
              <w:rPr>
                <w:noProof/>
                <w:szCs w:val="20"/>
              </w:rPr>
              <w:t>3</w:t>
            </w:r>
          </w:p>
        </w:tc>
        <w:tc>
          <w:tcPr>
            <w:tcW w:w="994" w:type="dxa"/>
          </w:tcPr>
          <w:p w14:paraId="00EE96BD" w14:textId="29B725FD" w:rsidR="00DF5E69" w:rsidRPr="006F562E" w:rsidRDefault="00DD591D" w:rsidP="00DF5E69">
            <w:pPr>
              <w:rPr>
                <w:noProof/>
                <w:szCs w:val="20"/>
              </w:rPr>
            </w:pPr>
            <w:r w:rsidRPr="006F562E">
              <w:rPr>
                <w:noProof/>
                <w:szCs w:val="20"/>
              </w:rPr>
              <w:t>4</w:t>
            </w:r>
          </w:p>
        </w:tc>
        <w:tc>
          <w:tcPr>
            <w:tcW w:w="7508" w:type="dxa"/>
          </w:tcPr>
          <w:p w14:paraId="5C198B8D" w14:textId="40237811" w:rsidR="00DF5E69" w:rsidRPr="00E36E66" w:rsidRDefault="00684440" w:rsidP="00D61EC5">
            <w:pPr>
              <w:jc w:val="both"/>
              <w:rPr>
                <w:noProof/>
                <w:szCs w:val="20"/>
              </w:rPr>
            </w:pPr>
            <w:r>
              <w:rPr>
                <w:noProof/>
                <w:szCs w:val="20"/>
              </w:rPr>
              <w:t>These policy options would simplify setting up of 28</w:t>
            </w:r>
            <w:r w:rsidRPr="00684440">
              <w:rPr>
                <w:noProof/>
                <w:szCs w:val="20"/>
                <w:vertAlign w:val="superscript"/>
              </w:rPr>
              <w:t>th</w:t>
            </w:r>
            <w:r>
              <w:rPr>
                <w:noProof/>
                <w:szCs w:val="20"/>
              </w:rPr>
              <w:t xml:space="preserve"> regime </w:t>
            </w:r>
            <w:r w:rsidR="00621850">
              <w:rPr>
                <w:noProof/>
                <w:szCs w:val="20"/>
              </w:rPr>
              <w:t xml:space="preserve">companies </w:t>
            </w:r>
            <w:r w:rsidR="00750A17">
              <w:rPr>
                <w:noProof/>
                <w:szCs w:val="20"/>
              </w:rPr>
              <w:t xml:space="preserve">and </w:t>
            </w:r>
            <w:r w:rsidR="006367D4">
              <w:rPr>
                <w:noProof/>
                <w:szCs w:val="20"/>
              </w:rPr>
              <w:t xml:space="preserve">in that way, would also </w:t>
            </w:r>
            <w:r w:rsidR="000F2770">
              <w:rPr>
                <w:noProof/>
                <w:szCs w:val="20"/>
              </w:rPr>
              <w:t xml:space="preserve">contribute to </w:t>
            </w:r>
            <w:r w:rsidR="001A79E8">
              <w:rPr>
                <w:noProof/>
                <w:szCs w:val="20"/>
              </w:rPr>
              <w:t xml:space="preserve">the </w:t>
            </w:r>
            <w:r w:rsidR="000F2770">
              <w:rPr>
                <w:noProof/>
                <w:szCs w:val="20"/>
              </w:rPr>
              <w:t>eas</w:t>
            </w:r>
            <w:r w:rsidR="001A79E8">
              <w:rPr>
                <w:noProof/>
                <w:szCs w:val="20"/>
              </w:rPr>
              <w:t>e of</w:t>
            </w:r>
            <w:r w:rsidR="000F2770">
              <w:rPr>
                <w:noProof/>
                <w:szCs w:val="20"/>
              </w:rPr>
              <w:t xml:space="preserve"> do</w:t>
            </w:r>
            <w:r w:rsidR="001A79E8">
              <w:rPr>
                <w:noProof/>
                <w:szCs w:val="20"/>
              </w:rPr>
              <w:t>ing</w:t>
            </w:r>
            <w:r w:rsidR="000F2770">
              <w:rPr>
                <w:noProof/>
                <w:szCs w:val="20"/>
              </w:rPr>
              <w:t xml:space="preserve"> business in the EU. </w:t>
            </w:r>
            <w:r w:rsidR="00581A17">
              <w:rPr>
                <w:noProof/>
                <w:szCs w:val="20"/>
              </w:rPr>
              <w:t xml:space="preserve">Policy option PO3c would score the highest as </w:t>
            </w:r>
            <w:r w:rsidR="00F824B6">
              <w:rPr>
                <w:noProof/>
                <w:szCs w:val="20"/>
              </w:rPr>
              <w:t>not only the</w:t>
            </w:r>
            <w:r w:rsidR="00930622">
              <w:rPr>
                <w:noProof/>
                <w:szCs w:val="20"/>
              </w:rPr>
              <w:t xml:space="preserve"> </w:t>
            </w:r>
            <w:r w:rsidR="00246B53">
              <w:rPr>
                <w:noProof/>
                <w:szCs w:val="20"/>
              </w:rPr>
              <w:t xml:space="preserve">company information would be shared </w:t>
            </w:r>
            <w:r w:rsidR="000A18ED">
              <w:rPr>
                <w:noProof/>
                <w:szCs w:val="20"/>
              </w:rPr>
              <w:t xml:space="preserve">with </w:t>
            </w:r>
            <w:r w:rsidR="001F7622">
              <w:rPr>
                <w:noProof/>
                <w:szCs w:val="20"/>
              </w:rPr>
              <w:t xml:space="preserve">tax and social security </w:t>
            </w:r>
            <w:r w:rsidR="00246B53">
              <w:rPr>
                <w:noProof/>
                <w:szCs w:val="20"/>
              </w:rPr>
              <w:t>authorities</w:t>
            </w:r>
            <w:r w:rsidR="001F7622">
              <w:rPr>
                <w:noProof/>
                <w:szCs w:val="20"/>
              </w:rPr>
              <w:t>, and beneficial ownership registers</w:t>
            </w:r>
            <w:r w:rsidR="00F824B6">
              <w:rPr>
                <w:noProof/>
                <w:szCs w:val="20"/>
              </w:rPr>
              <w:t xml:space="preserve">, but the company could also get the </w:t>
            </w:r>
            <w:r w:rsidR="00860FFA">
              <w:rPr>
                <w:noProof/>
                <w:szCs w:val="20"/>
              </w:rPr>
              <w:t xml:space="preserve">TIN and </w:t>
            </w:r>
            <w:r w:rsidR="00E35E7D">
              <w:rPr>
                <w:noProof/>
                <w:szCs w:val="20"/>
              </w:rPr>
              <w:t>VAT identification number</w:t>
            </w:r>
            <w:r w:rsidR="00860FFA">
              <w:rPr>
                <w:noProof/>
                <w:szCs w:val="20"/>
              </w:rPr>
              <w:t>s</w:t>
            </w:r>
            <w:r w:rsidR="00DC4BC4">
              <w:rPr>
                <w:noProof/>
                <w:szCs w:val="20"/>
              </w:rPr>
              <w:t xml:space="preserve">, </w:t>
            </w:r>
            <w:r w:rsidR="005247C9">
              <w:rPr>
                <w:noProof/>
                <w:szCs w:val="20"/>
              </w:rPr>
              <w:t>leading therefore</w:t>
            </w:r>
            <w:r w:rsidR="00AF2763">
              <w:rPr>
                <w:noProof/>
                <w:szCs w:val="20"/>
              </w:rPr>
              <w:t xml:space="preserve"> to biggest simplification for the founders.</w:t>
            </w:r>
            <w:r w:rsidR="005247C9">
              <w:rPr>
                <w:noProof/>
                <w:szCs w:val="20"/>
              </w:rPr>
              <w:t xml:space="preserve"> </w:t>
            </w:r>
            <w:r w:rsidR="00922147">
              <w:rPr>
                <w:noProof/>
                <w:szCs w:val="20"/>
              </w:rPr>
              <w:t>There was s</w:t>
            </w:r>
            <w:r w:rsidR="00776619">
              <w:rPr>
                <w:noProof/>
                <w:szCs w:val="20"/>
              </w:rPr>
              <w:t xml:space="preserve">trong </w:t>
            </w:r>
            <w:r w:rsidR="00385E29">
              <w:rPr>
                <w:noProof/>
                <w:szCs w:val="20"/>
              </w:rPr>
              <w:t xml:space="preserve">confirmation from </w:t>
            </w:r>
            <w:r w:rsidR="0023119E">
              <w:rPr>
                <w:noProof/>
                <w:szCs w:val="20"/>
              </w:rPr>
              <w:t xml:space="preserve">respondents </w:t>
            </w:r>
            <w:r w:rsidR="00E537C3">
              <w:rPr>
                <w:noProof/>
                <w:szCs w:val="20"/>
              </w:rPr>
              <w:t xml:space="preserve">to the consultation </w:t>
            </w:r>
            <w:r w:rsidR="00874EE9" w:rsidRPr="00874EE9">
              <w:rPr>
                <w:noProof/>
                <w:szCs w:val="20"/>
              </w:rPr>
              <w:t xml:space="preserve">(89%) that </w:t>
            </w:r>
            <w:r w:rsidR="00BD7B52">
              <w:rPr>
                <w:noProof/>
                <w:szCs w:val="20"/>
              </w:rPr>
              <w:t xml:space="preserve">direct sharing of company </w:t>
            </w:r>
            <w:r w:rsidR="00ED5A12">
              <w:rPr>
                <w:noProof/>
                <w:szCs w:val="20"/>
              </w:rPr>
              <w:t xml:space="preserve">information </w:t>
            </w:r>
            <w:r w:rsidR="008B559D">
              <w:rPr>
                <w:noProof/>
                <w:szCs w:val="20"/>
              </w:rPr>
              <w:t>with other authorities relevant for registration (</w:t>
            </w:r>
            <w:r w:rsidR="00874EE9" w:rsidRPr="00874EE9">
              <w:rPr>
                <w:noProof/>
                <w:szCs w:val="20"/>
              </w:rPr>
              <w:t>once-only principle</w:t>
            </w:r>
            <w:r w:rsidR="00325729">
              <w:rPr>
                <w:noProof/>
                <w:szCs w:val="20"/>
              </w:rPr>
              <w:t xml:space="preserve">) </w:t>
            </w:r>
            <w:r w:rsidR="00874EE9" w:rsidRPr="00874EE9">
              <w:rPr>
                <w:noProof/>
                <w:szCs w:val="20"/>
              </w:rPr>
              <w:t>would contribute to a fast and efficient setting up of 28</w:t>
            </w:r>
            <w:r w:rsidR="00874EE9" w:rsidRPr="00F71C8F">
              <w:rPr>
                <w:noProof/>
                <w:szCs w:val="20"/>
                <w:vertAlign w:val="superscript"/>
              </w:rPr>
              <w:t>th</w:t>
            </w:r>
            <w:r w:rsidR="00874EE9" w:rsidRPr="00874EE9">
              <w:rPr>
                <w:noProof/>
                <w:szCs w:val="20"/>
              </w:rPr>
              <w:t xml:space="preserve"> regime companies.</w:t>
            </w:r>
            <w:r w:rsidR="000D689D">
              <w:rPr>
                <w:noProof/>
                <w:szCs w:val="20"/>
              </w:rPr>
              <w:t xml:space="preserve"> </w:t>
            </w:r>
            <w:r w:rsidR="008D3270">
              <w:rPr>
                <w:noProof/>
                <w:szCs w:val="20"/>
              </w:rPr>
              <w:t xml:space="preserve">90% </w:t>
            </w:r>
            <w:r w:rsidR="00052944">
              <w:rPr>
                <w:noProof/>
                <w:szCs w:val="20"/>
              </w:rPr>
              <w:t xml:space="preserve">(836) </w:t>
            </w:r>
            <w:r w:rsidR="008D3270">
              <w:rPr>
                <w:noProof/>
                <w:szCs w:val="20"/>
              </w:rPr>
              <w:t xml:space="preserve">of respondents </w:t>
            </w:r>
            <w:r w:rsidR="00052944">
              <w:rPr>
                <w:noProof/>
                <w:szCs w:val="20"/>
              </w:rPr>
              <w:t xml:space="preserve">who thought that </w:t>
            </w:r>
            <w:r w:rsidR="008D3270">
              <w:rPr>
                <w:noProof/>
                <w:szCs w:val="20"/>
              </w:rPr>
              <w:t>resubmission was a barrier</w:t>
            </w:r>
            <w:r w:rsidR="00052944">
              <w:rPr>
                <w:noProof/>
                <w:szCs w:val="20"/>
              </w:rPr>
              <w:t>, indicat</w:t>
            </w:r>
            <w:r w:rsidR="00261E4E">
              <w:rPr>
                <w:noProof/>
                <w:szCs w:val="20"/>
              </w:rPr>
              <w:t>ing</w:t>
            </w:r>
            <w:r w:rsidR="00052944">
              <w:rPr>
                <w:noProof/>
                <w:szCs w:val="20"/>
              </w:rPr>
              <w:t xml:space="preserve"> </w:t>
            </w:r>
            <w:r w:rsidR="0015722A">
              <w:rPr>
                <w:noProof/>
                <w:szCs w:val="20"/>
              </w:rPr>
              <w:t xml:space="preserve">they needed to resubmit to </w:t>
            </w:r>
            <w:r w:rsidR="009200A2">
              <w:rPr>
                <w:noProof/>
                <w:szCs w:val="20"/>
              </w:rPr>
              <w:t xml:space="preserve">relevant </w:t>
            </w:r>
            <w:r w:rsidR="0015722A">
              <w:rPr>
                <w:noProof/>
                <w:szCs w:val="20"/>
              </w:rPr>
              <w:t>authorities in the context of TIN</w:t>
            </w:r>
            <w:r w:rsidR="00A377A3">
              <w:rPr>
                <w:noProof/>
                <w:szCs w:val="20"/>
              </w:rPr>
              <w:t>,</w:t>
            </w:r>
            <w:r w:rsidR="00D238C5">
              <w:rPr>
                <w:noProof/>
                <w:szCs w:val="20"/>
              </w:rPr>
              <w:t xml:space="preserve"> 67% </w:t>
            </w:r>
            <w:r w:rsidR="00115B1C">
              <w:rPr>
                <w:noProof/>
                <w:szCs w:val="20"/>
              </w:rPr>
              <w:t xml:space="preserve">to </w:t>
            </w:r>
            <w:r w:rsidR="00D238C5">
              <w:rPr>
                <w:noProof/>
                <w:szCs w:val="20"/>
              </w:rPr>
              <w:t xml:space="preserve">authorities for social security </w:t>
            </w:r>
            <w:r w:rsidR="00655F94">
              <w:rPr>
                <w:noProof/>
                <w:szCs w:val="20"/>
              </w:rPr>
              <w:t>obligations</w:t>
            </w:r>
            <w:r w:rsidR="00A377A3">
              <w:rPr>
                <w:noProof/>
                <w:szCs w:val="20"/>
              </w:rPr>
              <w:t xml:space="preserve"> and 55% </w:t>
            </w:r>
            <w:r w:rsidR="0084465E" w:rsidRPr="00AC3D6A">
              <w:rPr>
                <w:noProof/>
                <w:lang w:eastAsia="en-IE"/>
              </w:rPr>
              <w:t>to the relevant authority related to anti-money laundering</w:t>
            </w:r>
            <w:r w:rsidR="0015722A">
              <w:rPr>
                <w:noProof/>
                <w:szCs w:val="20"/>
              </w:rPr>
              <w:t>.</w:t>
            </w:r>
            <w:r w:rsidR="00655F94">
              <w:rPr>
                <w:noProof/>
                <w:szCs w:val="20"/>
              </w:rPr>
              <w:t xml:space="preserve"> </w:t>
            </w:r>
            <w:r w:rsidR="00F27E2C">
              <w:rPr>
                <w:noProof/>
                <w:szCs w:val="20"/>
              </w:rPr>
              <w:t xml:space="preserve">The </w:t>
            </w:r>
            <w:r w:rsidR="00D95B06">
              <w:rPr>
                <w:noProof/>
                <w:szCs w:val="20"/>
              </w:rPr>
              <w:t xml:space="preserve">VAT </w:t>
            </w:r>
            <w:r w:rsidR="00F27E2C">
              <w:rPr>
                <w:noProof/>
                <w:szCs w:val="20"/>
              </w:rPr>
              <w:t xml:space="preserve">identification number </w:t>
            </w:r>
            <w:r w:rsidR="00E36E66">
              <w:rPr>
                <w:noProof/>
                <w:szCs w:val="20"/>
              </w:rPr>
              <w:t xml:space="preserve">was also seen as relevant – the necessity to apply </w:t>
            </w:r>
            <w:r w:rsidR="00E36E66" w:rsidRPr="007B3232">
              <w:rPr>
                <w:noProof/>
                <w:szCs w:val="20"/>
              </w:rPr>
              <w:t>separate</w:t>
            </w:r>
            <w:r w:rsidR="00E36E66">
              <w:rPr>
                <w:noProof/>
                <w:szCs w:val="20"/>
              </w:rPr>
              <w:t>ly for</w:t>
            </w:r>
            <w:r w:rsidR="00E36E66" w:rsidRPr="007B3232">
              <w:rPr>
                <w:noProof/>
                <w:szCs w:val="20"/>
              </w:rPr>
              <w:t xml:space="preserve"> </w:t>
            </w:r>
            <w:r w:rsidR="00A069D9">
              <w:rPr>
                <w:noProof/>
                <w:szCs w:val="20"/>
              </w:rPr>
              <w:t>obtaining a</w:t>
            </w:r>
            <w:r w:rsidR="00E36E66" w:rsidRPr="007B3232">
              <w:rPr>
                <w:noProof/>
                <w:szCs w:val="20"/>
              </w:rPr>
              <w:t xml:space="preserve"> VAT </w:t>
            </w:r>
            <w:r w:rsidR="00A069D9">
              <w:rPr>
                <w:noProof/>
                <w:szCs w:val="20"/>
              </w:rPr>
              <w:t>identification number</w:t>
            </w:r>
            <w:r w:rsidR="00E36E66" w:rsidRPr="007B3232">
              <w:rPr>
                <w:noProof/>
                <w:szCs w:val="20"/>
              </w:rPr>
              <w:t xml:space="preserve"> per country</w:t>
            </w:r>
            <w:r w:rsidR="00E36E66">
              <w:rPr>
                <w:noProof/>
                <w:szCs w:val="20"/>
              </w:rPr>
              <w:t xml:space="preserve"> was mentioned by </w:t>
            </w:r>
            <w:r w:rsidR="00D95B06">
              <w:rPr>
                <w:noProof/>
                <w:szCs w:val="20"/>
              </w:rPr>
              <w:t xml:space="preserve">some </w:t>
            </w:r>
            <w:r w:rsidR="004D5F1D">
              <w:rPr>
                <w:noProof/>
                <w:szCs w:val="20"/>
              </w:rPr>
              <w:t xml:space="preserve">respondents to </w:t>
            </w:r>
            <w:r w:rsidR="002840C8">
              <w:rPr>
                <w:noProof/>
                <w:szCs w:val="20"/>
              </w:rPr>
              <w:t xml:space="preserve">the </w:t>
            </w:r>
            <w:r w:rsidR="004D5F1D">
              <w:rPr>
                <w:noProof/>
                <w:szCs w:val="20"/>
              </w:rPr>
              <w:t xml:space="preserve">consultation and </w:t>
            </w:r>
            <w:r w:rsidR="00D95B06">
              <w:rPr>
                <w:noProof/>
                <w:szCs w:val="20"/>
              </w:rPr>
              <w:t xml:space="preserve">some </w:t>
            </w:r>
            <w:r w:rsidR="004D5F1D">
              <w:rPr>
                <w:noProof/>
                <w:szCs w:val="20"/>
              </w:rPr>
              <w:t>stakeholders in bilateral contacts.</w:t>
            </w:r>
            <w:r w:rsidR="00BC5948">
              <w:rPr>
                <w:noProof/>
                <w:lang w:eastAsia="en-IE"/>
              </w:rPr>
              <w:t xml:space="preserve"> In addition, </w:t>
            </w:r>
            <w:r w:rsidR="000874D0">
              <w:rPr>
                <w:noProof/>
                <w:lang w:eastAsia="en-IE"/>
              </w:rPr>
              <w:t xml:space="preserve">those </w:t>
            </w:r>
            <w:r w:rsidR="00BC5948" w:rsidRPr="00AC3D6A">
              <w:rPr>
                <w:noProof/>
                <w:lang w:eastAsia="en-IE"/>
              </w:rPr>
              <w:t xml:space="preserve">respondents </w:t>
            </w:r>
            <w:r w:rsidR="00F71C8F">
              <w:rPr>
                <w:noProof/>
                <w:lang w:eastAsia="en-IE"/>
              </w:rPr>
              <w:t xml:space="preserve">were in favour of </w:t>
            </w:r>
            <w:r w:rsidR="00BC5948" w:rsidRPr="00AC3D6A">
              <w:rPr>
                <w:noProof/>
                <w:lang w:eastAsia="en-IE"/>
              </w:rPr>
              <w:t>the immediate issuance of a TIN/VAT identification number upon initial registration of the company.</w:t>
            </w:r>
          </w:p>
        </w:tc>
      </w:tr>
      <w:tr w:rsidR="00DF5E69" w:rsidRPr="00DC6DD8" w14:paraId="777EFB62" w14:textId="77777777" w:rsidTr="6F00936E">
        <w:trPr>
          <w:trHeight w:val="980"/>
        </w:trPr>
        <w:tc>
          <w:tcPr>
            <w:tcW w:w="2122" w:type="dxa"/>
            <w:vAlign w:val="center"/>
          </w:tcPr>
          <w:p w14:paraId="66C321FE" w14:textId="77777777" w:rsidR="00DF5E69" w:rsidRDefault="00DF5E69" w:rsidP="00DF5E69">
            <w:pPr>
              <w:rPr>
                <w:b/>
                <w:noProof/>
                <w:szCs w:val="20"/>
              </w:rPr>
            </w:pPr>
            <w:r w:rsidRPr="00154739">
              <w:rPr>
                <w:b/>
                <w:noProof/>
                <w:szCs w:val="20"/>
              </w:rPr>
              <w:t>Ease of attracting investment</w:t>
            </w:r>
          </w:p>
        </w:tc>
        <w:tc>
          <w:tcPr>
            <w:tcW w:w="1508" w:type="dxa"/>
          </w:tcPr>
          <w:p w14:paraId="66FBF892" w14:textId="77777777" w:rsidR="00DF5E69" w:rsidRPr="00170FBB" w:rsidRDefault="00DF5E69" w:rsidP="00DF5E69">
            <w:pPr>
              <w:rPr>
                <w:noProof/>
                <w:sz w:val="18"/>
                <w:szCs w:val="18"/>
              </w:rPr>
            </w:pPr>
            <w:r w:rsidRPr="00170FBB">
              <w:rPr>
                <w:noProof/>
                <w:sz w:val="18"/>
                <w:szCs w:val="18"/>
              </w:rPr>
              <w:t>Score 0-5</w:t>
            </w:r>
          </w:p>
          <w:p w14:paraId="6B7BD712" w14:textId="77777777" w:rsidR="00DF5E69" w:rsidRPr="00170FBB" w:rsidRDefault="00DF5E69" w:rsidP="00DF5E69">
            <w:pPr>
              <w:rPr>
                <w:noProof/>
                <w:sz w:val="18"/>
                <w:szCs w:val="18"/>
              </w:rPr>
            </w:pPr>
          </w:p>
          <w:p w14:paraId="08F6CC2C" w14:textId="77777777" w:rsidR="00DF5E69" w:rsidRPr="00170FBB" w:rsidRDefault="00DF5E69" w:rsidP="00DF5E69">
            <w:pPr>
              <w:rPr>
                <w:noProof/>
                <w:sz w:val="18"/>
                <w:szCs w:val="18"/>
              </w:rPr>
            </w:pPr>
          </w:p>
        </w:tc>
        <w:tc>
          <w:tcPr>
            <w:tcW w:w="1042" w:type="dxa"/>
          </w:tcPr>
          <w:p w14:paraId="7F03668F" w14:textId="7D30A183" w:rsidR="00DF5E69" w:rsidRPr="00E473D3" w:rsidRDefault="00625F68" w:rsidP="00E473D3">
            <w:pPr>
              <w:jc w:val="center"/>
              <w:rPr>
                <w:noProof/>
                <w:szCs w:val="20"/>
              </w:rPr>
            </w:pPr>
            <w:r w:rsidRPr="00E473D3">
              <w:rPr>
                <w:noProof/>
                <w:szCs w:val="20"/>
              </w:rPr>
              <w:t>0</w:t>
            </w:r>
          </w:p>
        </w:tc>
        <w:tc>
          <w:tcPr>
            <w:tcW w:w="996" w:type="dxa"/>
          </w:tcPr>
          <w:p w14:paraId="40826D17" w14:textId="2BAABF31" w:rsidR="00DF5E69" w:rsidRPr="00E473D3" w:rsidRDefault="00625F68" w:rsidP="00E473D3">
            <w:pPr>
              <w:jc w:val="center"/>
              <w:rPr>
                <w:noProof/>
                <w:szCs w:val="20"/>
              </w:rPr>
            </w:pPr>
            <w:r w:rsidRPr="00E473D3">
              <w:rPr>
                <w:noProof/>
                <w:szCs w:val="20"/>
              </w:rPr>
              <w:t>0</w:t>
            </w:r>
          </w:p>
        </w:tc>
        <w:tc>
          <w:tcPr>
            <w:tcW w:w="994" w:type="dxa"/>
          </w:tcPr>
          <w:p w14:paraId="669FEFFB" w14:textId="1164FBAD" w:rsidR="00DF5E69" w:rsidRPr="00E473D3" w:rsidRDefault="00625F68" w:rsidP="00E473D3">
            <w:pPr>
              <w:jc w:val="center"/>
              <w:rPr>
                <w:noProof/>
                <w:szCs w:val="20"/>
              </w:rPr>
            </w:pPr>
            <w:r w:rsidRPr="00E473D3">
              <w:rPr>
                <w:noProof/>
                <w:szCs w:val="20"/>
              </w:rPr>
              <w:t>0</w:t>
            </w:r>
          </w:p>
        </w:tc>
        <w:tc>
          <w:tcPr>
            <w:tcW w:w="7508" w:type="dxa"/>
          </w:tcPr>
          <w:p w14:paraId="20C66E37" w14:textId="655622A1" w:rsidR="00DF5E69" w:rsidRPr="00DC6DD8" w:rsidRDefault="00166DA3" w:rsidP="00DF5E69">
            <w:pPr>
              <w:rPr>
                <w:noProof/>
                <w:szCs w:val="20"/>
              </w:rPr>
            </w:pPr>
            <w:r>
              <w:rPr>
                <w:noProof/>
                <w:szCs w:val="20"/>
              </w:rPr>
              <w:t>n/a</w:t>
            </w:r>
          </w:p>
        </w:tc>
      </w:tr>
      <w:tr w:rsidR="00DF5E69" w:rsidRPr="00DC6DD8" w14:paraId="34D65C71" w14:textId="77777777" w:rsidTr="6F00936E">
        <w:tc>
          <w:tcPr>
            <w:tcW w:w="2122" w:type="dxa"/>
            <w:vAlign w:val="center"/>
          </w:tcPr>
          <w:p w14:paraId="5D7EE2C6" w14:textId="77777777" w:rsidR="00DF5E69" w:rsidRPr="00DC6DD8" w:rsidRDefault="00DF5E69" w:rsidP="00DF5E69">
            <w:pPr>
              <w:rPr>
                <w:b/>
                <w:noProof/>
                <w:szCs w:val="20"/>
              </w:rPr>
            </w:pPr>
            <w:r w:rsidRPr="00154739">
              <w:rPr>
                <w:b/>
                <w:noProof/>
                <w:szCs w:val="20"/>
              </w:rPr>
              <w:t>Administrative burden reduction (benefit)</w:t>
            </w:r>
          </w:p>
        </w:tc>
        <w:tc>
          <w:tcPr>
            <w:tcW w:w="1508" w:type="dxa"/>
          </w:tcPr>
          <w:p w14:paraId="6DD5E75A" w14:textId="77777777" w:rsidR="00AE49D1" w:rsidRDefault="00AE49D1" w:rsidP="00DF5E69">
            <w:pPr>
              <w:rPr>
                <w:noProof/>
                <w:sz w:val="18"/>
                <w:szCs w:val="18"/>
              </w:rPr>
            </w:pPr>
            <w:r>
              <w:rPr>
                <w:noProof/>
                <w:sz w:val="18"/>
                <w:szCs w:val="18"/>
              </w:rPr>
              <w:t xml:space="preserve">Score 0-5 </w:t>
            </w:r>
          </w:p>
          <w:p w14:paraId="1408F726" w14:textId="77777777" w:rsidR="00DF5E69" w:rsidRDefault="00DF5E69" w:rsidP="00DF5E69">
            <w:pPr>
              <w:rPr>
                <w:noProof/>
                <w:sz w:val="18"/>
                <w:szCs w:val="18"/>
              </w:rPr>
            </w:pPr>
            <w:r w:rsidRPr="00170FBB">
              <w:rPr>
                <w:noProof/>
                <w:sz w:val="18"/>
                <w:szCs w:val="18"/>
              </w:rPr>
              <w:t>Standard Cost Model calculations or n/a</w:t>
            </w:r>
          </w:p>
          <w:p w14:paraId="67CEAFA7" w14:textId="1CE681C5" w:rsidR="00DF5E69" w:rsidRPr="003567A2" w:rsidRDefault="00DF5E69" w:rsidP="00DF5E69">
            <w:pPr>
              <w:rPr>
                <w:i/>
                <w:noProof/>
                <w:sz w:val="18"/>
                <w:szCs w:val="18"/>
              </w:rPr>
            </w:pPr>
          </w:p>
        </w:tc>
        <w:tc>
          <w:tcPr>
            <w:tcW w:w="1042" w:type="dxa"/>
          </w:tcPr>
          <w:p w14:paraId="603041B6" w14:textId="77777777" w:rsidR="00DF5E69" w:rsidRDefault="006F562E" w:rsidP="00E473D3">
            <w:pPr>
              <w:jc w:val="center"/>
              <w:rPr>
                <w:noProof/>
                <w:szCs w:val="20"/>
              </w:rPr>
            </w:pPr>
            <w:r>
              <w:rPr>
                <w:noProof/>
                <w:szCs w:val="20"/>
              </w:rPr>
              <w:t>2</w:t>
            </w:r>
          </w:p>
          <w:p w14:paraId="72E9E337" w14:textId="014CFEF3" w:rsidR="00D55E93" w:rsidRDefault="42D08D84" w:rsidP="6F00936E">
            <w:pPr>
              <w:spacing w:before="0" w:after="0"/>
              <w:jc w:val="center"/>
              <w:rPr>
                <w:rFonts w:ascii="Arial" w:hAnsi="Arial" w:cs="Arial"/>
                <w:noProof/>
              </w:rPr>
            </w:pPr>
            <w:r w:rsidRPr="6F00936E">
              <w:rPr>
                <w:rFonts w:ascii="Arial" w:hAnsi="Arial" w:cs="Arial"/>
                <w:noProof/>
              </w:rPr>
              <w:t>EUR</w:t>
            </w:r>
            <w:r w:rsidR="765E3BEA" w:rsidRPr="6F00936E">
              <w:rPr>
                <w:rFonts w:ascii="Arial" w:hAnsi="Arial" w:cs="Arial"/>
                <w:noProof/>
              </w:rPr>
              <w:t xml:space="preserve"> 26,316,508 </w:t>
            </w:r>
          </w:p>
          <w:p w14:paraId="7F357ED1" w14:textId="3C866875" w:rsidR="006D75C5" w:rsidRPr="00E473D3" w:rsidRDefault="006D75C5" w:rsidP="00D55E93">
            <w:pPr>
              <w:jc w:val="center"/>
              <w:rPr>
                <w:noProof/>
                <w:sz w:val="18"/>
                <w:szCs w:val="18"/>
              </w:rPr>
            </w:pPr>
            <w:r w:rsidRPr="001659E5">
              <w:rPr>
                <w:rFonts w:eastAsia="Times New Roman" w:cs="Calibri"/>
                <w:noProof/>
                <w:color w:val="000000"/>
                <w:sz w:val="16"/>
                <w:szCs w:val="16"/>
                <w:lang w:val="en-IE" w:eastAsia="en-IE"/>
              </w:rPr>
              <w:t>Total one-off administrative burden reduction for 28</w:t>
            </w:r>
            <w:r w:rsidRPr="00057DF3">
              <w:rPr>
                <w:rFonts w:eastAsia="Times New Roman" w:cs="Calibri"/>
                <w:noProof/>
                <w:color w:val="000000"/>
                <w:sz w:val="16"/>
                <w:szCs w:val="16"/>
                <w:lang w:val="en-IE" w:eastAsia="en-IE"/>
              </w:rPr>
              <w:t>th</w:t>
            </w:r>
            <w:r w:rsidRPr="001659E5">
              <w:rPr>
                <w:rFonts w:eastAsia="Times New Roman" w:cs="Calibri"/>
                <w:noProof/>
                <w:color w:val="000000"/>
                <w:sz w:val="16"/>
                <w:szCs w:val="16"/>
                <w:lang w:val="en-IE" w:eastAsia="en-IE"/>
              </w:rPr>
              <w:t xml:space="preserve"> regime companies created over a period of 10 years.</w:t>
            </w:r>
          </w:p>
        </w:tc>
        <w:tc>
          <w:tcPr>
            <w:tcW w:w="996" w:type="dxa"/>
          </w:tcPr>
          <w:p w14:paraId="1AB39361" w14:textId="77777777" w:rsidR="00DF5E69" w:rsidRDefault="006F562E" w:rsidP="00E473D3">
            <w:pPr>
              <w:jc w:val="center"/>
              <w:rPr>
                <w:noProof/>
                <w:szCs w:val="20"/>
              </w:rPr>
            </w:pPr>
            <w:r>
              <w:rPr>
                <w:noProof/>
                <w:szCs w:val="20"/>
              </w:rPr>
              <w:t>3</w:t>
            </w:r>
          </w:p>
          <w:p w14:paraId="6665C338" w14:textId="4DADD59B" w:rsidR="00D55E93" w:rsidRPr="00D55E93" w:rsidRDefault="42D08D84" w:rsidP="00D55E93">
            <w:pPr>
              <w:spacing w:before="0" w:after="0"/>
              <w:jc w:val="center"/>
              <w:rPr>
                <w:rFonts w:cs="Arial"/>
                <w:noProof/>
                <w:color w:val="auto"/>
                <w:sz w:val="18"/>
                <w:szCs w:val="18"/>
              </w:rPr>
            </w:pPr>
            <w:r w:rsidRPr="6F00936E">
              <w:rPr>
                <w:rFonts w:cs="Arial"/>
                <w:noProof/>
                <w:sz w:val="18"/>
                <w:szCs w:val="18"/>
              </w:rPr>
              <w:t>EUR</w:t>
            </w:r>
            <w:r w:rsidR="765E3BEA" w:rsidRPr="6F00936E">
              <w:rPr>
                <w:rFonts w:cs="Arial"/>
                <w:noProof/>
                <w:sz w:val="18"/>
                <w:szCs w:val="18"/>
              </w:rPr>
              <w:t xml:space="preserve"> 26,316,508 </w:t>
            </w:r>
          </w:p>
          <w:p w14:paraId="424F205F" w14:textId="7544DF22" w:rsidR="006D75C5" w:rsidRPr="00E473D3" w:rsidRDefault="006D75C5" w:rsidP="00E473D3">
            <w:pPr>
              <w:jc w:val="center"/>
              <w:rPr>
                <w:noProof/>
                <w:sz w:val="18"/>
                <w:szCs w:val="18"/>
              </w:rPr>
            </w:pPr>
            <w:r w:rsidRPr="001659E5">
              <w:rPr>
                <w:rFonts w:eastAsia="Times New Roman" w:cs="Calibri"/>
                <w:noProof/>
                <w:color w:val="000000"/>
                <w:sz w:val="16"/>
                <w:szCs w:val="16"/>
                <w:lang w:val="en-IE" w:eastAsia="en-IE"/>
              </w:rPr>
              <w:t>Total one-off administrative burden reduction for 28</w:t>
            </w:r>
            <w:r w:rsidRPr="00057DF3">
              <w:rPr>
                <w:rFonts w:eastAsia="Times New Roman" w:cs="Calibri"/>
                <w:noProof/>
                <w:color w:val="000000"/>
                <w:sz w:val="16"/>
                <w:szCs w:val="16"/>
                <w:lang w:val="en-IE" w:eastAsia="en-IE"/>
              </w:rPr>
              <w:t>th</w:t>
            </w:r>
            <w:r w:rsidRPr="001659E5">
              <w:rPr>
                <w:rFonts w:eastAsia="Times New Roman" w:cs="Calibri"/>
                <w:noProof/>
                <w:color w:val="000000"/>
                <w:sz w:val="16"/>
                <w:szCs w:val="16"/>
                <w:lang w:val="en-IE" w:eastAsia="en-IE"/>
              </w:rPr>
              <w:t xml:space="preserve"> regime companies created over a period of 10 years.</w:t>
            </w:r>
          </w:p>
        </w:tc>
        <w:tc>
          <w:tcPr>
            <w:tcW w:w="994" w:type="dxa"/>
          </w:tcPr>
          <w:p w14:paraId="0F278B8C" w14:textId="77777777" w:rsidR="00DF5E69" w:rsidRDefault="006F562E" w:rsidP="00E473D3">
            <w:pPr>
              <w:jc w:val="center"/>
              <w:rPr>
                <w:noProof/>
                <w:szCs w:val="20"/>
              </w:rPr>
            </w:pPr>
            <w:r>
              <w:rPr>
                <w:noProof/>
                <w:szCs w:val="20"/>
              </w:rPr>
              <w:t>4</w:t>
            </w:r>
          </w:p>
          <w:p w14:paraId="32F16E86" w14:textId="122EDF68" w:rsidR="00C9223B" w:rsidRDefault="0CBB9825" w:rsidP="00C9223B">
            <w:pPr>
              <w:spacing w:before="0" w:after="0"/>
              <w:jc w:val="center"/>
              <w:rPr>
                <w:rFonts w:cs="Arial"/>
                <w:noProof/>
                <w:sz w:val="18"/>
                <w:szCs w:val="18"/>
              </w:rPr>
            </w:pPr>
            <w:r w:rsidRPr="6F00936E">
              <w:rPr>
                <w:rFonts w:cs="Arial"/>
                <w:noProof/>
                <w:sz w:val="18"/>
                <w:szCs w:val="18"/>
              </w:rPr>
              <w:t>EUR</w:t>
            </w:r>
            <w:r w:rsidR="07663300" w:rsidRPr="6F00936E">
              <w:rPr>
                <w:rFonts w:cs="Arial"/>
                <w:noProof/>
                <w:sz w:val="18"/>
                <w:szCs w:val="18"/>
              </w:rPr>
              <w:t xml:space="preserve"> 28,718,065 </w:t>
            </w:r>
          </w:p>
          <w:p w14:paraId="10CADF8F" w14:textId="77777777" w:rsidR="00C9223B" w:rsidRPr="00C9223B" w:rsidRDefault="00C9223B" w:rsidP="00C9223B">
            <w:pPr>
              <w:spacing w:before="0" w:after="0"/>
              <w:jc w:val="center"/>
              <w:rPr>
                <w:rFonts w:cs="Arial"/>
                <w:noProof/>
                <w:color w:val="auto"/>
                <w:sz w:val="18"/>
                <w:szCs w:val="18"/>
              </w:rPr>
            </w:pPr>
          </w:p>
          <w:p w14:paraId="31D28B47" w14:textId="54D08574" w:rsidR="006D75C5" w:rsidRPr="00E473D3" w:rsidRDefault="006D75C5" w:rsidP="00E473D3">
            <w:pPr>
              <w:spacing w:before="0" w:after="0"/>
              <w:jc w:val="center"/>
              <w:rPr>
                <w:rFonts w:cs="Arial"/>
                <w:noProof/>
                <w:color w:val="auto"/>
                <w:sz w:val="18"/>
                <w:szCs w:val="18"/>
              </w:rPr>
            </w:pPr>
            <w:r w:rsidRPr="001659E5">
              <w:rPr>
                <w:rFonts w:eastAsia="Times New Roman" w:cs="Calibri"/>
                <w:noProof/>
                <w:color w:val="000000"/>
                <w:sz w:val="16"/>
                <w:szCs w:val="16"/>
                <w:lang w:val="en-IE" w:eastAsia="en-IE"/>
              </w:rPr>
              <w:t>Total one-off administrative burden reduction for 28</w:t>
            </w:r>
            <w:r w:rsidRPr="00057DF3">
              <w:rPr>
                <w:rFonts w:eastAsia="Times New Roman" w:cs="Calibri"/>
                <w:noProof/>
                <w:color w:val="000000"/>
                <w:sz w:val="16"/>
                <w:szCs w:val="16"/>
                <w:lang w:val="en-IE" w:eastAsia="en-IE"/>
              </w:rPr>
              <w:t>th</w:t>
            </w:r>
            <w:r w:rsidRPr="001659E5">
              <w:rPr>
                <w:rFonts w:eastAsia="Times New Roman" w:cs="Calibri"/>
                <w:noProof/>
                <w:color w:val="000000"/>
                <w:sz w:val="16"/>
                <w:szCs w:val="16"/>
                <w:lang w:val="en-IE" w:eastAsia="en-IE"/>
              </w:rPr>
              <w:t xml:space="preserve"> regime companies created over a period of 10 years.</w:t>
            </w:r>
          </w:p>
          <w:p w14:paraId="7099AD82" w14:textId="3A4A3831" w:rsidR="008245E1" w:rsidRDefault="008245E1" w:rsidP="00E473D3">
            <w:pPr>
              <w:jc w:val="center"/>
              <w:rPr>
                <w:noProof/>
                <w:szCs w:val="20"/>
              </w:rPr>
            </w:pPr>
          </w:p>
        </w:tc>
        <w:tc>
          <w:tcPr>
            <w:tcW w:w="7508" w:type="dxa"/>
          </w:tcPr>
          <w:p w14:paraId="52A23BA0" w14:textId="20A91BFB" w:rsidR="00DF5E69" w:rsidRPr="003454BA" w:rsidRDefault="00E32997" w:rsidP="00E32997">
            <w:pPr>
              <w:jc w:val="both"/>
              <w:rPr>
                <w:noProof/>
                <w:szCs w:val="20"/>
              </w:rPr>
            </w:pPr>
            <w:r w:rsidRPr="00E32997">
              <w:rPr>
                <w:noProof/>
                <w:szCs w:val="20"/>
              </w:rPr>
              <w:t xml:space="preserve">Companies would </w:t>
            </w:r>
            <w:r w:rsidR="004A6E08">
              <w:rPr>
                <w:noProof/>
                <w:szCs w:val="20"/>
              </w:rPr>
              <w:t xml:space="preserve">already </w:t>
            </w:r>
            <w:r w:rsidRPr="00E32997">
              <w:rPr>
                <w:noProof/>
                <w:szCs w:val="20"/>
              </w:rPr>
              <w:t xml:space="preserve">save </w:t>
            </w:r>
            <w:r w:rsidR="00353A00">
              <w:rPr>
                <w:noProof/>
                <w:szCs w:val="20"/>
              </w:rPr>
              <w:t xml:space="preserve">thanks to the introduction of the </w:t>
            </w:r>
            <w:r w:rsidRPr="00E32997">
              <w:rPr>
                <w:noProof/>
                <w:szCs w:val="20"/>
              </w:rPr>
              <w:t>once-only-</w:t>
            </w:r>
            <w:r w:rsidR="00353A00">
              <w:rPr>
                <w:noProof/>
                <w:szCs w:val="20"/>
              </w:rPr>
              <w:t xml:space="preserve">transmission of information between registers and tax and social security authorities and beneficial ownership registers </w:t>
            </w:r>
            <w:r w:rsidR="004A6E08">
              <w:rPr>
                <w:noProof/>
                <w:szCs w:val="20"/>
              </w:rPr>
              <w:t xml:space="preserve">under PO3a </w:t>
            </w:r>
            <w:r w:rsidRPr="00E32997">
              <w:rPr>
                <w:noProof/>
                <w:szCs w:val="20"/>
              </w:rPr>
              <w:t xml:space="preserve">as they would not have to </w:t>
            </w:r>
            <w:r w:rsidR="00353A00">
              <w:rPr>
                <w:noProof/>
                <w:szCs w:val="20"/>
              </w:rPr>
              <w:t>re</w:t>
            </w:r>
            <w:r w:rsidRPr="00E32997">
              <w:rPr>
                <w:noProof/>
                <w:szCs w:val="20"/>
              </w:rPr>
              <w:t xml:space="preserve">submit documents </w:t>
            </w:r>
            <w:r w:rsidR="0058510D">
              <w:rPr>
                <w:noProof/>
                <w:szCs w:val="20"/>
              </w:rPr>
              <w:t xml:space="preserve">which they already provided to the register but the savings would be highest under PO3c </w:t>
            </w:r>
            <w:r w:rsidR="00A3604B">
              <w:rPr>
                <w:noProof/>
                <w:szCs w:val="20"/>
              </w:rPr>
              <w:t xml:space="preserve">where </w:t>
            </w:r>
            <w:r w:rsidR="009F3341">
              <w:rPr>
                <w:noProof/>
                <w:szCs w:val="20"/>
              </w:rPr>
              <w:t xml:space="preserve">they would </w:t>
            </w:r>
            <w:r w:rsidR="000769BD">
              <w:rPr>
                <w:noProof/>
                <w:szCs w:val="20"/>
              </w:rPr>
              <w:t xml:space="preserve">be able to receive TIN and VAT </w:t>
            </w:r>
            <w:r w:rsidR="001F3E6F">
              <w:rPr>
                <w:noProof/>
                <w:szCs w:val="20"/>
              </w:rPr>
              <w:t xml:space="preserve">identification </w:t>
            </w:r>
            <w:r w:rsidR="000769BD">
              <w:rPr>
                <w:noProof/>
                <w:szCs w:val="20"/>
              </w:rPr>
              <w:t xml:space="preserve">number </w:t>
            </w:r>
            <w:r w:rsidR="009B0B80">
              <w:rPr>
                <w:noProof/>
                <w:szCs w:val="20"/>
              </w:rPr>
              <w:t>without additional separate submissions (but with information being already part of the original template)</w:t>
            </w:r>
            <w:r w:rsidR="00306E3C">
              <w:rPr>
                <w:noProof/>
                <w:szCs w:val="20"/>
              </w:rPr>
              <w:t>, although in some cases tax authorities might need to ask companies for additional information, diminishing this benefit.</w:t>
            </w:r>
            <w:r w:rsidRPr="00E32997">
              <w:rPr>
                <w:noProof/>
                <w:szCs w:val="20"/>
              </w:rPr>
              <w:t xml:space="preserve"> </w:t>
            </w:r>
          </w:p>
        </w:tc>
      </w:tr>
      <w:tr w:rsidR="00DF5E69" w:rsidRPr="00DC6DD8" w14:paraId="097F8E87" w14:textId="77777777" w:rsidTr="6F00936E">
        <w:tc>
          <w:tcPr>
            <w:tcW w:w="2122" w:type="dxa"/>
            <w:vAlign w:val="center"/>
          </w:tcPr>
          <w:p w14:paraId="1EA5236F" w14:textId="77777777" w:rsidR="00DF5E69" w:rsidRPr="00154739" w:rsidRDefault="00DF5E69" w:rsidP="00DF5E69">
            <w:pPr>
              <w:rPr>
                <w:b/>
                <w:noProof/>
                <w:szCs w:val="20"/>
              </w:rPr>
            </w:pPr>
            <w:r w:rsidRPr="00154739">
              <w:rPr>
                <w:b/>
                <w:noProof/>
                <w:szCs w:val="20"/>
              </w:rPr>
              <w:t>Administrative and adjustment costs</w:t>
            </w:r>
          </w:p>
        </w:tc>
        <w:tc>
          <w:tcPr>
            <w:tcW w:w="1508" w:type="dxa"/>
          </w:tcPr>
          <w:p w14:paraId="404D1EA2" w14:textId="4B8E26CA" w:rsidR="00DF5E69" w:rsidRPr="00170FBB" w:rsidRDefault="00DF5E69" w:rsidP="00DF5E69">
            <w:pPr>
              <w:rPr>
                <w:noProof/>
                <w:sz w:val="18"/>
                <w:szCs w:val="18"/>
              </w:rPr>
            </w:pPr>
            <w:r w:rsidRPr="00170FBB">
              <w:rPr>
                <w:noProof/>
                <w:sz w:val="18"/>
                <w:szCs w:val="18"/>
              </w:rPr>
              <w:t>Qualitative score 0-5</w:t>
            </w:r>
          </w:p>
        </w:tc>
        <w:tc>
          <w:tcPr>
            <w:tcW w:w="1042" w:type="dxa"/>
          </w:tcPr>
          <w:p w14:paraId="699D075D" w14:textId="4F6DCDB5" w:rsidR="00DF5E69" w:rsidRDefault="00AD12E3" w:rsidP="00E473D3">
            <w:pPr>
              <w:jc w:val="center"/>
              <w:rPr>
                <w:noProof/>
                <w:szCs w:val="20"/>
              </w:rPr>
            </w:pPr>
            <w:r>
              <w:rPr>
                <w:noProof/>
                <w:szCs w:val="20"/>
              </w:rPr>
              <w:t>0</w:t>
            </w:r>
          </w:p>
        </w:tc>
        <w:tc>
          <w:tcPr>
            <w:tcW w:w="996" w:type="dxa"/>
          </w:tcPr>
          <w:p w14:paraId="483064CF" w14:textId="5D7BB369" w:rsidR="00DF5E69" w:rsidRDefault="00AD12E3" w:rsidP="00E473D3">
            <w:pPr>
              <w:jc w:val="center"/>
              <w:rPr>
                <w:noProof/>
                <w:szCs w:val="20"/>
              </w:rPr>
            </w:pPr>
            <w:r>
              <w:rPr>
                <w:noProof/>
                <w:szCs w:val="20"/>
              </w:rPr>
              <w:t>0</w:t>
            </w:r>
          </w:p>
        </w:tc>
        <w:tc>
          <w:tcPr>
            <w:tcW w:w="994" w:type="dxa"/>
          </w:tcPr>
          <w:p w14:paraId="039833DE" w14:textId="560D194A" w:rsidR="00DF5E69" w:rsidRDefault="00AD12E3" w:rsidP="00E473D3">
            <w:pPr>
              <w:jc w:val="center"/>
              <w:rPr>
                <w:noProof/>
                <w:szCs w:val="20"/>
              </w:rPr>
            </w:pPr>
            <w:r>
              <w:rPr>
                <w:noProof/>
                <w:szCs w:val="20"/>
              </w:rPr>
              <w:t>0</w:t>
            </w:r>
          </w:p>
        </w:tc>
        <w:tc>
          <w:tcPr>
            <w:tcW w:w="7508" w:type="dxa"/>
          </w:tcPr>
          <w:p w14:paraId="010A76E3" w14:textId="414A7EBA" w:rsidR="00DF5E69" w:rsidRPr="003454BA" w:rsidRDefault="00A45AC4" w:rsidP="00DF5E69">
            <w:pPr>
              <w:rPr>
                <w:noProof/>
                <w:szCs w:val="20"/>
              </w:rPr>
            </w:pPr>
            <w:r>
              <w:rPr>
                <w:noProof/>
                <w:szCs w:val="20"/>
              </w:rPr>
              <w:t>n/a</w:t>
            </w:r>
          </w:p>
        </w:tc>
      </w:tr>
      <w:tr w:rsidR="00DF5E69" w:rsidRPr="00DC6DD8" w14:paraId="6B484C6C" w14:textId="77777777" w:rsidTr="6F00936E">
        <w:tc>
          <w:tcPr>
            <w:tcW w:w="14170" w:type="dxa"/>
            <w:gridSpan w:val="6"/>
            <w:shd w:val="clear" w:color="auto" w:fill="92D050"/>
            <w:vAlign w:val="center"/>
          </w:tcPr>
          <w:p w14:paraId="7D8B7D06" w14:textId="77777777" w:rsidR="00DF5E69" w:rsidRPr="00DC6DD8" w:rsidRDefault="00DF5E69" w:rsidP="00DF5E69">
            <w:pPr>
              <w:rPr>
                <w:b/>
                <w:noProof/>
                <w:szCs w:val="20"/>
              </w:rPr>
            </w:pPr>
            <w:r w:rsidRPr="00D345EC">
              <w:rPr>
                <w:b/>
                <w:noProof/>
                <w:sz w:val="24"/>
                <w:szCs w:val="24"/>
              </w:rPr>
              <w:t>Public authorities</w:t>
            </w:r>
          </w:p>
        </w:tc>
      </w:tr>
      <w:tr w:rsidR="00DF5E69" w:rsidRPr="00DC6DD8" w14:paraId="0B63630B" w14:textId="77777777" w:rsidTr="6F00936E">
        <w:tc>
          <w:tcPr>
            <w:tcW w:w="2122" w:type="dxa"/>
          </w:tcPr>
          <w:p w14:paraId="4FA8A96B" w14:textId="77777777" w:rsidR="00DF5E69" w:rsidRPr="0074616C" w:rsidRDefault="00DF5E69" w:rsidP="00DF5E69">
            <w:pPr>
              <w:rPr>
                <w:b/>
                <w:noProof/>
                <w:szCs w:val="20"/>
              </w:rPr>
            </w:pPr>
            <w:r>
              <w:rPr>
                <w:b/>
                <w:noProof/>
                <w:szCs w:val="20"/>
              </w:rPr>
              <w:t>Costs</w:t>
            </w:r>
          </w:p>
        </w:tc>
        <w:tc>
          <w:tcPr>
            <w:tcW w:w="1508" w:type="dxa"/>
          </w:tcPr>
          <w:p w14:paraId="14785427" w14:textId="77777777" w:rsidR="00DF5E69" w:rsidRPr="00170FBB" w:rsidRDefault="00DF5E69" w:rsidP="00DF5E69">
            <w:pPr>
              <w:rPr>
                <w:noProof/>
                <w:sz w:val="18"/>
                <w:szCs w:val="18"/>
              </w:rPr>
            </w:pPr>
            <w:r w:rsidRPr="00170FBB">
              <w:rPr>
                <w:noProof/>
                <w:sz w:val="18"/>
                <w:szCs w:val="18"/>
              </w:rPr>
              <w:t>Score 0-5</w:t>
            </w:r>
          </w:p>
        </w:tc>
        <w:tc>
          <w:tcPr>
            <w:tcW w:w="1042" w:type="dxa"/>
          </w:tcPr>
          <w:p w14:paraId="67410D52" w14:textId="6DFF6204" w:rsidR="00DF5E69" w:rsidRPr="0029649C" w:rsidRDefault="00541260" w:rsidP="00541260">
            <w:pPr>
              <w:jc w:val="center"/>
              <w:rPr>
                <w:noProof/>
                <w:szCs w:val="20"/>
              </w:rPr>
            </w:pPr>
            <w:r>
              <w:rPr>
                <w:noProof/>
                <w:szCs w:val="20"/>
              </w:rPr>
              <w:t>1</w:t>
            </w:r>
          </w:p>
        </w:tc>
        <w:tc>
          <w:tcPr>
            <w:tcW w:w="996" w:type="dxa"/>
          </w:tcPr>
          <w:p w14:paraId="45A8E29F" w14:textId="24673AE1" w:rsidR="00DF5E69" w:rsidRPr="0029649C" w:rsidRDefault="000D3004" w:rsidP="00541260">
            <w:pPr>
              <w:jc w:val="center"/>
              <w:rPr>
                <w:noProof/>
                <w:szCs w:val="20"/>
              </w:rPr>
            </w:pPr>
            <w:r>
              <w:rPr>
                <w:noProof/>
                <w:szCs w:val="20"/>
              </w:rPr>
              <w:t>2</w:t>
            </w:r>
          </w:p>
        </w:tc>
        <w:tc>
          <w:tcPr>
            <w:tcW w:w="994" w:type="dxa"/>
          </w:tcPr>
          <w:p w14:paraId="7B0AD3D0" w14:textId="02BC1BEF" w:rsidR="00DF5E69" w:rsidRPr="0029649C" w:rsidDel="00073540" w:rsidRDefault="00BA1889" w:rsidP="00541260">
            <w:pPr>
              <w:jc w:val="center"/>
              <w:rPr>
                <w:noProof/>
                <w:szCs w:val="20"/>
              </w:rPr>
            </w:pPr>
            <w:r>
              <w:rPr>
                <w:noProof/>
                <w:szCs w:val="20"/>
              </w:rPr>
              <w:t>2</w:t>
            </w:r>
          </w:p>
        </w:tc>
        <w:tc>
          <w:tcPr>
            <w:tcW w:w="7508" w:type="dxa"/>
          </w:tcPr>
          <w:p w14:paraId="696CBB89" w14:textId="77F1122C" w:rsidR="00DF5E69" w:rsidRDefault="003E379C" w:rsidP="003E379C">
            <w:pPr>
              <w:jc w:val="both"/>
              <w:rPr>
                <w:noProof/>
                <w:szCs w:val="20"/>
              </w:rPr>
            </w:pPr>
            <w:r>
              <w:rPr>
                <w:bCs/>
                <w:noProof/>
                <w:szCs w:val="20"/>
              </w:rPr>
              <w:t>To implement th</w:t>
            </w:r>
            <w:r w:rsidR="00306D73">
              <w:rPr>
                <w:bCs/>
                <w:noProof/>
                <w:szCs w:val="20"/>
              </w:rPr>
              <w:t>ese</w:t>
            </w:r>
            <w:r>
              <w:rPr>
                <w:bCs/>
                <w:noProof/>
                <w:szCs w:val="20"/>
              </w:rPr>
              <w:t xml:space="preserve"> </w:t>
            </w:r>
            <w:r w:rsidR="00306D73">
              <w:rPr>
                <w:bCs/>
                <w:noProof/>
                <w:szCs w:val="20"/>
              </w:rPr>
              <w:t>options</w:t>
            </w:r>
            <w:r w:rsidR="00AE0AA2">
              <w:rPr>
                <w:bCs/>
                <w:noProof/>
                <w:szCs w:val="20"/>
              </w:rPr>
              <w:t xml:space="preserve">, </w:t>
            </w:r>
            <w:r>
              <w:rPr>
                <w:bCs/>
                <w:noProof/>
                <w:szCs w:val="20"/>
              </w:rPr>
              <w:t xml:space="preserve">Member States would need to ensure </w:t>
            </w:r>
            <w:r w:rsidR="00EF5804">
              <w:rPr>
                <w:bCs/>
                <w:noProof/>
                <w:szCs w:val="20"/>
              </w:rPr>
              <w:t>a</w:t>
            </w:r>
            <w:r>
              <w:rPr>
                <w:bCs/>
                <w:noProof/>
                <w:szCs w:val="20"/>
              </w:rPr>
              <w:t xml:space="preserve"> technical solution for the automatic </w:t>
            </w:r>
            <w:r w:rsidR="00ED2D09">
              <w:rPr>
                <w:bCs/>
                <w:noProof/>
                <w:szCs w:val="20"/>
              </w:rPr>
              <w:t xml:space="preserve">transmission </w:t>
            </w:r>
            <w:r>
              <w:rPr>
                <w:bCs/>
                <w:noProof/>
                <w:szCs w:val="20"/>
              </w:rPr>
              <w:t>of the company information</w:t>
            </w:r>
            <w:r w:rsidR="00312D34">
              <w:rPr>
                <w:bCs/>
                <w:noProof/>
                <w:szCs w:val="20"/>
              </w:rPr>
              <w:t xml:space="preserve">. </w:t>
            </w:r>
            <w:r w:rsidR="00312D34" w:rsidRPr="003448C6">
              <w:rPr>
                <w:noProof/>
                <w:szCs w:val="20"/>
              </w:rPr>
              <w:t xml:space="preserve">This would </w:t>
            </w:r>
            <w:r w:rsidR="00F6031E" w:rsidRPr="003448C6">
              <w:rPr>
                <w:noProof/>
                <w:szCs w:val="20"/>
              </w:rPr>
              <w:t xml:space="preserve">not </w:t>
            </w:r>
            <w:r w:rsidR="00312D34" w:rsidRPr="003448C6">
              <w:rPr>
                <w:noProof/>
                <w:szCs w:val="20"/>
              </w:rPr>
              <w:t xml:space="preserve">concern </w:t>
            </w:r>
            <w:r w:rsidR="00C65CB6" w:rsidRPr="003448C6">
              <w:rPr>
                <w:noProof/>
                <w:szCs w:val="20"/>
              </w:rPr>
              <w:t xml:space="preserve">those Member States where </w:t>
            </w:r>
            <w:r w:rsidR="00382558" w:rsidRPr="003448C6">
              <w:rPr>
                <w:noProof/>
                <w:szCs w:val="20"/>
              </w:rPr>
              <w:t xml:space="preserve">this technical solution is already </w:t>
            </w:r>
            <w:r w:rsidR="00CE1CFD" w:rsidRPr="003448C6">
              <w:rPr>
                <w:noProof/>
                <w:szCs w:val="20"/>
              </w:rPr>
              <w:t>available</w:t>
            </w:r>
            <w:r w:rsidR="00382558" w:rsidRPr="003448C6">
              <w:rPr>
                <w:noProof/>
                <w:szCs w:val="20"/>
              </w:rPr>
              <w:t xml:space="preserve"> for obtaining the </w:t>
            </w:r>
            <w:r w:rsidR="00C65CB6" w:rsidRPr="003448C6">
              <w:rPr>
                <w:noProof/>
                <w:szCs w:val="20"/>
              </w:rPr>
              <w:t>tax identification number</w:t>
            </w:r>
            <w:r w:rsidR="003A6063">
              <w:rPr>
                <w:noProof/>
              </w:rPr>
              <w:t>,</w:t>
            </w:r>
            <w:r w:rsidR="003A6063">
              <w:rPr>
                <w:bCs/>
                <w:noProof/>
                <w:szCs w:val="20"/>
              </w:rPr>
              <w:t xml:space="preserve"> </w:t>
            </w:r>
            <w:r w:rsidR="00B57FEE">
              <w:rPr>
                <w:noProof/>
              </w:rPr>
              <w:t xml:space="preserve">and especially </w:t>
            </w:r>
            <w:r w:rsidR="003A6063" w:rsidRPr="7CA4FB01">
              <w:rPr>
                <w:noProof/>
              </w:rPr>
              <w:t xml:space="preserve">those </w:t>
            </w:r>
            <w:r w:rsidR="003A6063">
              <w:rPr>
                <w:noProof/>
              </w:rPr>
              <w:t xml:space="preserve">11 </w:t>
            </w:r>
            <w:r w:rsidR="003A6063" w:rsidRPr="7CA4FB01">
              <w:rPr>
                <w:noProof/>
              </w:rPr>
              <w:t xml:space="preserve">Member States where the TIN is </w:t>
            </w:r>
            <w:r w:rsidR="003A6063">
              <w:rPr>
                <w:bCs/>
                <w:noProof/>
                <w:szCs w:val="20"/>
              </w:rPr>
              <w:t xml:space="preserve">based on, or technically related to, </w:t>
            </w:r>
            <w:r w:rsidR="003A6063" w:rsidRPr="7CA4FB01">
              <w:rPr>
                <w:noProof/>
              </w:rPr>
              <w:t>the business registration number.</w:t>
            </w:r>
            <w:r w:rsidR="00C65CB6" w:rsidRPr="00C65CB6">
              <w:rPr>
                <w:bCs/>
                <w:noProof/>
                <w:szCs w:val="20"/>
              </w:rPr>
              <w:t xml:space="preserve"> </w:t>
            </w:r>
            <w:r w:rsidR="0056345D">
              <w:rPr>
                <w:bCs/>
                <w:noProof/>
                <w:szCs w:val="20"/>
              </w:rPr>
              <w:t>It would concern those Member States</w:t>
            </w:r>
            <w:r w:rsidR="00C65CB6" w:rsidRPr="00C65CB6">
              <w:rPr>
                <w:bCs/>
                <w:noProof/>
                <w:szCs w:val="20"/>
              </w:rPr>
              <w:t xml:space="preserve"> where beneficial ownership register is a separate register and </w:t>
            </w:r>
            <w:r w:rsidR="00112497">
              <w:rPr>
                <w:bCs/>
                <w:noProof/>
                <w:szCs w:val="20"/>
              </w:rPr>
              <w:t>is not closely linked to the business register (</w:t>
            </w:r>
            <w:r w:rsidR="00AC01E0">
              <w:rPr>
                <w:bCs/>
                <w:noProof/>
                <w:szCs w:val="20"/>
              </w:rPr>
              <w:t>10</w:t>
            </w:r>
            <w:r w:rsidR="00112497">
              <w:rPr>
                <w:bCs/>
                <w:noProof/>
                <w:szCs w:val="20"/>
              </w:rPr>
              <w:t>)</w:t>
            </w:r>
            <w:r w:rsidR="00E91AF7">
              <w:rPr>
                <w:bCs/>
                <w:noProof/>
                <w:szCs w:val="20"/>
              </w:rPr>
              <w:t xml:space="preserve">, those </w:t>
            </w:r>
            <w:r w:rsidR="00E91AF7">
              <w:rPr>
                <w:bCs/>
                <w:noProof/>
                <w:szCs w:val="20"/>
                <w:lang w:val="en-US"/>
              </w:rPr>
              <w:t xml:space="preserve">where the VAT </w:t>
            </w:r>
            <w:r w:rsidR="00F27E2C">
              <w:rPr>
                <w:bCs/>
                <w:noProof/>
                <w:szCs w:val="20"/>
                <w:lang w:val="en-US"/>
              </w:rPr>
              <w:t>identification</w:t>
            </w:r>
            <w:r w:rsidR="00E91AF7">
              <w:rPr>
                <w:bCs/>
                <w:noProof/>
                <w:szCs w:val="20"/>
                <w:lang w:val="en-US"/>
              </w:rPr>
              <w:t xml:space="preserve"> </w:t>
            </w:r>
            <w:r w:rsidR="009B44B4">
              <w:rPr>
                <w:bCs/>
                <w:noProof/>
                <w:szCs w:val="20"/>
                <w:lang w:val="en-US"/>
              </w:rPr>
              <w:t xml:space="preserve">number is </w:t>
            </w:r>
            <w:r w:rsidR="00606081" w:rsidRPr="00606081">
              <w:rPr>
                <w:bCs/>
                <w:noProof/>
                <w:szCs w:val="20"/>
              </w:rPr>
              <w:t xml:space="preserve">not technically related to either the company registration number or </w:t>
            </w:r>
            <w:r w:rsidR="00E91AF7">
              <w:rPr>
                <w:bCs/>
                <w:noProof/>
                <w:szCs w:val="20"/>
                <w:lang w:val="en-US"/>
              </w:rPr>
              <w:t>TIN</w:t>
            </w:r>
            <w:r w:rsidR="00112497">
              <w:rPr>
                <w:bCs/>
                <w:noProof/>
                <w:szCs w:val="20"/>
              </w:rPr>
              <w:t xml:space="preserve"> </w:t>
            </w:r>
            <w:r w:rsidR="00E91AF7">
              <w:rPr>
                <w:bCs/>
                <w:noProof/>
                <w:szCs w:val="20"/>
              </w:rPr>
              <w:t>(</w:t>
            </w:r>
            <w:r w:rsidR="00606081" w:rsidRPr="009B44B4">
              <w:rPr>
                <w:bCs/>
                <w:noProof/>
                <w:szCs w:val="20"/>
              </w:rPr>
              <w:t>9</w:t>
            </w:r>
            <w:r w:rsidR="00112497" w:rsidRPr="00631BB3">
              <w:rPr>
                <w:noProof/>
                <w:szCs w:val="20"/>
              </w:rPr>
              <w:t>)</w:t>
            </w:r>
            <w:r w:rsidR="00112497">
              <w:rPr>
                <w:bCs/>
                <w:noProof/>
                <w:szCs w:val="20"/>
              </w:rPr>
              <w:t xml:space="preserve"> </w:t>
            </w:r>
            <w:r w:rsidR="00C65CB6" w:rsidRPr="00C65CB6">
              <w:rPr>
                <w:bCs/>
                <w:noProof/>
                <w:szCs w:val="20"/>
              </w:rPr>
              <w:t xml:space="preserve">and in </w:t>
            </w:r>
            <w:r w:rsidR="00605DCA">
              <w:rPr>
                <w:bCs/>
                <w:noProof/>
                <w:szCs w:val="20"/>
              </w:rPr>
              <w:t xml:space="preserve">those </w:t>
            </w:r>
            <w:r w:rsidR="00605DCA" w:rsidRPr="00605DCA">
              <w:rPr>
                <w:bCs/>
                <w:noProof/>
                <w:szCs w:val="20"/>
              </w:rPr>
              <w:t xml:space="preserve">where the attribution of the social security number of the company as employer by </w:t>
            </w:r>
            <w:r w:rsidR="00C65CB6" w:rsidRPr="00C65CB6">
              <w:rPr>
                <w:bCs/>
                <w:noProof/>
                <w:szCs w:val="20"/>
              </w:rPr>
              <w:t>social security authorit</w:t>
            </w:r>
            <w:r w:rsidR="00B77465">
              <w:rPr>
                <w:bCs/>
                <w:noProof/>
                <w:szCs w:val="20"/>
              </w:rPr>
              <w:t>ies</w:t>
            </w:r>
            <w:r w:rsidR="00C65CB6" w:rsidRPr="00C65CB6">
              <w:rPr>
                <w:bCs/>
                <w:noProof/>
                <w:szCs w:val="20"/>
              </w:rPr>
              <w:t xml:space="preserve"> is not part of the company registration process</w:t>
            </w:r>
            <w:r w:rsidR="00115EFF">
              <w:rPr>
                <w:bCs/>
                <w:noProof/>
                <w:szCs w:val="20"/>
              </w:rPr>
              <w:t xml:space="preserve"> (</w:t>
            </w:r>
            <w:r w:rsidR="00605DCA">
              <w:rPr>
                <w:bCs/>
                <w:noProof/>
                <w:szCs w:val="20"/>
              </w:rPr>
              <w:t>1</w:t>
            </w:r>
            <w:r w:rsidR="00605DCA" w:rsidRPr="003E6A1A">
              <w:rPr>
                <w:bCs/>
                <w:noProof/>
                <w:szCs w:val="20"/>
              </w:rPr>
              <w:t>4</w:t>
            </w:r>
            <w:r w:rsidR="00115EFF">
              <w:rPr>
                <w:bCs/>
                <w:noProof/>
                <w:szCs w:val="20"/>
              </w:rPr>
              <w:t>)</w:t>
            </w:r>
            <w:r>
              <w:rPr>
                <w:bCs/>
                <w:noProof/>
                <w:szCs w:val="20"/>
              </w:rPr>
              <w:t xml:space="preserve">. </w:t>
            </w:r>
            <w:r w:rsidR="000D4DE0">
              <w:rPr>
                <w:bCs/>
                <w:noProof/>
                <w:szCs w:val="20"/>
              </w:rPr>
              <w:t xml:space="preserve">Overall, </w:t>
            </w:r>
            <w:r w:rsidR="00CE6AE3">
              <w:rPr>
                <w:bCs/>
                <w:noProof/>
                <w:szCs w:val="20"/>
              </w:rPr>
              <w:t>it is assumed that g</w:t>
            </w:r>
            <w:r>
              <w:rPr>
                <w:bCs/>
                <w:noProof/>
                <w:szCs w:val="20"/>
              </w:rPr>
              <w:t xml:space="preserve">iven the </w:t>
            </w:r>
            <w:r w:rsidR="004F22A5">
              <w:rPr>
                <w:bCs/>
                <w:noProof/>
                <w:szCs w:val="20"/>
              </w:rPr>
              <w:t>already existing level of</w:t>
            </w:r>
            <w:r>
              <w:rPr>
                <w:bCs/>
                <w:noProof/>
                <w:szCs w:val="20"/>
              </w:rPr>
              <w:t xml:space="preserve"> digitalisation of public authorities, this should not entail extra IT costs or only marginal ones due to the possibility to exchange data through standard APIs.</w:t>
            </w:r>
            <w:r w:rsidR="001515B1">
              <w:rPr>
                <w:bCs/>
                <w:noProof/>
                <w:szCs w:val="20"/>
              </w:rPr>
              <w:t xml:space="preserve"> As regards transmission of </w:t>
            </w:r>
            <w:r w:rsidR="00895627">
              <w:rPr>
                <w:bCs/>
                <w:noProof/>
                <w:szCs w:val="20"/>
              </w:rPr>
              <w:t xml:space="preserve">information between business registers and beneficial ownership registers, those </w:t>
            </w:r>
            <w:r w:rsidR="00CD16E4">
              <w:rPr>
                <w:bCs/>
                <w:noProof/>
                <w:szCs w:val="20"/>
              </w:rPr>
              <w:t xml:space="preserve">costs </w:t>
            </w:r>
            <w:r w:rsidR="00013F6E">
              <w:rPr>
                <w:bCs/>
                <w:noProof/>
                <w:szCs w:val="20"/>
              </w:rPr>
              <w:t>should</w:t>
            </w:r>
            <w:r w:rsidR="00CD16E4">
              <w:rPr>
                <w:bCs/>
                <w:noProof/>
                <w:szCs w:val="20"/>
              </w:rPr>
              <w:t xml:space="preserve"> diminish further </w:t>
            </w:r>
            <w:r w:rsidR="00EE355F">
              <w:rPr>
                <w:bCs/>
                <w:noProof/>
                <w:szCs w:val="20"/>
              </w:rPr>
              <w:t xml:space="preserve">thanks to interconnection between Business Registers Interconnection system BRIS and BORIS, </w:t>
            </w:r>
            <w:r w:rsidR="00D2266C">
              <w:rPr>
                <w:bCs/>
                <w:noProof/>
                <w:szCs w:val="20"/>
              </w:rPr>
              <w:t xml:space="preserve">following the </w:t>
            </w:r>
            <w:r w:rsidR="001F3AF7">
              <w:rPr>
                <w:bCs/>
                <w:noProof/>
                <w:szCs w:val="20"/>
              </w:rPr>
              <w:t>Upgrading</w:t>
            </w:r>
            <w:r w:rsidR="00D2266C">
              <w:rPr>
                <w:bCs/>
                <w:noProof/>
                <w:szCs w:val="20"/>
              </w:rPr>
              <w:t xml:space="preserve"> </w:t>
            </w:r>
            <w:r w:rsidR="001F3AF7">
              <w:rPr>
                <w:bCs/>
                <w:noProof/>
                <w:szCs w:val="20"/>
              </w:rPr>
              <w:t>digital</w:t>
            </w:r>
            <w:r w:rsidR="00D2266C">
              <w:rPr>
                <w:bCs/>
                <w:noProof/>
                <w:szCs w:val="20"/>
              </w:rPr>
              <w:t xml:space="preserve"> company law Directive (EU) 2025/25</w:t>
            </w:r>
            <w:r w:rsidR="00EE355F" w:rsidRPr="00FF623E">
              <w:rPr>
                <w:bCs/>
                <w:noProof/>
                <w:szCs w:val="20"/>
              </w:rPr>
              <w:t>.</w:t>
            </w:r>
            <w:r w:rsidR="00EE355F">
              <w:rPr>
                <w:bCs/>
                <w:noProof/>
                <w:szCs w:val="20"/>
              </w:rPr>
              <w:t xml:space="preserve"> </w:t>
            </w:r>
          </w:p>
        </w:tc>
      </w:tr>
      <w:tr w:rsidR="00DF5E69" w:rsidRPr="00DC6DD8" w14:paraId="60A6F0A7" w14:textId="77777777" w:rsidTr="6F00936E">
        <w:tc>
          <w:tcPr>
            <w:tcW w:w="2122" w:type="dxa"/>
          </w:tcPr>
          <w:p w14:paraId="7EDB6287" w14:textId="77777777" w:rsidR="00DF5E69" w:rsidRDefault="00DF5E69" w:rsidP="00DF5E69">
            <w:pPr>
              <w:rPr>
                <w:b/>
                <w:noProof/>
                <w:szCs w:val="20"/>
              </w:rPr>
            </w:pPr>
            <w:r>
              <w:rPr>
                <w:b/>
                <w:noProof/>
                <w:szCs w:val="20"/>
              </w:rPr>
              <w:t>Benefits</w:t>
            </w:r>
          </w:p>
        </w:tc>
        <w:tc>
          <w:tcPr>
            <w:tcW w:w="1508" w:type="dxa"/>
          </w:tcPr>
          <w:p w14:paraId="415FC476" w14:textId="77777777" w:rsidR="00DF5E69" w:rsidRPr="00170FBB" w:rsidRDefault="00DF5E69" w:rsidP="00DF5E69">
            <w:pPr>
              <w:rPr>
                <w:noProof/>
                <w:sz w:val="18"/>
                <w:szCs w:val="18"/>
              </w:rPr>
            </w:pPr>
            <w:r w:rsidRPr="00170FBB">
              <w:rPr>
                <w:noProof/>
                <w:sz w:val="18"/>
                <w:szCs w:val="18"/>
              </w:rPr>
              <w:t>Score 0-5</w:t>
            </w:r>
          </w:p>
        </w:tc>
        <w:tc>
          <w:tcPr>
            <w:tcW w:w="1042" w:type="dxa"/>
          </w:tcPr>
          <w:p w14:paraId="1200C09B" w14:textId="4297EE99" w:rsidR="00DF5E69" w:rsidRPr="0029649C" w:rsidRDefault="00537F1C" w:rsidP="00537F1C">
            <w:pPr>
              <w:jc w:val="center"/>
              <w:rPr>
                <w:noProof/>
                <w:szCs w:val="20"/>
              </w:rPr>
            </w:pPr>
            <w:r>
              <w:rPr>
                <w:noProof/>
                <w:szCs w:val="20"/>
              </w:rPr>
              <w:t>1</w:t>
            </w:r>
          </w:p>
        </w:tc>
        <w:tc>
          <w:tcPr>
            <w:tcW w:w="996" w:type="dxa"/>
          </w:tcPr>
          <w:p w14:paraId="41E9B6B3" w14:textId="6B5813F9" w:rsidR="00DF5E69" w:rsidRPr="0029649C" w:rsidRDefault="00537F1C" w:rsidP="00537F1C">
            <w:pPr>
              <w:jc w:val="center"/>
              <w:rPr>
                <w:noProof/>
                <w:szCs w:val="20"/>
              </w:rPr>
            </w:pPr>
            <w:r>
              <w:rPr>
                <w:noProof/>
                <w:szCs w:val="20"/>
              </w:rPr>
              <w:t>2</w:t>
            </w:r>
          </w:p>
        </w:tc>
        <w:tc>
          <w:tcPr>
            <w:tcW w:w="994" w:type="dxa"/>
          </w:tcPr>
          <w:p w14:paraId="3E12DA4D" w14:textId="129E89CB" w:rsidR="00DF5E69" w:rsidRPr="0029649C" w:rsidDel="00073540" w:rsidRDefault="008765AC" w:rsidP="00537F1C">
            <w:pPr>
              <w:jc w:val="center"/>
              <w:rPr>
                <w:noProof/>
                <w:szCs w:val="20"/>
              </w:rPr>
            </w:pPr>
            <w:r>
              <w:rPr>
                <w:noProof/>
                <w:szCs w:val="20"/>
              </w:rPr>
              <w:t>3</w:t>
            </w:r>
          </w:p>
        </w:tc>
        <w:tc>
          <w:tcPr>
            <w:tcW w:w="7508" w:type="dxa"/>
          </w:tcPr>
          <w:p w14:paraId="744D9DAD" w14:textId="53C14169" w:rsidR="00DF5E69" w:rsidRDefault="00627EFD" w:rsidP="00490DEC">
            <w:pPr>
              <w:jc w:val="both"/>
              <w:rPr>
                <w:noProof/>
                <w:szCs w:val="20"/>
              </w:rPr>
            </w:pPr>
            <w:r>
              <w:rPr>
                <w:noProof/>
                <w:szCs w:val="20"/>
              </w:rPr>
              <w:t>These policy options, by ensuring</w:t>
            </w:r>
            <w:r w:rsidR="00490DEC">
              <w:rPr>
                <w:noProof/>
              </w:rPr>
              <w:t xml:space="preserve"> that </w:t>
            </w:r>
            <w:r w:rsidRPr="00C9711C">
              <w:rPr>
                <w:noProof/>
              </w:rPr>
              <w:t xml:space="preserve">the information about </w:t>
            </w:r>
            <w:r>
              <w:rPr>
                <w:noProof/>
              </w:rPr>
              <w:t>a 28</w:t>
            </w:r>
            <w:r w:rsidRPr="00627EFD">
              <w:rPr>
                <w:noProof/>
                <w:vertAlign w:val="superscript"/>
              </w:rPr>
              <w:t>th</w:t>
            </w:r>
            <w:r>
              <w:rPr>
                <w:noProof/>
              </w:rPr>
              <w:t xml:space="preserve"> regime </w:t>
            </w:r>
            <w:r w:rsidRPr="00C9711C">
              <w:rPr>
                <w:noProof/>
              </w:rPr>
              <w:t xml:space="preserve">company </w:t>
            </w:r>
            <w:r>
              <w:rPr>
                <w:noProof/>
              </w:rPr>
              <w:t xml:space="preserve">is </w:t>
            </w:r>
            <w:r w:rsidRPr="00C9711C">
              <w:rPr>
                <w:noProof/>
              </w:rPr>
              <w:t>transferred from the business register to the authority</w:t>
            </w:r>
            <w:r w:rsidR="00AC1427" w:rsidRPr="00BF18CD">
              <w:rPr>
                <w:bCs/>
                <w:noProof/>
                <w:szCs w:val="20"/>
              </w:rPr>
              <w:t xml:space="preserve"> in charge of issuing the TIN</w:t>
            </w:r>
            <w:r w:rsidRPr="00C9711C">
              <w:rPr>
                <w:noProof/>
              </w:rPr>
              <w:t xml:space="preserve">, social security authority and the beneficial ownership register </w:t>
            </w:r>
            <w:r w:rsidR="00CA3ABA">
              <w:rPr>
                <w:noProof/>
              </w:rPr>
              <w:t xml:space="preserve">directly by </w:t>
            </w:r>
            <w:r w:rsidR="00490DEC" w:rsidRPr="00490DEC">
              <w:rPr>
                <w:noProof/>
                <w:szCs w:val="20"/>
              </w:rPr>
              <w:t xml:space="preserve">business registers would </w:t>
            </w:r>
            <w:r w:rsidR="00FE0F6E">
              <w:rPr>
                <w:noProof/>
                <w:szCs w:val="20"/>
              </w:rPr>
              <w:t xml:space="preserve">overall </w:t>
            </w:r>
            <w:r w:rsidR="00CA3ABA">
              <w:rPr>
                <w:noProof/>
                <w:szCs w:val="20"/>
              </w:rPr>
              <w:t xml:space="preserve">mean that </w:t>
            </w:r>
            <w:r w:rsidR="00923145">
              <w:rPr>
                <w:noProof/>
                <w:szCs w:val="20"/>
              </w:rPr>
              <w:t>these authorities</w:t>
            </w:r>
            <w:r w:rsidR="00490DEC" w:rsidRPr="00490DEC">
              <w:rPr>
                <w:noProof/>
                <w:szCs w:val="20"/>
              </w:rPr>
              <w:t xml:space="preserve"> would not have to ask for and examine additional documents from companies, which should result in </w:t>
            </w:r>
            <w:r w:rsidR="00E7430D">
              <w:rPr>
                <w:noProof/>
                <w:szCs w:val="20"/>
              </w:rPr>
              <w:t xml:space="preserve">some </w:t>
            </w:r>
            <w:r w:rsidR="00490DEC" w:rsidRPr="00490DEC">
              <w:rPr>
                <w:noProof/>
                <w:szCs w:val="20"/>
              </w:rPr>
              <w:t xml:space="preserve">cost savings </w:t>
            </w:r>
            <w:r w:rsidR="00E7430D">
              <w:rPr>
                <w:noProof/>
                <w:szCs w:val="20"/>
              </w:rPr>
              <w:t>e.g.</w:t>
            </w:r>
            <w:r w:rsidR="00490DEC" w:rsidRPr="00490DEC">
              <w:rPr>
                <w:noProof/>
                <w:szCs w:val="20"/>
              </w:rPr>
              <w:t xml:space="preserve"> in time and handling company information.</w:t>
            </w:r>
            <w:r w:rsidR="00181217">
              <w:rPr>
                <w:noProof/>
                <w:szCs w:val="20"/>
              </w:rPr>
              <w:t xml:space="preserve"> </w:t>
            </w:r>
            <w:r w:rsidR="00F2322E">
              <w:rPr>
                <w:noProof/>
                <w:szCs w:val="20"/>
              </w:rPr>
              <w:t>In principle,</w:t>
            </w:r>
            <w:r w:rsidR="00F95B40">
              <w:rPr>
                <w:noProof/>
                <w:szCs w:val="20"/>
              </w:rPr>
              <w:t xml:space="preserve"> PO3c</w:t>
            </w:r>
            <w:r w:rsidR="00181217">
              <w:rPr>
                <w:noProof/>
                <w:szCs w:val="20"/>
              </w:rPr>
              <w:t xml:space="preserve"> would bring highe</w:t>
            </w:r>
            <w:r w:rsidR="00F2322E">
              <w:rPr>
                <w:noProof/>
                <w:szCs w:val="20"/>
              </w:rPr>
              <w:t>st</w:t>
            </w:r>
            <w:r w:rsidR="00181217">
              <w:rPr>
                <w:noProof/>
                <w:szCs w:val="20"/>
              </w:rPr>
              <w:t xml:space="preserve"> benefits </w:t>
            </w:r>
            <w:r w:rsidR="00537F1C">
              <w:rPr>
                <w:noProof/>
                <w:szCs w:val="20"/>
              </w:rPr>
              <w:t xml:space="preserve">for authorities </w:t>
            </w:r>
            <w:r w:rsidR="00181217">
              <w:rPr>
                <w:noProof/>
                <w:szCs w:val="20"/>
              </w:rPr>
              <w:t>a</w:t>
            </w:r>
            <w:r w:rsidR="00CD5F66">
              <w:rPr>
                <w:noProof/>
                <w:szCs w:val="20"/>
              </w:rPr>
              <w:t>s</w:t>
            </w:r>
            <w:r w:rsidR="00181217">
              <w:rPr>
                <w:noProof/>
                <w:szCs w:val="20"/>
              </w:rPr>
              <w:t xml:space="preserve"> </w:t>
            </w:r>
            <w:r w:rsidR="0056230A">
              <w:rPr>
                <w:noProof/>
                <w:szCs w:val="20"/>
              </w:rPr>
              <w:t>mo</w:t>
            </w:r>
            <w:r w:rsidR="00F2322E">
              <w:rPr>
                <w:noProof/>
                <w:szCs w:val="20"/>
              </w:rPr>
              <w:t>st</w:t>
            </w:r>
            <w:r w:rsidR="0056230A">
              <w:rPr>
                <w:noProof/>
                <w:szCs w:val="20"/>
              </w:rPr>
              <w:t xml:space="preserve"> company information would be directly transferred </w:t>
            </w:r>
            <w:r w:rsidR="00CD5F66">
              <w:rPr>
                <w:noProof/>
                <w:szCs w:val="20"/>
              </w:rPr>
              <w:t xml:space="preserve">(also information </w:t>
            </w:r>
            <w:r w:rsidR="00F95B40">
              <w:rPr>
                <w:noProof/>
                <w:szCs w:val="20"/>
              </w:rPr>
              <w:t xml:space="preserve">required by beneficial ownership registers and </w:t>
            </w:r>
            <w:r w:rsidR="00CD5F66">
              <w:rPr>
                <w:noProof/>
                <w:szCs w:val="20"/>
              </w:rPr>
              <w:t xml:space="preserve">for </w:t>
            </w:r>
            <w:r w:rsidR="00F95B40">
              <w:rPr>
                <w:noProof/>
                <w:szCs w:val="20"/>
              </w:rPr>
              <w:t xml:space="preserve">TIN and </w:t>
            </w:r>
            <w:r w:rsidR="00CD5F66">
              <w:rPr>
                <w:noProof/>
                <w:szCs w:val="20"/>
              </w:rPr>
              <w:t>VAT purposes</w:t>
            </w:r>
            <w:r w:rsidR="00F95B40">
              <w:rPr>
                <w:noProof/>
                <w:szCs w:val="20"/>
              </w:rPr>
              <w:t>)</w:t>
            </w:r>
            <w:r w:rsidR="008765AC">
              <w:rPr>
                <w:noProof/>
                <w:szCs w:val="20"/>
              </w:rPr>
              <w:t xml:space="preserve">, although in some cases </w:t>
            </w:r>
            <w:r w:rsidR="0070657A">
              <w:rPr>
                <w:noProof/>
                <w:szCs w:val="20"/>
              </w:rPr>
              <w:t xml:space="preserve">tax authorities </w:t>
            </w:r>
            <w:r w:rsidR="008765AC">
              <w:rPr>
                <w:noProof/>
                <w:szCs w:val="20"/>
              </w:rPr>
              <w:t xml:space="preserve">might </w:t>
            </w:r>
            <w:r w:rsidR="0070657A">
              <w:rPr>
                <w:noProof/>
                <w:szCs w:val="20"/>
              </w:rPr>
              <w:t>need to ask</w:t>
            </w:r>
            <w:r w:rsidR="00AF4167">
              <w:rPr>
                <w:noProof/>
                <w:szCs w:val="20"/>
              </w:rPr>
              <w:t xml:space="preserve"> companies for additional information, </w:t>
            </w:r>
            <w:r w:rsidR="00225E24">
              <w:rPr>
                <w:noProof/>
                <w:szCs w:val="20"/>
              </w:rPr>
              <w:t>diminishing th</w:t>
            </w:r>
            <w:r w:rsidR="008765AC">
              <w:rPr>
                <w:noProof/>
                <w:szCs w:val="20"/>
              </w:rPr>
              <w:t>is</w:t>
            </w:r>
            <w:r w:rsidR="00225E24">
              <w:rPr>
                <w:noProof/>
                <w:szCs w:val="20"/>
              </w:rPr>
              <w:t xml:space="preserve"> benefi</w:t>
            </w:r>
            <w:r w:rsidR="008765AC">
              <w:rPr>
                <w:noProof/>
                <w:szCs w:val="20"/>
              </w:rPr>
              <w:t>t.</w:t>
            </w:r>
          </w:p>
        </w:tc>
      </w:tr>
      <w:tr w:rsidR="00DF5E69" w:rsidRPr="00DC6DD8" w14:paraId="4D7B6DD3" w14:textId="77777777" w:rsidTr="6F00936E">
        <w:tc>
          <w:tcPr>
            <w:tcW w:w="14170" w:type="dxa"/>
            <w:gridSpan w:val="6"/>
            <w:shd w:val="clear" w:color="auto" w:fill="92D050"/>
          </w:tcPr>
          <w:p w14:paraId="7F6B2BC7" w14:textId="77777777" w:rsidR="00DF5E69" w:rsidRPr="006E78FA" w:rsidRDefault="00DF5E69" w:rsidP="00DF5E69">
            <w:pPr>
              <w:rPr>
                <w:b/>
                <w:bCs/>
                <w:noProof/>
                <w:szCs w:val="20"/>
              </w:rPr>
            </w:pPr>
            <w:r w:rsidRPr="00D345EC">
              <w:rPr>
                <w:b/>
                <w:noProof/>
                <w:sz w:val="24"/>
                <w:szCs w:val="24"/>
              </w:rPr>
              <w:t>Economy and society at large</w:t>
            </w:r>
          </w:p>
        </w:tc>
      </w:tr>
      <w:tr w:rsidR="00DF5E69" w:rsidRPr="00DC6DD8" w14:paraId="7BC014E6" w14:textId="77777777" w:rsidTr="6F00936E">
        <w:tc>
          <w:tcPr>
            <w:tcW w:w="2122" w:type="dxa"/>
          </w:tcPr>
          <w:p w14:paraId="13310D4C" w14:textId="77777777" w:rsidR="00DF5E69" w:rsidRPr="0074616C" w:rsidRDefault="00DF5E69" w:rsidP="00DF5E69">
            <w:pPr>
              <w:rPr>
                <w:b/>
                <w:noProof/>
                <w:szCs w:val="20"/>
              </w:rPr>
            </w:pPr>
            <w:r>
              <w:rPr>
                <w:b/>
                <w:noProof/>
                <w:szCs w:val="20"/>
              </w:rPr>
              <w:t>Functioning of the internal market and competitiveness</w:t>
            </w:r>
          </w:p>
        </w:tc>
        <w:tc>
          <w:tcPr>
            <w:tcW w:w="1508" w:type="dxa"/>
          </w:tcPr>
          <w:p w14:paraId="5BD7E7B0" w14:textId="77777777" w:rsidR="00DF5E69" w:rsidRPr="00DC6DD8" w:rsidRDefault="00DF5E69" w:rsidP="00DF5E69">
            <w:pPr>
              <w:rPr>
                <w:noProof/>
                <w:szCs w:val="20"/>
              </w:rPr>
            </w:pPr>
            <w:r w:rsidRPr="00170FBB">
              <w:rPr>
                <w:noProof/>
                <w:sz w:val="18"/>
                <w:szCs w:val="18"/>
              </w:rPr>
              <w:t>Score 0-5</w:t>
            </w:r>
          </w:p>
        </w:tc>
        <w:tc>
          <w:tcPr>
            <w:tcW w:w="1042" w:type="dxa"/>
          </w:tcPr>
          <w:p w14:paraId="04E024EE" w14:textId="07DB6123" w:rsidR="00DF5E69" w:rsidRPr="0029649C" w:rsidRDefault="005908A0" w:rsidP="002E050B">
            <w:pPr>
              <w:jc w:val="center"/>
              <w:rPr>
                <w:noProof/>
                <w:szCs w:val="20"/>
              </w:rPr>
            </w:pPr>
            <w:r>
              <w:rPr>
                <w:noProof/>
                <w:szCs w:val="20"/>
              </w:rPr>
              <w:t>2</w:t>
            </w:r>
          </w:p>
        </w:tc>
        <w:tc>
          <w:tcPr>
            <w:tcW w:w="996" w:type="dxa"/>
          </w:tcPr>
          <w:p w14:paraId="25F577B5" w14:textId="514E878E" w:rsidR="00DF5E69" w:rsidRPr="0029649C" w:rsidRDefault="005908A0" w:rsidP="002E050B">
            <w:pPr>
              <w:jc w:val="center"/>
              <w:rPr>
                <w:noProof/>
                <w:szCs w:val="20"/>
              </w:rPr>
            </w:pPr>
            <w:r>
              <w:rPr>
                <w:noProof/>
                <w:szCs w:val="20"/>
              </w:rPr>
              <w:t>3</w:t>
            </w:r>
          </w:p>
        </w:tc>
        <w:tc>
          <w:tcPr>
            <w:tcW w:w="994" w:type="dxa"/>
          </w:tcPr>
          <w:p w14:paraId="54FE2BE6" w14:textId="4E94A8F3" w:rsidR="00DF5E69" w:rsidRPr="0029649C" w:rsidDel="00073540" w:rsidRDefault="005908A0" w:rsidP="002E050B">
            <w:pPr>
              <w:jc w:val="center"/>
              <w:rPr>
                <w:noProof/>
                <w:szCs w:val="20"/>
              </w:rPr>
            </w:pPr>
            <w:r>
              <w:rPr>
                <w:noProof/>
                <w:szCs w:val="20"/>
              </w:rPr>
              <w:t>4</w:t>
            </w:r>
          </w:p>
        </w:tc>
        <w:tc>
          <w:tcPr>
            <w:tcW w:w="7508" w:type="dxa"/>
          </w:tcPr>
          <w:p w14:paraId="35E70BE5" w14:textId="01A4E031" w:rsidR="005A4FFB" w:rsidRDefault="006C365C" w:rsidP="002A4F88">
            <w:pPr>
              <w:jc w:val="both"/>
              <w:rPr>
                <w:noProof/>
                <w:szCs w:val="20"/>
              </w:rPr>
            </w:pPr>
            <w:r>
              <w:rPr>
                <w:noProof/>
                <w:szCs w:val="20"/>
              </w:rPr>
              <w:t xml:space="preserve">These policy options </w:t>
            </w:r>
            <w:r w:rsidR="002E7847">
              <w:rPr>
                <w:noProof/>
                <w:szCs w:val="20"/>
              </w:rPr>
              <w:t>– and in particular PO3c -</w:t>
            </w:r>
            <w:r>
              <w:rPr>
                <w:noProof/>
                <w:szCs w:val="20"/>
              </w:rPr>
              <w:t xml:space="preserve"> would simplify setting up of 28</w:t>
            </w:r>
            <w:r w:rsidRPr="00684440">
              <w:rPr>
                <w:noProof/>
                <w:szCs w:val="20"/>
                <w:vertAlign w:val="superscript"/>
              </w:rPr>
              <w:t>th</w:t>
            </w:r>
            <w:r>
              <w:rPr>
                <w:noProof/>
                <w:szCs w:val="20"/>
              </w:rPr>
              <w:t xml:space="preserve"> regime companies and in that way, would </w:t>
            </w:r>
            <w:r w:rsidR="00261DEC">
              <w:rPr>
                <w:noProof/>
                <w:szCs w:val="20"/>
              </w:rPr>
              <w:t xml:space="preserve">also contribute to encouraging founders to set up in the EU and to making EU a more </w:t>
            </w:r>
            <w:r w:rsidR="00523F09">
              <w:rPr>
                <w:noProof/>
                <w:szCs w:val="20"/>
              </w:rPr>
              <w:t xml:space="preserve">attractive place for business. </w:t>
            </w:r>
            <w:r w:rsidR="007C23A6">
              <w:rPr>
                <w:noProof/>
                <w:szCs w:val="20"/>
              </w:rPr>
              <w:t xml:space="preserve">However, </w:t>
            </w:r>
            <w:r w:rsidR="007041DD">
              <w:rPr>
                <w:noProof/>
                <w:szCs w:val="20"/>
              </w:rPr>
              <w:t>as the once-only transmission</w:t>
            </w:r>
            <w:r w:rsidR="00BA593D">
              <w:rPr>
                <w:noProof/>
                <w:szCs w:val="20"/>
              </w:rPr>
              <w:t xml:space="preserve"> would take place </w:t>
            </w:r>
            <w:r w:rsidR="005A360C">
              <w:rPr>
                <w:noProof/>
                <w:szCs w:val="20"/>
              </w:rPr>
              <w:t xml:space="preserve">during the setting up phase and therefore, </w:t>
            </w:r>
            <w:r w:rsidR="001E055B">
              <w:rPr>
                <w:noProof/>
                <w:szCs w:val="20"/>
              </w:rPr>
              <w:t xml:space="preserve">at national level in a particular Member State, </w:t>
            </w:r>
            <w:r w:rsidR="000C7F1A">
              <w:rPr>
                <w:noProof/>
                <w:szCs w:val="20"/>
              </w:rPr>
              <w:t xml:space="preserve">impact on functioning of the internal market as such would be </w:t>
            </w:r>
            <w:r w:rsidR="00242816">
              <w:rPr>
                <w:noProof/>
                <w:szCs w:val="20"/>
              </w:rPr>
              <w:t>smaller.</w:t>
            </w:r>
            <w:r w:rsidR="001F27CC">
              <w:rPr>
                <w:noProof/>
                <w:szCs w:val="20"/>
              </w:rPr>
              <w:t xml:space="preserve"> </w:t>
            </w:r>
          </w:p>
        </w:tc>
      </w:tr>
    </w:tbl>
    <w:p w14:paraId="7A83C1A4" w14:textId="77777777" w:rsidR="00E7381C" w:rsidRDefault="00E7381C" w:rsidP="00F95382">
      <w:pPr>
        <w:spacing w:before="0" w:after="200" w:line="276" w:lineRule="auto"/>
        <w:rPr>
          <w:rFonts w:eastAsia="Courier New"/>
          <w:noProof/>
          <w:u w:val="single"/>
        </w:rPr>
      </w:pPr>
    </w:p>
    <w:p w14:paraId="4FDA7B17" w14:textId="47B92EB1" w:rsidR="002F1E66" w:rsidRPr="00057DF3" w:rsidRDefault="00227183" w:rsidP="002B6F96">
      <w:pPr>
        <w:pStyle w:val="Heading2"/>
        <w:numPr>
          <w:ilvl w:val="0"/>
          <w:numId w:val="0"/>
        </w:numPr>
        <w:ind w:left="680" w:hanging="680"/>
        <w:rPr>
          <w:rFonts w:eastAsia="Courier New"/>
          <w:noProof/>
          <w:u w:val="single"/>
        </w:rPr>
      </w:pPr>
      <w:r w:rsidRPr="00057DF3">
        <w:rPr>
          <w:rFonts w:eastAsia="Courier New"/>
          <w:noProof/>
          <w:u w:val="single"/>
        </w:rPr>
        <w:t>Policy options 4 to</w:t>
      </w:r>
      <w:r w:rsidR="002F1E66" w:rsidRPr="00057DF3">
        <w:rPr>
          <w:rFonts w:eastAsia="Courier New"/>
          <w:noProof/>
          <w:u w:val="single"/>
        </w:rPr>
        <w:t xml:space="preserve"> facilitate closure (liquidation) of the company </w:t>
      </w:r>
    </w:p>
    <w:p w14:paraId="6E2FD149" w14:textId="4D67173D" w:rsidR="002F1E66" w:rsidRDefault="002F1E66" w:rsidP="00C4288E">
      <w:pPr>
        <w:pStyle w:val="ListParagraph"/>
        <w:numPr>
          <w:ilvl w:val="0"/>
          <w:numId w:val="15"/>
        </w:numPr>
        <w:tabs>
          <w:tab w:val="left" w:pos="170"/>
        </w:tabs>
        <w:jc w:val="both"/>
        <w:rPr>
          <w:noProof/>
        </w:rPr>
      </w:pPr>
      <w:r>
        <w:rPr>
          <w:noProof/>
        </w:rPr>
        <w:t xml:space="preserve">Policy option 4a – Ensure that all relevant filings by the liquidator </w:t>
      </w:r>
      <w:r w:rsidR="006A5399">
        <w:rPr>
          <w:noProof/>
        </w:rPr>
        <w:t xml:space="preserve">for closure outside of insolvency </w:t>
      </w:r>
      <w:r>
        <w:rPr>
          <w:noProof/>
        </w:rPr>
        <w:t>are transferred from business register to other authorities (“once-only principle”) and online filing of claims from creditors</w:t>
      </w:r>
      <w:r w:rsidRPr="004C599B">
        <w:rPr>
          <w:noProof/>
        </w:rPr>
        <w:t>.</w:t>
      </w:r>
    </w:p>
    <w:p w14:paraId="3B7CD508" w14:textId="77777777" w:rsidR="002F1E66" w:rsidRDefault="002F1E66" w:rsidP="00C4288E">
      <w:pPr>
        <w:pStyle w:val="ListParagraph"/>
        <w:numPr>
          <w:ilvl w:val="0"/>
          <w:numId w:val="15"/>
        </w:numPr>
        <w:tabs>
          <w:tab w:val="left" w:pos="170"/>
        </w:tabs>
        <w:jc w:val="both"/>
        <w:rPr>
          <w:noProof/>
        </w:rPr>
      </w:pPr>
      <w:r>
        <w:rPr>
          <w:noProof/>
        </w:rPr>
        <w:t xml:space="preserve">Policy option 4b - </w:t>
      </w:r>
      <w:r w:rsidRPr="00926445">
        <w:rPr>
          <w:noProof/>
        </w:rPr>
        <w:t xml:space="preserve">Option </w:t>
      </w:r>
      <w:r>
        <w:rPr>
          <w:noProof/>
        </w:rPr>
        <w:t>4</w:t>
      </w:r>
      <w:r w:rsidRPr="00926445">
        <w:rPr>
          <w:noProof/>
        </w:rPr>
        <w:t xml:space="preserve">a + </w:t>
      </w:r>
      <w:r>
        <w:rPr>
          <w:noProof/>
        </w:rPr>
        <w:t>s</w:t>
      </w:r>
      <w:r w:rsidRPr="003706B4">
        <w:rPr>
          <w:noProof/>
        </w:rPr>
        <w:t>implified liquidation procedure (outside of insolvency) for no assets/no debts to be concluded within a specific deadline</w:t>
      </w:r>
      <w:r w:rsidRPr="004C599B">
        <w:rPr>
          <w:noProof/>
        </w:rPr>
        <w:t>.</w:t>
      </w:r>
    </w:p>
    <w:p w14:paraId="438C8020" w14:textId="14C7D118" w:rsidR="009B6463" w:rsidRDefault="002F1E66" w:rsidP="00C4288E">
      <w:pPr>
        <w:pStyle w:val="ListParagraph"/>
        <w:numPr>
          <w:ilvl w:val="0"/>
          <w:numId w:val="15"/>
        </w:numPr>
        <w:tabs>
          <w:tab w:val="left" w:pos="170"/>
        </w:tabs>
        <w:spacing w:before="0" w:after="0"/>
        <w:jc w:val="both"/>
        <w:rPr>
          <w:noProof/>
        </w:rPr>
      </w:pPr>
      <w:r>
        <w:rPr>
          <w:noProof/>
        </w:rPr>
        <w:t>Policy option 4c - O</w:t>
      </w:r>
      <w:r w:rsidRPr="004C599B">
        <w:rPr>
          <w:noProof/>
        </w:rPr>
        <w:t xml:space="preserve">ption </w:t>
      </w:r>
      <w:r>
        <w:rPr>
          <w:noProof/>
        </w:rPr>
        <w:t>4</w:t>
      </w:r>
      <w:r w:rsidRPr="004C599B">
        <w:rPr>
          <w:noProof/>
        </w:rPr>
        <w:t xml:space="preserve">b </w:t>
      </w:r>
      <w:r>
        <w:rPr>
          <w:noProof/>
        </w:rPr>
        <w:t>+</w:t>
      </w:r>
      <w:r w:rsidRPr="004C599B">
        <w:rPr>
          <w:noProof/>
        </w:rPr>
        <w:t xml:space="preserve"> </w:t>
      </w:r>
      <w:r w:rsidR="008040D9">
        <w:rPr>
          <w:noProof/>
        </w:rPr>
        <w:t>simplifi</w:t>
      </w:r>
      <w:r w:rsidR="00E8495B">
        <w:rPr>
          <w:noProof/>
        </w:rPr>
        <w:t xml:space="preserve">cation of </w:t>
      </w:r>
      <w:r w:rsidR="00841BD0" w:rsidRPr="00841BD0">
        <w:rPr>
          <w:noProof/>
        </w:rPr>
        <w:t>insolvency procedure</w:t>
      </w:r>
      <w:r w:rsidR="00E8495B">
        <w:rPr>
          <w:noProof/>
        </w:rPr>
        <w:t>s thanks to their full digitalisation</w:t>
      </w:r>
    </w:p>
    <w:p w14:paraId="55FEA764" w14:textId="7C857FDB" w:rsidR="00E7381C" w:rsidRDefault="00E7381C" w:rsidP="00065581">
      <w:pPr>
        <w:pStyle w:val="ListParagraph"/>
        <w:tabs>
          <w:tab w:val="left" w:pos="170"/>
        </w:tabs>
        <w:spacing w:before="0" w:after="0"/>
        <w:jc w:val="both"/>
        <w:rPr>
          <w:noProof/>
        </w:rPr>
      </w:pPr>
    </w:p>
    <w:tbl>
      <w:tblPr>
        <w:tblStyle w:val="TableGrid"/>
        <w:tblW w:w="14170" w:type="dxa"/>
        <w:tblLayout w:type="fixed"/>
        <w:tblLook w:val="04A0" w:firstRow="1" w:lastRow="0" w:firstColumn="1" w:lastColumn="0" w:noHBand="0" w:noVBand="1"/>
      </w:tblPr>
      <w:tblGrid>
        <w:gridCol w:w="2122"/>
        <w:gridCol w:w="1508"/>
        <w:gridCol w:w="1042"/>
        <w:gridCol w:w="996"/>
        <w:gridCol w:w="994"/>
        <w:gridCol w:w="7508"/>
      </w:tblGrid>
      <w:tr w:rsidR="00DF5E69" w:rsidRPr="00DC6DD8" w14:paraId="0FFA6CEE" w14:textId="77777777" w:rsidTr="00154739">
        <w:tc>
          <w:tcPr>
            <w:tcW w:w="2122" w:type="dxa"/>
            <w:shd w:val="clear" w:color="auto" w:fill="95B3D7" w:themeFill="accent1" w:themeFillTint="99"/>
          </w:tcPr>
          <w:p w14:paraId="305AC85A" w14:textId="77777777" w:rsidR="00DF5E69" w:rsidRPr="00DC6DD8" w:rsidRDefault="00DF5E69" w:rsidP="00DF5E69">
            <w:pPr>
              <w:rPr>
                <w:b/>
                <w:noProof/>
                <w:szCs w:val="20"/>
              </w:rPr>
            </w:pPr>
            <w:r w:rsidRPr="00DC6DD8">
              <w:rPr>
                <w:b/>
                <w:noProof/>
                <w:szCs w:val="20"/>
              </w:rPr>
              <w:br w:type="page"/>
            </w:r>
          </w:p>
        </w:tc>
        <w:tc>
          <w:tcPr>
            <w:tcW w:w="1508" w:type="dxa"/>
            <w:shd w:val="clear" w:color="auto" w:fill="95B3D7" w:themeFill="accent1" w:themeFillTint="99"/>
          </w:tcPr>
          <w:p w14:paraId="25C4FB15" w14:textId="77777777" w:rsidR="00DF5E69" w:rsidRPr="00864F5C" w:rsidRDefault="00DF5E69" w:rsidP="00DF5E69">
            <w:pPr>
              <w:rPr>
                <w:b/>
                <w:noProof/>
                <w:sz w:val="18"/>
                <w:szCs w:val="18"/>
              </w:rPr>
            </w:pPr>
            <w:r w:rsidRPr="00864F5C">
              <w:rPr>
                <w:b/>
                <w:noProof/>
                <w:sz w:val="18"/>
                <w:szCs w:val="18"/>
              </w:rPr>
              <w:t>Unit of measurement</w:t>
            </w:r>
          </w:p>
        </w:tc>
        <w:tc>
          <w:tcPr>
            <w:tcW w:w="1042" w:type="dxa"/>
            <w:shd w:val="clear" w:color="auto" w:fill="95B3D7" w:themeFill="accent1" w:themeFillTint="99"/>
          </w:tcPr>
          <w:p w14:paraId="10E1096B" w14:textId="2E26AF6A"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4</w:t>
            </w:r>
            <w:r w:rsidRPr="00DC6DD8">
              <w:rPr>
                <w:b/>
                <w:noProof/>
                <w:szCs w:val="20"/>
              </w:rPr>
              <w:t xml:space="preserve">a </w:t>
            </w:r>
          </w:p>
        </w:tc>
        <w:tc>
          <w:tcPr>
            <w:tcW w:w="996" w:type="dxa"/>
            <w:shd w:val="clear" w:color="auto" w:fill="95B3D7" w:themeFill="accent1" w:themeFillTint="99"/>
          </w:tcPr>
          <w:p w14:paraId="24331338" w14:textId="422F974C"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4</w:t>
            </w:r>
            <w:r w:rsidRPr="00DC6DD8">
              <w:rPr>
                <w:b/>
                <w:noProof/>
                <w:szCs w:val="20"/>
              </w:rPr>
              <w:t>b</w:t>
            </w:r>
          </w:p>
        </w:tc>
        <w:tc>
          <w:tcPr>
            <w:tcW w:w="994" w:type="dxa"/>
            <w:shd w:val="clear" w:color="auto" w:fill="95B3D7" w:themeFill="accent1" w:themeFillTint="99"/>
          </w:tcPr>
          <w:p w14:paraId="56751629" w14:textId="13226CF0"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4</w:t>
            </w:r>
            <w:r w:rsidRPr="00DC6DD8">
              <w:rPr>
                <w:b/>
                <w:noProof/>
                <w:szCs w:val="20"/>
              </w:rPr>
              <w:t>c</w:t>
            </w:r>
          </w:p>
          <w:p w14:paraId="64DFF7AD" w14:textId="77777777" w:rsidR="00DF5E69" w:rsidRPr="00DC6DD8" w:rsidRDefault="00DF5E69" w:rsidP="00DF5E69">
            <w:pPr>
              <w:rPr>
                <w:b/>
                <w:noProof/>
                <w:szCs w:val="20"/>
              </w:rPr>
            </w:pPr>
          </w:p>
        </w:tc>
        <w:tc>
          <w:tcPr>
            <w:tcW w:w="7508" w:type="dxa"/>
            <w:shd w:val="clear" w:color="auto" w:fill="95B3D7" w:themeFill="accent1" w:themeFillTint="99"/>
          </w:tcPr>
          <w:p w14:paraId="7F2D82A8" w14:textId="05372EC2" w:rsidR="00DF5E69" w:rsidRPr="00DC6DD8" w:rsidRDefault="00DF5E69" w:rsidP="00DF5E69">
            <w:pPr>
              <w:rPr>
                <w:b/>
                <w:noProof/>
                <w:szCs w:val="20"/>
              </w:rPr>
            </w:pPr>
            <w:r w:rsidRPr="00DD0943">
              <w:rPr>
                <w:b/>
                <w:noProof/>
                <w:szCs w:val="20"/>
              </w:rPr>
              <w:t>Motivation</w:t>
            </w:r>
          </w:p>
        </w:tc>
      </w:tr>
      <w:tr w:rsidR="00DF5E69" w:rsidRPr="00DC6DD8" w14:paraId="2E55368C" w14:textId="77777777" w:rsidTr="00DF5E69">
        <w:trPr>
          <w:trHeight w:val="702"/>
        </w:trPr>
        <w:tc>
          <w:tcPr>
            <w:tcW w:w="14170" w:type="dxa"/>
            <w:gridSpan w:val="6"/>
            <w:shd w:val="clear" w:color="auto" w:fill="92D050"/>
          </w:tcPr>
          <w:p w14:paraId="1531B0B8" w14:textId="77777777" w:rsidR="00DF5E69" w:rsidRPr="00035E70" w:rsidRDefault="00DF5E69" w:rsidP="00DF5E69">
            <w:pPr>
              <w:rPr>
                <w:b/>
                <w:bCs/>
                <w:noProof/>
                <w:szCs w:val="20"/>
              </w:rPr>
            </w:pPr>
            <w:r w:rsidRPr="00D345EC">
              <w:rPr>
                <w:b/>
                <w:noProof/>
                <w:sz w:val="24"/>
                <w:szCs w:val="24"/>
              </w:rPr>
              <w:t>Companies and investors</w:t>
            </w:r>
          </w:p>
        </w:tc>
      </w:tr>
      <w:tr w:rsidR="00DF5E69" w:rsidRPr="00DC6DD8" w14:paraId="7B6FAAA0" w14:textId="77777777" w:rsidTr="0055248E">
        <w:trPr>
          <w:trHeight w:val="557"/>
        </w:trPr>
        <w:tc>
          <w:tcPr>
            <w:tcW w:w="2122" w:type="dxa"/>
          </w:tcPr>
          <w:p w14:paraId="161A5913" w14:textId="77777777" w:rsidR="00DF5E69" w:rsidRPr="00DC6DD8" w:rsidRDefault="00DF5E69" w:rsidP="00DF5E69">
            <w:pPr>
              <w:rPr>
                <w:b/>
                <w:noProof/>
                <w:szCs w:val="20"/>
              </w:rPr>
            </w:pPr>
            <w:r>
              <w:rPr>
                <w:b/>
                <w:noProof/>
                <w:szCs w:val="20"/>
              </w:rPr>
              <w:t>Ease of doing business</w:t>
            </w:r>
          </w:p>
        </w:tc>
        <w:tc>
          <w:tcPr>
            <w:tcW w:w="1508" w:type="dxa"/>
          </w:tcPr>
          <w:p w14:paraId="0BD7FAEF" w14:textId="77777777" w:rsidR="00DF5E69" w:rsidRPr="00170FBB" w:rsidRDefault="00DF5E69" w:rsidP="00DF5E69">
            <w:pPr>
              <w:rPr>
                <w:b/>
                <w:noProof/>
                <w:sz w:val="18"/>
                <w:szCs w:val="18"/>
              </w:rPr>
            </w:pPr>
            <w:r w:rsidRPr="00170FBB">
              <w:rPr>
                <w:noProof/>
                <w:sz w:val="18"/>
                <w:szCs w:val="18"/>
              </w:rPr>
              <w:t>Score 0-5</w:t>
            </w:r>
          </w:p>
        </w:tc>
        <w:tc>
          <w:tcPr>
            <w:tcW w:w="1042" w:type="dxa"/>
          </w:tcPr>
          <w:p w14:paraId="77C24BCF" w14:textId="53AEE86A" w:rsidR="00DF5E69" w:rsidRPr="002A30C9" w:rsidRDefault="002A30C9" w:rsidP="00A24205">
            <w:pPr>
              <w:jc w:val="center"/>
              <w:rPr>
                <w:bCs/>
                <w:noProof/>
                <w:szCs w:val="20"/>
              </w:rPr>
            </w:pPr>
            <w:r w:rsidRPr="002A30C9">
              <w:rPr>
                <w:bCs/>
                <w:noProof/>
                <w:szCs w:val="20"/>
              </w:rPr>
              <w:t>2</w:t>
            </w:r>
          </w:p>
        </w:tc>
        <w:tc>
          <w:tcPr>
            <w:tcW w:w="996" w:type="dxa"/>
          </w:tcPr>
          <w:p w14:paraId="73E32BBF" w14:textId="05C15A52" w:rsidR="00DF5E69" w:rsidRPr="002A30C9" w:rsidRDefault="002A30C9" w:rsidP="00A24205">
            <w:pPr>
              <w:jc w:val="center"/>
              <w:rPr>
                <w:bCs/>
                <w:noProof/>
                <w:szCs w:val="20"/>
              </w:rPr>
            </w:pPr>
            <w:r w:rsidRPr="002A30C9">
              <w:rPr>
                <w:bCs/>
                <w:noProof/>
                <w:szCs w:val="20"/>
              </w:rPr>
              <w:t>3</w:t>
            </w:r>
          </w:p>
        </w:tc>
        <w:tc>
          <w:tcPr>
            <w:tcW w:w="994" w:type="dxa"/>
          </w:tcPr>
          <w:p w14:paraId="6D123FC9" w14:textId="7152EE45" w:rsidR="00DF5E69" w:rsidRPr="002A30C9" w:rsidRDefault="002A30C9" w:rsidP="00A24205">
            <w:pPr>
              <w:jc w:val="center"/>
              <w:rPr>
                <w:bCs/>
                <w:noProof/>
                <w:szCs w:val="20"/>
              </w:rPr>
            </w:pPr>
            <w:r w:rsidRPr="002A30C9">
              <w:rPr>
                <w:bCs/>
                <w:noProof/>
                <w:szCs w:val="20"/>
              </w:rPr>
              <w:t>4</w:t>
            </w:r>
          </w:p>
        </w:tc>
        <w:tc>
          <w:tcPr>
            <w:tcW w:w="7508" w:type="dxa"/>
          </w:tcPr>
          <w:p w14:paraId="7025F688" w14:textId="34104AA1" w:rsidR="00707A50" w:rsidRPr="0055248E" w:rsidRDefault="000676D3" w:rsidP="0002293C">
            <w:pPr>
              <w:jc w:val="both"/>
              <w:rPr>
                <w:noProof/>
              </w:rPr>
            </w:pPr>
            <w:r>
              <w:rPr>
                <w:noProof/>
              </w:rPr>
              <w:t xml:space="preserve">Given a high failure rate of </w:t>
            </w:r>
            <w:r w:rsidR="5828DDFD">
              <w:rPr>
                <w:noProof/>
              </w:rPr>
              <w:t>s</w:t>
            </w:r>
            <w:r w:rsidR="1CCD2D84">
              <w:rPr>
                <w:noProof/>
              </w:rPr>
              <w:t>tartup</w:t>
            </w:r>
            <w:r w:rsidR="5828DDFD">
              <w:rPr>
                <w:noProof/>
              </w:rPr>
              <w:t>s</w:t>
            </w:r>
            <w:r>
              <w:rPr>
                <w:noProof/>
              </w:rPr>
              <w:t>, efficient closure is important for the overall ease of doing business in the EU</w:t>
            </w:r>
            <w:r w:rsidR="002F489F">
              <w:rPr>
                <w:noProof/>
              </w:rPr>
              <w:t xml:space="preserve"> and </w:t>
            </w:r>
            <w:r w:rsidR="00907F8F">
              <w:rPr>
                <w:noProof/>
              </w:rPr>
              <w:t>development of a dynamic startup ecosystem.</w:t>
            </w:r>
            <w:r>
              <w:rPr>
                <w:noProof/>
              </w:rPr>
              <w:t xml:space="preserve"> </w:t>
            </w:r>
            <w:r w:rsidR="00041387">
              <w:rPr>
                <w:noProof/>
              </w:rPr>
              <w:t xml:space="preserve">These policy options </w:t>
            </w:r>
            <w:r w:rsidR="009A4D6D">
              <w:rPr>
                <w:noProof/>
              </w:rPr>
              <w:t xml:space="preserve">would have </w:t>
            </w:r>
            <w:r w:rsidR="007F2CAC">
              <w:rPr>
                <w:noProof/>
              </w:rPr>
              <w:t xml:space="preserve">a positive impact on ease of doing business in the EU as they would </w:t>
            </w:r>
            <w:r w:rsidR="00041387">
              <w:rPr>
                <w:noProof/>
              </w:rPr>
              <w:t>mak</w:t>
            </w:r>
            <w:r w:rsidR="007F2CAC">
              <w:rPr>
                <w:noProof/>
              </w:rPr>
              <w:t>e</w:t>
            </w:r>
            <w:r w:rsidR="00041387">
              <w:rPr>
                <w:noProof/>
              </w:rPr>
              <w:t xml:space="preserve"> it possible for founders to more efficiently close companies – through simplified and digitalised procedures – </w:t>
            </w:r>
            <w:r w:rsidR="00D32672">
              <w:rPr>
                <w:noProof/>
              </w:rPr>
              <w:t>and therefore</w:t>
            </w:r>
            <w:r w:rsidR="009B0820">
              <w:rPr>
                <w:noProof/>
              </w:rPr>
              <w:t>,</w:t>
            </w:r>
            <w:r w:rsidR="001D0247">
              <w:rPr>
                <w:noProof/>
              </w:rPr>
              <w:t xml:space="preserve"> </w:t>
            </w:r>
            <w:r w:rsidR="00041387">
              <w:rPr>
                <w:noProof/>
              </w:rPr>
              <w:t xml:space="preserve">to more quickly direct their resources (human and financial) into new </w:t>
            </w:r>
            <w:r w:rsidR="00FE63E4">
              <w:rPr>
                <w:noProof/>
              </w:rPr>
              <w:t xml:space="preserve">entrepreneurial </w:t>
            </w:r>
            <w:r w:rsidR="00041387">
              <w:rPr>
                <w:noProof/>
              </w:rPr>
              <w:t>projects</w:t>
            </w:r>
            <w:r w:rsidR="00750BF8">
              <w:rPr>
                <w:noProof/>
              </w:rPr>
              <w:t>.</w:t>
            </w:r>
            <w:r w:rsidR="005D7991">
              <w:rPr>
                <w:noProof/>
              </w:rPr>
              <w:t xml:space="preserve"> </w:t>
            </w:r>
            <w:r w:rsidR="00EF2072">
              <w:rPr>
                <w:noProof/>
              </w:rPr>
              <w:t xml:space="preserve"> </w:t>
            </w:r>
            <w:r w:rsidR="003F61C7">
              <w:rPr>
                <w:noProof/>
              </w:rPr>
              <w:t>Digitalising the relevant procedures as under PO4a and PO4c would respond to the needs of stakeholders, with</w:t>
            </w:r>
            <w:r w:rsidR="00041387">
              <w:rPr>
                <w:noProof/>
              </w:rPr>
              <w:t xml:space="preserve"> </w:t>
            </w:r>
            <w:r w:rsidR="00BC4C13" w:rsidRPr="3F78DA1D">
              <w:rPr>
                <w:noProof/>
                <w:lang w:val="en-IE"/>
              </w:rPr>
              <w:t>63% of respondents thinking there w</w:t>
            </w:r>
            <w:r w:rsidR="00305962" w:rsidRPr="3F78DA1D">
              <w:rPr>
                <w:noProof/>
                <w:lang w:val="en-IE"/>
              </w:rPr>
              <w:t>as</w:t>
            </w:r>
            <w:r w:rsidR="00BC4C13" w:rsidRPr="3F78DA1D">
              <w:rPr>
                <w:noProof/>
                <w:lang w:val="en-IE"/>
              </w:rPr>
              <w:t xml:space="preserve"> insufficient</w:t>
            </w:r>
            <w:r w:rsidR="00305962" w:rsidRPr="3F78DA1D">
              <w:rPr>
                <w:noProof/>
                <w:lang w:val="en-IE"/>
              </w:rPr>
              <w:t xml:space="preserve"> availability of digital tools for company closure</w:t>
            </w:r>
            <w:r w:rsidR="005F3BC3" w:rsidRPr="3F78DA1D">
              <w:rPr>
                <w:noProof/>
                <w:lang w:val="en-IE"/>
              </w:rPr>
              <w:t xml:space="preserve">, and many respondents </w:t>
            </w:r>
            <w:r w:rsidR="0049048F" w:rsidRPr="3F78DA1D">
              <w:rPr>
                <w:noProof/>
                <w:lang w:val="en-IE"/>
              </w:rPr>
              <w:t xml:space="preserve">(in particular </w:t>
            </w:r>
            <w:r w:rsidR="005F3BC3" w:rsidRPr="3F78DA1D">
              <w:rPr>
                <w:noProof/>
                <w:lang w:val="en-IE"/>
              </w:rPr>
              <w:t>founders</w:t>
            </w:r>
            <w:r w:rsidR="005D6538" w:rsidRPr="3F78DA1D">
              <w:rPr>
                <w:noProof/>
                <w:lang w:val="en-IE"/>
              </w:rPr>
              <w:t xml:space="preserve"> and investors)</w:t>
            </w:r>
            <w:r w:rsidR="005F3BC3" w:rsidRPr="3F78DA1D">
              <w:rPr>
                <w:noProof/>
                <w:lang w:val="en-IE"/>
              </w:rPr>
              <w:t xml:space="preserve"> </w:t>
            </w:r>
            <w:r w:rsidR="005F3BC3">
              <w:rPr>
                <w:noProof/>
              </w:rPr>
              <w:t xml:space="preserve">calling for a fast-track strike-off for solvent companies and better harmonisation and interoperability </w:t>
            </w:r>
            <w:r w:rsidR="005D6538">
              <w:rPr>
                <w:noProof/>
              </w:rPr>
              <w:t>in</w:t>
            </w:r>
            <w:r w:rsidR="005F3BC3">
              <w:rPr>
                <w:noProof/>
              </w:rPr>
              <w:t xml:space="preserve"> the EU</w:t>
            </w:r>
            <w:r w:rsidR="00BC4C13">
              <w:rPr>
                <w:noProof/>
              </w:rPr>
              <w:t>.</w:t>
            </w:r>
            <w:r w:rsidR="00BC4C13" w:rsidRPr="3F78DA1D">
              <w:rPr>
                <w:noProof/>
                <w:lang w:val="en-IE"/>
              </w:rPr>
              <w:t xml:space="preserve"> </w:t>
            </w:r>
            <w:r w:rsidR="00B74B8E" w:rsidRPr="3F78DA1D">
              <w:rPr>
                <w:noProof/>
                <w:lang w:val="en-IE"/>
              </w:rPr>
              <w:t>PO4</w:t>
            </w:r>
            <w:r w:rsidR="00716BD7" w:rsidRPr="3F78DA1D">
              <w:rPr>
                <w:noProof/>
                <w:lang w:val="en-IE"/>
              </w:rPr>
              <w:t>b</w:t>
            </w:r>
            <w:r w:rsidR="00B74B8E" w:rsidRPr="3F78DA1D">
              <w:rPr>
                <w:noProof/>
                <w:lang w:val="en-IE"/>
              </w:rPr>
              <w:t xml:space="preserve"> would score highe</w:t>
            </w:r>
            <w:r w:rsidR="00716BD7" w:rsidRPr="3F78DA1D">
              <w:rPr>
                <w:noProof/>
                <w:lang w:val="en-IE"/>
              </w:rPr>
              <w:t xml:space="preserve">r as it would </w:t>
            </w:r>
            <w:r w:rsidR="00AD4A8F" w:rsidRPr="3F78DA1D">
              <w:rPr>
                <w:noProof/>
                <w:lang w:val="en-IE"/>
              </w:rPr>
              <w:t>also provide for a simplified procedure for simple closure</w:t>
            </w:r>
            <w:r w:rsidR="00C06D97" w:rsidRPr="3F78DA1D">
              <w:rPr>
                <w:noProof/>
                <w:lang w:val="en-IE"/>
              </w:rPr>
              <w:t xml:space="preserve"> cases</w:t>
            </w:r>
            <w:r w:rsidR="00AD4A8F" w:rsidRPr="3F78DA1D">
              <w:rPr>
                <w:noProof/>
                <w:lang w:val="en-IE"/>
              </w:rPr>
              <w:t xml:space="preserve"> outside of insolvency, and PO4c would score highest as it would also digitalise closure of insolvent companies.</w:t>
            </w:r>
            <w:r w:rsidR="0002293C" w:rsidRPr="3F78DA1D">
              <w:rPr>
                <w:noProof/>
                <w:lang w:val="en-IE"/>
              </w:rPr>
              <w:t xml:space="preserve"> </w:t>
            </w:r>
            <w:r w:rsidR="002D267B">
              <w:rPr>
                <w:noProof/>
              </w:rPr>
              <w:t>T</w:t>
            </w:r>
            <w:r w:rsidR="00707A50">
              <w:rPr>
                <w:noProof/>
              </w:rPr>
              <w:t>he full digitalisation of insolvency procedures would reduce the cost of failure</w:t>
            </w:r>
            <w:r w:rsidR="002D267B">
              <w:rPr>
                <w:noProof/>
              </w:rPr>
              <w:t xml:space="preserve">; in </w:t>
            </w:r>
            <w:r w:rsidR="00707A50">
              <w:rPr>
                <w:noProof/>
              </w:rPr>
              <w:t>the open public consultation</w:t>
            </w:r>
            <w:r w:rsidR="002D267B">
              <w:rPr>
                <w:noProof/>
              </w:rPr>
              <w:t>,</w:t>
            </w:r>
            <w:r w:rsidR="00707A50">
              <w:rPr>
                <w:noProof/>
              </w:rPr>
              <w:t xml:space="preserve"> simplification and digitalisation of insolvency procedures was the most mentioned call (42%) in the insolvency area. </w:t>
            </w:r>
          </w:p>
        </w:tc>
      </w:tr>
      <w:tr w:rsidR="00DF5E69" w:rsidRPr="00DC6DD8" w14:paraId="252C7175" w14:textId="77777777" w:rsidTr="00492375">
        <w:trPr>
          <w:trHeight w:val="558"/>
        </w:trPr>
        <w:tc>
          <w:tcPr>
            <w:tcW w:w="2122" w:type="dxa"/>
            <w:vAlign w:val="center"/>
          </w:tcPr>
          <w:p w14:paraId="05F1B9A2" w14:textId="77777777" w:rsidR="00DF5E69" w:rsidRDefault="00DF5E69" w:rsidP="00DF5E69">
            <w:pPr>
              <w:rPr>
                <w:b/>
                <w:noProof/>
                <w:szCs w:val="20"/>
              </w:rPr>
            </w:pPr>
            <w:r w:rsidRPr="00154739">
              <w:rPr>
                <w:b/>
                <w:noProof/>
                <w:szCs w:val="20"/>
              </w:rPr>
              <w:t>Ease of attracting investment</w:t>
            </w:r>
          </w:p>
        </w:tc>
        <w:tc>
          <w:tcPr>
            <w:tcW w:w="1508" w:type="dxa"/>
          </w:tcPr>
          <w:p w14:paraId="256B38EC" w14:textId="77777777" w:rsidR="00DF5E69" w:rsidRPr="00170FBB" w:rsidRDefault="00DF5E69" w:rsidP="00DF5E69">
            <w:pPr>
              <w:rPr>
                <w:noProof/>
                <w:sz w:val="18"/>
                <w:szCs w:val="18"/>
              </w:rPr>
            </w:pPr>
            <w:r w:rsidRPr="00170FBB">
              <w:rPr>
                <w:noProof/>
                <w:sz w:val="18"/>
                <w:szCs w:val="18"/>
              </w:rPr>
              <w:t>Score 0-5</w:t>
            </w:r>
          </w:p>
          <w:p w14:paraId="1D736AA3" w14:textId="77777777" w:rsidR="00DF5E69" w:rsidRPr="00170FBB" w:rsidRDefault="00DF5E69" w:rsidP="00DF5E69">
            <w:pPr>
              <w:rPr>
                <w:noProof/>
                <w:sz w:val="18"/>
                <w:szCs w:val="18"/>
              </w:rPr>
            </w:pPr>
          </w:p>
          <w:p w14:paraId="6FCEABD4" w14:textId="77777777" w:rsidR="00DF5E69" w:rsidRPr="00170FBB" w:rsidRDefault="00DF5E69" w:rsidP="00DF5E69">
            <w:pPr>
              <w:rPr>
                <w:noProof/>
                <w:sz w:val="18"/>
                <w:szCs w:val="18"/>
              </w:rPr>
            </w:pPr>
          </w:p>
        </w:tc>
        <w:tc>
          <w:tcPr>
            <w:tcW w:w="1042" w:type="dxa"/>
          </w:tcPr>
          <w:p w14:paraId="66A2E231" w14:textId="204FC0F2" w:rsidR="00DF5E69" w:rsidRPr="00606B78" w:rsidRDefault="00606B78" w:rsidP="00A24205">
            <w:pPr>
              <w:jc w:val="center"/>
              <w:rPr>
                <w:noProof/>
                <w:szCs w:val="20"/>
              </w:rPr>
            </w:pPr>
            <w:r w:rsidRPr="00606B78">
              <w:rPr>
                <w:bCs/>
                <w:noProof/>
                <w:szCs w:val="20"/>
              </w:rPr>
              <w:t>1</w:t>
            </w:r>
          </w:p>
        </w:tc>
        <w:tc>
          <w:tcPr>
            <w:tcW w:w="996" w:type="dxa"/>
          </w:tcPr>
          <w:p w14:paraId="11CC6D83" w14:textId="3C65E9DD" w:rsidR="00DF5E69" w:rsidRPr="00606B78" w:rsidRDefault="00606B78" w:rsidP="00A24205">
            <w:pPr>
              <w:jc w:val="center"/>
              <w:rPr>
                <w:noProof/>
                <w:szCs w:val="20"/>
              </w:rPr>
            </w:pPr>
            <w:r w:rsidRPr="00606B78">
              <w:rPr>
                <w:bCs/>
                <w:noProof/>
                <w:szCs w:val="20"/>
              </w:rPr>
              <w:t>2</w:t>
            </w:r>
          </w:p>
        </w:tc>
        <w:tc>
          <w:tcPr>
            <w:tcW w:w="994" w:type="dxa"/>
          </w:tcPr>
          <w:p w14:paraId="6A91E9CB" w14:textId="5BC3BE59" w:rsidR="00DF5E69" w:rsidRPr="00606B78" w:rsidRDefault="00606B78" w:rsidP="00A24205">
            <w:pPr>
              <w:jc w:val="center"/>
              <w:rPr>
                <w:noProof/>
                <w:szCs w:val="20"/>
              </w:rPr>
            </w:pPr>
            <w:r w:rsidRPr="00606B78">
              <w:rPr>
                <w:bCs/>
                <w:noProof/>
                <w:szCs w:val="20"/>
              </w:rPr>
              <w:t>3</w:t>
            </w:r>
          </w:p>
        </w:tc>
        <w:tc>
          <w:tcPr>
            <w:tcW w:w="7508" w:type="dxa"/>
          </w:tcPr>
          <w:p w14:paraId="7AC2FB37" w14:textId="1B121EF3" w:rsidR="00DF5E69" w:rsidRPr="00DC6DD8" w:rsidRDefault="00080908" w:rsidP="00551124">
            <w:pPr>
              <w:jc w:val="both"/>
              <w:rPr>
                <w:noProof/>
                <w:szCs w:val="20"/>
              </w:rPr>
            </w:pPr>
            <w:r>
              <w:rPr>
                <w:noProof/>
                <w:szCs w:val="20"/>
              </w:rPr>
              <w:t>B</w:t>
            </w:r>
            <w:r w:rsidR="009B363C">
              <w:rPr>
                <w:noProof/>
                <w:szCs w:val="20"/>
              </w:rPr>
              <w:t xml:space="preserve">y making it possible for founders to more efficiently close inactive companies through simplified and digitalised procedures, these policy options </w:t>
            </w:r>
            <w:r w:rsidR="00555FD4">
              <w:rPr>
                <w:noProof/>
                <w:szCs w:val="20"/>
              </w:rPr>
              <w:t xml:space="preserve">would </w:t>
            </w:r>
            <w:r w:rsidR="00606B78">
              <w:rPr>
                <w:noProof/>
                <w:szCs w:val="20"/>
              </w:rPr>
              <w:t>also</w:t>
            </w:r>
            <w:r w:rsidR="00555FD4">
              <w:rPr>
                <w:noProof/>
                <w:szCs w:val="20"/>
              </w:rPr>
              <w:t xml:space="preserve"> encourage investors </w:t>
            </w:r>
            <w:r w:rsidR="00050849">
              <w:rPr>
                <w:noProof/>
                <w:szCs w:val="20"/>
              </w:rPr>
              <w:t>to invest into 28</w:t>
            </w:r>
            <w:r w:rsidR="00050849" w:rsidRPr="00C6276A">
              <w:rPr>
                <w:noProof/>
                <w:szCs w:val="20"/>
                <w:vertAlign w:val="superscript"/>
              </w:rPr>
              <w:t>th</w:t>
            </w:r>
            <w:r w:rsidR="00050849">
              <w:rPr>
                <w:noProof/>
                <w:szCs w:val="20"/>
              </w:rPr>
              <w:t xml:space="preserve"> regime companies </w:t>
            </w:r>
            <w:r w:rsidR="006E3E92">
              <w:rPr>
                <w:noProof/>
                <w:szCs w:val="20"/>
              </w:rPr>
              <w:t>knowing that their</w:t>
            </w:r>
            <w:r w:rsidR="00CB4A63">
              <w:rPr>
                <w:noProof/>
                <w:szCs w:val="20"/>
              </w:rPr>
              <w:t xml:space="preserve"> </w:t>
            </w:r>
            <w:r w:rsidR="00CB4A63" w:rsidRPr="00456151">
              <w:rPr>
                <w:noProof/>
              </w:rPr>
              <w:t xml:space="preserve">capital </w:t>
            </w:r>
            <w:r w:rsidR="006E3E92" w:rsidRPr="00456151">
              <w:rPr>
                <w:noProof/>
              </w:rPr>
              <w:t xml:space="preserve">will not be trapped but </w:t>
            </w:r>
            <w:r w:rsidR="00CB4A63" w:rsidRPr="00456151">
              <w:rPr>
                <w:noProof/>
              </w:rPr>
              <w:t xml:space="preserve">could </w:t>
            </w:r>
            <w:r w:rsidR="006E3E92" w:rsidRPr="00456151">
              <w:rPr>
                <w:noProof/>
              </w:rPr>
              <w:t xml:space="preserve">be </w:t>
            </w:r>
            <w:r w:rsidR="00CB4A63" w:rsidRPr="00456151">
              <w:rPr>
                <w:noProof/>
              </w:rPr>
              <w:t xml:space="preserve">reinvested </w:t>
            </w:r>
            <w:r w:rsidR="006C0F9C" w:rsidRPr="00456151">
              <w:rPr>
                <w:noProof/>
              </w:rPr>
              <w:t xml:space="preserve">efficiently </w:t>
            </w:r>
            <w:r w:rsidR="002F0C54">
              <w:rPr>
                <w:noProof/>
              </w:rPr>
              <w:t xml:space="preserve">and quickly </w:t>
            </w:r>
            <w:r w:rsidR="006C0F9C" w:rsidRPr="00456151">
              <w:rPr>
                <w:noProof/>
              </w:rPr>
              <w:t>after the closure of a company</w:t>
            </w:r>
            <w:r w:rsidR="000043A3" w:rsidRPr="00456151">
              <w:rPr>
                <w:noProof/>
              </w:rPr>
              <w:t xml:space="preserve"> while making it easier to calculate the financial risk of their investments</w:t>
            </w:r>
            <w:r w:rsidR="00B34288">
              <w:rPr>
                <w:noProof/>
              </w:rPr>
              <w:t xml:space="preserve">. </w:t>
            </w:r>
            <w:r w:rsidR="00606B78" w:rsidRPr="00456151">
              <w:rPr>
                <w:noProof/>
              </w:rPr>
              <w:t xml:space="preserve">PO4c </w:t>
            </w:r>
            <w:r w:rsidR="00B34288">
              <w:rPr>
                <w:noProof/>
              </w:rPr>
              <w:t xml:space="preserve">would </w:t>
            </w:r>
            <w:r w:rsidR="00606B78" w:rsidRPr="00456151">
              <w:rPr>
                <w:noProof/>
              </w:rPr>
              <w:t>scor</w:t>
            </w:r>
            <w:r w:rsidR="00B34288">
              <w:rPr>
                <w:noProof/>
              </w:rPr>
              <w:t>e</w:t>
            </w:r>
            <w:r w:rsidR="00606B78" w:rsidRPr="00456151">
              <w:rPr>
                <w:noProof/>
              </w:rPr>
              <w:t xml:space="preserve"> highest</w:t>
            </w:r>
            <w:r w:rsidR="0084481B">
              <w:rPr>
                <w:noProof/>
              </w:rPr>
              <w:t xml:space="preserve"> as it would </w:t>
            </w:r>
            <w:r w:rsidR="00F126AB">
              <w:rPr>
                <w:noProof/>
              </w:rPr>
              <w:t>allow for more efficient closures of both solvent and insolvent companies</w:t>
            </w:r>
            <w:r w:rsidR="00CB4A63" w:rsidRPr="00456151">
              <w:rPr>
                <w:noProof/>
              </w:rPr>
              <w:t>.</w:t>
            </w:r>
            <w:r w:rsidR="00E20F53" w:rsidRPr="00020F6D">
              <w:rPr>
                <w:noProof/>
              </w:rPr>
              <w:t xml:space="preserve"> </w:t>
            </w:r>
          </w:p>
        </w:tc>
      </w:tr>
      <w:tr w:rsidR="00DF5E69" w:rsidRPr="00DC6DD8" w14:paraId="714703BF" w14:textId="77777777" w:rsidTr="00154739">
        <w:tc>
          <w:tcPr>
            <w:tcW w:w="2122" w:type="dxa"/>
            <w:vAlign w:val="center"/>
          </w:tcPr>
          <w:p w14:paraId="35094E60" w14:textId="77777777" w:rsidR="00DF5E69" w:rsidRPr="00DC6DD8" w:rsidRDefault="00DF5E69" w:rsidP="00DF5E69">
            <w:pPr>
              <w:rPr>
                <w:b/>
                <w:noProof/>
                <w:szCs w:val="20"/>
              </w:rPr>
            </w:pPr>
            <w:r w:rsidRPr="00154739">
              <w:rPr>
                <w:b/>
                <w:noProof/>
                <w:szCs w:val="20"/>
              </w:rPr>
              <w:t>Administrative burden reduction (benefit)</w:t>
            </w:r>
          </w:p>
        </w:tc>
        <w:tc>
          <w:tcPr>
            <w:tcW w:w="1508" w:type="dxa"/>
          </w:tcPr>
          <w:p w14:paraId="3CDC2EE5" w14:textId="4605D003" w:rsidR="00AC27C0" w:rsidRDefault="00AC27C0" w:rsidP="00DF5E69">
            <w:pPr>
              <w:rPr>
                <w:noProof/>
                <w:sz w:val="18"/>
                <w:szCs w:val="18"/>
              </w:rPr>
            </w:pPr>
            <w:r>
              <w:rPr>
                <w:noProof/>
                <w:sz w:val="18"/>
                <w:szCs w:val="18"/>
              </w:rPr>
              <w:t>Score 0-5</w:t>
            </w:r>
          </w:p>
          <w:p w14:paraId="41108D8B" w14:textId="01413007" w:rsidR="00DF5E69" w:rsidRPr="00170FBB" w:rsidRDefault="00DF5E69" w:rsidP="00DF5E69">
            <w:pPr>
              <w:rPr>
                <w:noProof/>
                <w:sz w:val="18"/>
                <w:szCs w:val="18"/>
              </w:rPr>
            </w:pPr>
            <w:r w:rsidRPr="00170FBB">
              <w:rPr>
                <w:noProof/>
                <w:sz w:val="18"/>
                <w:szCs w:val="18"/>
              </w:rPr>
              <w:t>Standard Cost Model calculations or n/a</w:t>
            </w:r>
          </w:p>
        </w:tc>
        <w:tc>
          <w:tcPr>
            <w:tcW w:w="1042" w:type="dxa"/>
          </w:tcPr>
          <w:p w14:paraId="26DB26EC" w14:textId="77777777" w:rsidR="00DF5E69" w:rsidRDefault="00712FCE" w:rsidP="00A24205">
            <w:pPr>
              <w:jc w:val="center"/>
              <w:rPr>
                <w:noProof/>
                <w:szCs w:val="20"/>
              </w:rPr>
            </w:pPr>
            <w:r>
              <w:rPr>
                <w:noProof/>
                <w:szCs w:val="20"/>
              </w:rPr>
              <w:t>2</w:t>
            </w:r>
          </w:p>
          <w:p w14:paraId="3312F114" w14:textId="3C8A34B7" w:rsidR="0074570F" w:rsidRDefault="0074570F" w:rsidP="00973EFC">
            <w:pPr>
              <w:spacing w:after="0"/>
              <w:jc w:val="both"/>
              <w:rPr>
                <w:noProof/>
                <w:szCs w:val="20"/>
              </w:rPr>
            </w:pPr>
          </w:p>
        </w:tc>
        <w:tc>
          <w:tcPr>
            <w:tcW w:w="996" w:type="dxa"/>
          </w:tcPr>
          <w:p w14:paraId="27FD727E" w14:textId="77777777" w:rsidR="00DF5E69" w:rsidRDefault="00712FCE" w:rsidP="00A24205">
            <w:pPr>
              <w:jc w:val="center"/>
              <w:rPr>
                <w:noProof/>
                <w:szCs w:val="20"/>
              </w:rPr>
            </w:pPr>
            <w:r>
              <w:rPr>
                <w:noProof/>
                <w:szCs w:val="20"/>
              </w:rPr>
              <w:t>3</w:t>
            </w:r>
          </w:p>
          <w:p w14:paraId="78B74F19" w14:textId="5B805846" w:rsidR="00F960D5" w:rsidRDefault="00F960D5" w:rsidP="00A24205">
            <w:pPr>
              <w:jc w:val="center"/>
              <w:rPr>
                <w:noProof/>
                <w:szCs w:val="20"/>
              </w:rPr>
            </w:pPr>
          </w:p>
        </w:tc>
        <w:tc>
          <w:tcPr>
            <w:tcW w:w="994" w:type="dxa"/>
          </w:tcPr>
          <w:p w14:paraId="59D5D14C" w14:textId="77777777" w:rsidR="00DF5E69" w:rsidRDefault="00712FCE" w:rsidP="00A24205">
            <w:pPr>
              <w:jc w:val="center"/>
              <w:rPr>
                <w:noProof/>
                <w:szCs w:val="20"/>
              </w:rPr>
            </w:pPr>
            <w:r>
              <w:rPr>
                <w:noProof/>
                <w:szCs w:val="20"/>
              </w:rPr>
              <w:t>4</w:t>
            </w:r>
          </w:p>
          <w:p w14:paraId="2B62732F" w14:textId="28EE41EF" w:rsidR="00D0513C" w:rsidRDefault="00D0513C" w:rsidP="00A24205">
            <w:pPr>
              <w:jc w:val="center"/>
              <w:rPr>
                <w:noProof/>
                <w:szCs w:val="20"/>
              </w:rPr>
            </w:pPr>
          </w:p>
        </w:tc>
        <w:tc>
          <w:tcPr>
            <w:tcW w:w="7508" w:type="dxa"/>
          </w:tcPr>
          <w:p w14:paraId="7AE9AAB6" w14:textId="3B1C5616" w:rsidR="00DF5E69" w:rsidRPr="003454BA" w:rsidRDefault="004142F2" w:rsidP="002348AF">
            <w:pPr>
              <w:jc w:val="both"/>
              <w:rPr>
                <w:noProof/>
                <w:szCs w:val="20"/>
              </w:rPr>
            </w:pPr>
            <w:r>
              <w:rPr>
                <w:noProof/>
                <w:szCs w:val="20"/>
              </w:rPr>
              <w:t>Companies would already save on t</w:t>
            </w:r>
            <w:r w:rsidR="00D3742A">
              <w:rPr>
                <w:noProof/>
                <w:szCs w:val="20"/>
              </w:rPr>
              <w:t>he administrative burden of multiple filings to national authorities and in particular to tax and social security authorities</w:t>
            </w:r>
            <w:r w:rsidR="00C17C98">
              <w:rPr>
                <w:noProof/>
                <w:szCs w:val="20"/>
              </w:rPr>
              <w:t xml:space="preserve"> in closure cases outside of insolvency</w:t>
            </w:r>
            <w:r w:rsidR="00645F18">
              <w:rPr>
                <w:noProof/>
                <w:szCs w:val="20"/>
              </w:rPr>
              <w:t xml:space="preserve"> </w:t>
            </w:r>
            <w:r>
              <w:rPr>
                <w:noProof/>
                <w:szCs w:val="20"/>
              </w:rPr>
              <w:t xml:space="preserve">under </w:t>
            </w:r>
            <w:r w:rsidR="00672E67">
              <w:rPr>
                <w:noProof/>
                <w:szCs w:val="20"/>
              </w:rPr>
              <w:t>PO4a</w:t>
            </w:r>
            <w:r>
              <w:rPr>
                <w:noProof/>
                <w:szCs w:val="20"/>
              </w:rPr>
              <w:t xml:space="preserve">. </w:t>
            </w:r>
            <w:r w:rsidR="0029437D">
              <w:rPr>
                <w:noProof/>
                <w:szCs w:val="20"/>
              </w:rPr>
              <w:t xml:space="preserve">Participants in the workshop for companies expected a 3,8 out of 5 </w:t>
            </w:r>
            <w:r w:rsidR="001D5CB5">
              <w:rPr>
                <w:noProof/>
                <w:szCs w:val="20"/>
              </w:rPr>
              <w:t>corresponding to almo</w:t>
            </w:r>
            <w:r w:rsidR="00BC1D02">
              <w:rPr>
                <w:noProof/>
                <w:szCs w:val="20"/>
              </w:rPr>
              <w:t>s</w:t>
            </w:r>
            <w:r w:rsidR="001D5CB5">
              <w:rPr>
                <w:noProof/>
                <w:szCs w:val="20"/>
              </w:rPr>
              <w:t xml:space="preserve">t 60% </w:t>
            </w:r>
            <w:r w:rsidR="0029437D">
              <w:rPr>
                <w:noProof/>
                <w:szCs w:val="20"/>
              </w:rPr>
              <w:t xml:space="preserve">reduction in time spent </w:t>
            </w:r>
            <w:r w:rsidR="00090863">
              <w:rPr>
                <w:noProof/>
                <w:szCs w:val="20"/>
              </w:rPr>
              <w:t>in case the information would be automatically transferred to the other authorities.</w:t>
            </w:r>
            <w:r w:rsidR="0029437D">
              <w:rPr>
                <w:noProof/>
                <w:szCs w:val="20"/>
              </w:rPr>
              <w:t xml:space="preserve"> </w:t>
            </w:r>
            <w:r w:rsidR="00754B80">
              <w:rPr>
                <w:noProof/>
                <w:szCs w:val="20"/>
              </w:rPr>
              <w:t xml:space="preserve">Savings </w:t>
            </w:r>
            <w:r w:rsidR="00942986">
              <w:rPr>
                <w:noProof/>
                <w:szCs w:val="20"/>
              </w:rPr>
              <w:t xml:space="preserve">would be higher </w:t>
            </w:r>
            <w:r w:rsidR="00315CBD">
              <w:rPr>
                <w:noProof/>
                <w:szCs w:val="20"/>
              </w:rPr>
              <w:t xml:space="preserve">for companies </w:t>
            </w:r>
            <w:r w:rsidR="00F837EA">
              <w:rPr>
                <w:noProof/>
                <w:szCs w:val="20"/>
              </w:rPr>
              <w:t xml:space="preserve">wanting to close </w:t>
            </w:r>
            <w:r w:rsidR="00315CBD">
              <w:rPr>
                <w:noProof/>
                <w:szCs w:val="20"/>
              </w:rPr>
              <w:t>without assets and debts thanks to a harmonised simplified procedure under PO4b</w:t>
            </w:r>
            <w:r w:rsidR="0029219C">
              <w:rPr>
                <w:noProof/>
                <w:szCs w:val="20"/>
              </w:rPr>
              <w:t xml:space="preserve">, which would </w:t>
            </w:r>
            <w:r w:rsidR="0028076A">
              <w:rPr>
                <w:noProof/>
                <w:szCs w:val="20"/>
              </w:rPr>
              <w:t>result in reduce</w:t>
            </w:r>
            <w:r w:rsidR="00221794">
              <w:rPr>
                <w:noProof/>
                <w:szCs w:val="20"/>
              </w:rPr>
              <w:t>d</w:t>
            </w:r>
            <w:r w:rsidR="0028076A">
              <w:rPr>
                <w:noProof/>
                <w:szCs w:val="20"/>
              </w:rPr>
              <w:t xml:space="preserve"> </w:t>
            </w:r>
            <w:r w:rsidR="00FD0046">
              <w:rPr>
                <w:noProof/>
                <w:szCs w:val="20"/>
              </w:rPr>
              <w:t>compl</w:t>
            </w:r>
            <w:r w:rsidR="0082620F">
              <w:rPr>
                <w:noProof/>
                <w:szCs w:val="20"/>
              </w:rPr>
              <w:t>iance</w:t>
            </w:r>
            <w:r w:rsidR="0028076A">
              <w:rPr>
                <w:noProof/>
                <w:szCs w:val="20"/>
              </w:rPr>
              <w:t xml:space="preserve"> costs and </w:t>
            </w:r>
            <w:r w:rsidR="0029219C">
              <w:rPr>
                <w:noProof/>
                <w:szCs w:val="20"/>
              </w:rPr>
              <w:t>significantly shorten the time of the closure procedure</w:t>
            </w:r>
            <w:r w:rsidR="00D3742A">
              <w:rPr>
                <w:noProof/>
                <w:szCs w:val="20"/>
              </w:rPr>
              <w:t>.</w:t>
            </w:r>
            <w:r w:rsidR="00734C3C">
              <w:rPr>
                <w:noProof/>
                <w:szCs w:val="20"/>
              </w:rPr>
              <w:t xml:space="preserve"> Savings would be overall highest for companies with PO4c </w:t>
            </w:r>
            <w:r w:rsidR="00DD15EF">
              <w:rPr>
                <w:noProof/>
                <w:szCs w:val="20"/>
              </w:rPr>
              <w:t xml:space="preserve">thanks to – in addition – savings due to digitalised procedure also </w:t>
            </w:r>
            <w:r w:rsidR="006B544D">
              <w:rPr>
                <w:noProof/>
                <w:szCs w:val="20"/>
              </w:rPr>
              <w:t>for</w:t>
            </w:r>
            <w:r w:rsidR="00DD15EF">
              <w:rPr>
                <w:noProof/>
                <w:szCs w:val="20"/>
              </w:rPr>
              <w:t xml:space="preserve"> closure of insolvent companies</w:t>
            </w:r>
            <w:r w:rsidR="00716BB8">
              <w:rPr>
                <w:noProof/>
                <w:szCs w:val="20"/>
              </w:rPr>
              <w:t>.</w:t>
            </w:r>
          </w:p>
        </w:tc>
      </w:tr>
      <w:tr w:rsidR="00DF5E69" w:rsidRPr="00DC6DD8" w14:paraId="3728B90A" w14:textId="77777777" w:rsidTr="00154739">
        <w:tc>
          <w:tcPr>
            <w:tcW w:w="2122" w:type="dxa"/>
            <w:vAlign w:val="center"/>
          </w:tcPr>
          <w:p w14:paraId="4C67AB80" w14:textId="77777777" w:rsidR="00DF5E69" w:rsidRPr="00154739" w:rsidRDefault="00DF5E69" w:rsidP="00DF5E69">
            <w:pPr>
              <w:rPr>
                <w:b/>
                <w:noProof/>
                <w:szCs w:val="20"/>
              </w:rPr>
            </w:pPr>
            <w:r w:rsidRPr="00154739">
              <w:rPr>
                <w:b/>
                <w:noProof/>
                <w:szCs w:val="20"/>
              </w:rPr>
              <w:t>Administrative and adjustment costs</w:t>
            </w:r>
          </w:p>
        </w:tc>
        <w:tc>
          <w:tcPr>
            <w:tcW w:w="1508" w:type="dxa"/>
          </w:tcPr>
          <w:p w14:paraId="402B23BE" w14:textId="044FA039" w:rsidR="00DF5E69" w:rsidRPr="00170FBB" w:rsidRDefault="00DF5E69" w:rsidP="00DF5E69">
            <w:pPr>
              <w:rPr>
                <w:noProof/>
                <w:sz w:val="18"/>
                <w:szCs w:val="18"/>
              </w:rPr>
            </w:pPr>
            <w:r w:rsidRPr="00170FBB">
              <w:rPr>
                <w:noProof/>
                <w:sz w:val="18"/>
                <w:szCs w:val="18"/>
              </w:rPr>
              <w:t>Qualitative score 0-5</w:t>
            </w:r>
          </w:p>
        </w:tc>
        <w:tc>
          <w:tcPr>
            <w:tcW w:w="1042" w:type="dxa"/>
          </w:tcPr>
          <w:p w14:paraId="52070C7C" w14:textId="73BC2F28" w:rsidR="00DF5E69" w:rsidRDefault="00AC0605" w:rsidP="00A24205">
            <w:pPr>
              <w:jc w:val="center"/>
              <w:rPr>
                <w:noProof/>
                <w:szCs w:val="20"/>
              </w:rPr>
            </w:pPr>
            <w:r>
              <w:rPr>
                <w:noProof/>
                <w:szCs w:val="20"/>
              </w:rPr>
              <w:t>0</w:t>
            </w:r>
          </w:p>
        </w:tc>
        <w:tc>
          <w:tcPr>
            <w:tcW w:w="996" w:type="dxa"/>
          </w:tcPr>
          <w:p w14:paraId="7376D06E" w14:textId="1569FF14" w:rsidR="00DF5E69" w:rsidRDefault="00AC0605" w:rsidP="00A24205">
            <w:pPr>
              <w:jc w:val="center"/>
              <w:rPr>
                <w:noProof/>
                <w:szCs w:val="20"/>
              </w:rPr>
            </w:pPr>
            <w:r>
              <w:rPr>
                <w:noProof/>
                <w:szCs w:val="20"/>
              </w:rPr>
              <w:t>0</w:t>
            </w:r>
          </w:p>
        </w:tc>
        <w:tc>
          <w:tcPr>
            <w:tcW w:w="994" w:type="dxa"/>
          </w:tcPr>
          <w:p w14:paraId="3026EE91" w14:textId="1E6B6B53" w:rsidR="00DF5E69" w:rsidRDefault="00AC0605" w:rsidP="00A24205">
            <w:pPr>
              <w:jc w:val="center"/>
              <w:rPr>
                <w:noProof/>
                <w:szCs w:val="20"/>
              </w:rPr>
            </w:pPr>
            <w:r>
              <w:rPr>
                <w:noProof/>
                <w:szCs w:val="20"/>
              </w:rPr>
              <w:t>0</w:t>
            </w:r>
          </w:p>
        </w:tc>
        <w:tc>
          <w:tcPr>
            <w:tcW w:w="7508" w:type="dxa"/>
          </w:tcPr>
          <w:p w14:paraId="609B0C03" w14:textId="1581345C" w:rsidR="00DF5E69" w:rsidRPr="003454BA" w:rsidRDefault="00AD3221" w:rsidP="007955D0">
            <w:pPr>
              <w:jc w:val="both"/>
              <w:rPr>
                <w:noProof/>
                <w:szCs w:val="20"/>
              </w:rPr>
            </w:pPr>
            <w:r>
              <w:rPr>
                <w:noProof/>
                <w:szCs w:val="20"/>
              </w:rPr>
              <w:t>n/a</w:t>
            </w:r>
            <w:r w:rsidR="004E7D84">
              <w:rPr>
                <w:noProof/>
                <w:szCs w:val="20"/>
              </w:rPr>
              <w:t xml:space="preserve"> </w:t>
            </w:r>
          </w:p>
        </w:tc>
      </w:tr>
      <w:tr w:rsidR="00DF5E69" w:rsidRPr="00DC6DD8" w14:paraId="762DD43B" w14:textId="77777777" w:rsidTr="00DF5E69">
        <w:tc>
          <w:tcPr>
            <w:tcW w:w="14170" w:type="dxa"/>
            <w:gridSpan w:val="6"/>
            <w:shd w:val="clear" w:color="auto" w:fill="92D050"/>
            <w:vAlign w:val="center"/>
          </w:tcPr>
          <w:p w14:paraId="304F8854" w14:textId="77777777" w:rsidR="00DF5E69" w:rsidRPr="00DC6DD8" w:rsidRDefault="00DF5E69" w:rsidP="00DF5E69">
            <w:pPr>
              <w:rPr>
                <w:b/>
                <w:noProof/>
                <w:szCs w:val="20"/>
              </w:rPr>
            </w:pPr>
            <w:r w:rsidRPr="00D345EC">
              <w:rPr>
                <w:b/>
                <w:noProof/>
                <w:sz w:val="24"/>
                <w:szCs w:val="24"/>
              </w:rPr>
              <w:t>Public authorities</w:t>
            </w:r>
          </w:p>
        </w:tc>
      </w:tr>
      <w:tr w:rsidR="00DF5E69" w:rsidRPr="00DC6DD8" w14:paraId="2097BE6A" w14:textId="77777777" w:rsidTr="00154739">
        <w:tc>
          <w:tcPr>
            <w:tcW w:w="2122" w:type="dxa"/>
          </w:tcPr>
          <w:p w14:paraId="5733D3D8" w14:textId="77777777" w:rsidR="00DF5E69" w:rsidRPr="0074616C" w:rsidRDefault="00DF5E69" w:rsidP="00DF5E69">
            <w:pPr>
              <w:rPr>
                <w:b/>
                <w:noProof/>
                <w:szCs w:val="20"/>
              </w:rPr>
            </w:pPr>
            <w:r>
              <w:rPr>
                <w:b/>
                <w:noProof/>
                <w:szCs w:val="20"/>
              </w:rPr>
              <w:t>Costs</w:t>
            </w:r>
          </w:p>
        </w:tc>
        <w:tc>
          <w:tcPr>
            <w:tcW w:w="1508" w:type="dxa"/>
          </w:tcPr>
          <w:p w14:paraId="7A52DB69" w14:textId="77777777" w:rsidR="00DF5E69" w:rsidRPr="00170FBB" w:rsidRDefault="00DF5E69" w:rsidP="00DF5E69">
            <w:pPr>
              <w:rPr>
                <w:noProof/>
                <w:sz w:val="18"/>
                <w:szCs w:val="18"/>
              </w:rPr>
            </w:pPr>
            <w:r w:rsidRPr="00170FBB">
              <w:rPr>
                <w:noProof/>
                <w:sz w:val="18"/>
                <w:szCs w:val="18"/>
              </w:rPr>
              <w:t>Score 0-5</w:t>
            </w:r>
          </w:p>
        </w:tc>
        <w:tc>
          <w:tcPr>
            <w:tcW w:w="1042" w:type="dxa"/>
          </w:tcPr>
          <w:p w14:paraId="57B83218" w14:textId="4E5275D5" w:rsidR="00DF5E69" w:rsidRPr="0029649C" w:rsidRDefault="005E29FF" w:rsidP="00341EB8">
            <w:pPr>
              <w:jc w:val="center"/>
              <w:rPr>
                <w:noProof/>
                <w:szCs w:val="20"/>
              </w:rPr>
            </w:pPr>
            <w:r>
              <w:rPr>
                <w:noProof/>
                <w:szCs w:val="20"/>
              </w:rPr>
              <w:t>1</w:t>
            </w:r>
          </w:p>
        </w:tc>
        <w:tc>
          <w:tcPr>
            <w:tcW w:w="996" w:type="dxa"/>
          </w:tcPr>
          <w:p w14:paraId="5066B2BC" w14:textId="0CC5AED5" w:rsidR="00DF5E69" w:rsidRPr="0029649C" w:rsidRDefault="005E29FF" w:rsidP="00341EB8">
            <w:pPr>
              <w:jc w:val="center"/>
              <w:rPr>
                <w:noProof/>
                <w:szCs w:val="20"/>
              </w:rPr>
            </w:pPr>
            <w:r>
              <w:rPr>
                <w:noProof/>
                <w:szCs w:val="20"/>
              </w:rPr>
              <w:t>2</w:t>
            </w:r>
          </w:p>
        </w:tc>
        <w:tc>
          <w:tcPr>
            <w:tcW w:w="994" w:type="dxa"/>
          </w:tcPr>
          <w:p w14:paraId="0EE3C558" w14:textId="16A0E535" w:rsidR="00DF5E69" w:rsidRPr="0029649C" w:rsidDel="00073540" w:rsidRDefault="005E29FF" w:rsidP="00341EB8">
            <w:pPr>
              <w:jc w:val="center"/>
              <w:rPr>
                <w:noProof/>
                <w:szCs w:val="20"/>
              </w:rPr>
            </w:pPr>
            <w:r>
              <w:rPr>
                <w:noProof/>
                <w:szCs w:val="20"/>
              </w:rPr>
              <w:t>3</w:t>
            </w:r>
          </w:p>
        </w:tc>
        <w:tc>
          <w:tcPr>
            <w:tcW w:w="7508" w:type="dxa"/>
          </w:tcPr>
          <w:p w14:paraId="406C0A22" w14:textId="77777777" w:rsidR="003D33AB" w:rsidRDefault="00D75590" w:rsidP="00657F29">
            <w:pPr>
              <w:spacing w:after="0"/>
              <w:jc w:val="both"/>
              <w:rPr>
                <w:bCs/>
                <w:noProof/>
                <w:szCs w:val="20"/>
              </w:rPr>
            </w:pPr>
            <w:r>
              <w:rPr>
                <w:bCs/>
                <w:noProof/>
                <w:szCs w:val="20"/>
              </w:rPr>
              <w:t>To implement option PO4a, Member States would need to ensure a technical solution for the automatic submission of the company information</w:t>
            </w:r>
            <w:r w:rsidR="006B32BC">
              <w:rPr>
                <w:bCs/>
                <w:noProof/>
                <w:szCs w:val="20"/>
              </w:rPr>
              <w:t xml:space="preserve"> from the register to other authorities</w:t>
            </w:r>
            <w:r w:rsidR="00D0319F">
              <w:rPr>
                <w:bCs/>
                <w:noProof/>
                <w:szCs w:val="20"/>
              </w:rPr>
              <w:t>,</w:t>
            </w:r>
            <w:r w:rsidR="006B32BC">
              <w:rPr>
                <w:bCs/>
                <w:noProof/>
                <w:szCs w:val="20"/>
              </w:rPr>
              <w:t xml:space="preserve"> but it is expected that this should not entail extra IT costs or only marginal ones due to the possibility to exchange data through standard APIs</w:t>
            </w:r>
            <w:r>
              <w:rPr>
                <w:bCs/>
                <w:noProof/>
                <w:szCs w:val="20"/>
              </w:rPr>
              <w:t>.</w:t>
            </w:r>
            <w:r w:rsidR="006B32BC">
              <w:rPr>
                <w:bCs/>
                <w:noProof/>
                <w:szCs w:val="20"/>
              </w:rPr>
              <w:t xml:space="preserve"> </w:t>
            </w:r>
            <w:r w:rsidR="00AD07FD">
              <w:rPr>
                <w:bCs/>
                <w:noProof/>
                <w:szCs w:val="20"/>
              </w:rPr>
              <w:t xml:space="preserve">Introducing a new simplified procedure under PO4b should have only small costs related to </w:t>
            </w:r>
            <w:r w:rsidR="00571029">
              <w:rPr>
                <w:bCs/>
                <w:noProof/>
                <w:szCs w:val="20"/>
              </w:rPr>
              <w:t xml:space="preserve">training </w:t>
            </w:r>
            <w:r w:rsidR="00394448">
              <w:rPr>
                <w:bCs/>
                <w:noProof/>
                <w:szCs w:val="20"/>
              </w:rPr>
              <w:t xml:space="preserve">the responsible employees in the </w:t>
            </w:r>
            <w:r w:rsidR="00571029">
              <w:rPr>
                <w:bCs/>
                <w:noProof/>
                <w:szCs w:val="20"/>
              </w:rPr>
              <w:t>authorities</w:t>
            </w:r>
            <w:r w:rsidR="00394448">
              <w:rPr>
                <w:bCs/>
                <w:noProof/>
                <w:szCs w:val="20"/>
              </w:rPr>
              <w:t xml:space="preserve"> about this new procedure.</w:t>
            </w:r>
            <w:r w:rsidR="005F1118">
              <w:rPr>
                <w:bCs/>
                <w:noProof/>
                <w:szCs w:val="20"/>
              </w:rPr>
              <w:t xml:space="preserve"> </w:t>
            </w:r>
          </w:p>
          <w:p w14:paraId="53167BC9" w14:textId="7EF6AA52" w:rsidR="00DF5E69" w:rsidRDefault="00007F6B" w:rsidP="00657F29">
            <w:pPr>
              <w:spacing w:after="0"/>
              <w:jc w:val="both"/>
              <w:rPr>
                <w:noProof/>
                <w:szCs w:val="20"/>
              </w:rPr>
            </w:pPr>
            <w:r>
              <w:rPr>
                <w:bCs/>
                <w:noProof/>
                <w:szCs w:val="20"/>
              </w:rPr>
              <w:t>In addition, as regards c</w:t>
            </w:r>
            <w:r w:rsidR="005F1118" w:rsidRPr="001A0C3C">
              <w:rPr>
                <w:bCs/>
                <w:noProof/>
                <w:szCs w:val="20"/>
              </w:rPr>
              <w:t>osts of digitalisation of insolvency proceedings</w:t>
            </w:r>
            <w:r>
              <w:rPr>
                <w:bCs/>
                <w:noProof/>
                <w:szCs w:val="20"/>
              </w:rPr>
              <w:t xml:space="preserve"> under PO4c,</w:t>
            </w:r>
            <w:r w:rsidR="005F1118" w:rsidRPr="001A0C3C">
              <w:rPr>
                <w:bCs/>
                <w:noProof/>
                <w:szCs w:val="20"/>
              </w:rPr>
              <w:t xml:space="preserve"> no or little additional costs could be expected, since the work on digitalisation of judicial procedures in Member States, including insolvency procedures</w:t>
            </w:r>
            <w:r w:rsidR="005F1118">
              <w:rPr>
                <w:bCs/>
                <w:noProof/>
                <w:szCs w:val="20"/>
              </w:rPr>
              <w:t>,</w:t>
            </w:r>
            <w:r w:rsidR="005F1118" w:rsidRPr="001A0C3C">
              <w:rPr>
                <w:bCs/>
                <w:noProof/>
                <w:szCs w:val="20"/>
              </w:rPr>
              <w:t xml:space="preserve"> are already ongoing and usually cover all aspects of judicial proceedings not only their specific parts or aspects, such as insolvency or restructuring.</w:t>
            </w:r>
            <w:r w:rsidR="00C77A5B">
              <w:rPr>
                <w:bCs/>
                <w:noProof/>
                <w:szCs w:val="20"/>
              </w:rPr>
              <w:t xml:space="preserve"> </w:t>
            </w:r>
            <w:r w:rsidR="00AC35F0">
              <w:rPr>
                <w:bCs/>
                <w:noProof/>
                <w:szCs w:val="20"/>
              </w:rPr>
              <w:t xml:space="preserve">Some costs can be expected for </w:t>
            </w:r>
            <w:r w:rsidR="00006558" w:rsidRPr="00006558">
              <w:rPr>
                <w:bCs/>
                <w:noProof/>
                <w:szCs w:val="20"/>
              </w:rPr>
              <w:t>development and maintenance</w:t>
            </w:r>
            <w:r w:rsidR="00AC35F0" w:rsidRPr="00AC35F0">
              <w:rPr>
                <w:bCs/>
                <w:noProof/>
                <w:szCs w:val="20"/>
              </w:rPr>
              <w:t xml:space="preserve"> of </w:t>
            </w:r>
            <w:r w:rsidR="00B5764E">
              <w:rPr>
                <w:bCs/>
                <w:noProof/>
                <w:szCs w:val="20"/>
              </w:rPr>
              <w:t xml:space="preserve">platforms for </w:t>
            </w:r>
            <w:r w:rsidR="00AC35F0" w:rsidRPr="00AC35F0">
              <w:rPr>
                <w:bCs/>
                <w:noProof/>
                <w:szCs w:val="20"/>
              </w:rPr>
              <w:t>electronic auctions systems in insolvency</w:t>
            </w:r>
            <w:r w:rsidR="00CB2EE4">
              <w:rPr>
                <w:bCs/>
                <w:noProof/>
                <w:szCs w:val="20"/>
              </w:rPr>
              <w:t xml:space="preserve"> (which already exist in </w:t>
            </w:r>
            <w:r w:rsidR="00CB2EE4" w:rsidRPr="00CB2EE4">
              <w:rPr>
                <w:bCs/>
                <w:noProof/>
                <w:szCs w:val="20"/>
              </w:rPr>
              <w:t xml:space="preserve">14 Member States for online judicial auctions but </w:t>
            </w:r>
            <w:r w:rsidR="00CB2EE4">
              <w:rPr>
                <w:bCs/>
                <w:noProof/>
                <w:szCs w:val="20"/>
              </w:rPr>
              <w:t xml:space="preserve">are </w:t>
            </w:r>
            <w:r w:rsidR="00CB2EE4" w:rsidRPr="00CB2EE4">
              <w:rPr>
                <w:bCs/>
                <w:noProof/>
                <w:szCs w:val="20"/>
              </w:rPr>
              <w:t xml:space="preserve">only </w:t>
            </w:r>
            <w:r w:rsidR="00CB2EE4">
              <w:rPr>
                <w:bCs/>
                <w:noProof/>
                <w:szCs w:val="20"/>
              </w:rPr>
              <w:t xml:space="preserve">used by 3 MS </w:t>
            </w:r>
            <w:r w:rsidR="00CB2EE4" w:rsidRPr="00CB2EE4">
              <w:rPr>
                <w:bCs/>
                <w:noProof/>
                <w:szCs w:val="20"/>
              </w:rPr>
              <w:t>for insolvency case</w:t>
            </w:r>
            <w:r w:rsidR="00CB2EE4">
              <w:rPr>
                <w:bCs/>
                <w:noProof/>
                <w:szCs w:val="20"/>
              </w:rPr>
              <w:t xml:space="preserve">s). </w:t>
            </w:r>
            <w:r w:rsidR="006F2A61">
              <w:rPr>
                <w:bCs/>
                <w:noProof/>
                <w:szCs w:val="20"/>
              </w:rPr>
              <w:t xml:space="preserve">On the basis of IT expert </w:t>
            </w:r>
            <w:r w:rsidR="007F3602">
              <w:rPr>
                <w:bCs/>
                <w:noProof/>
                <w:szCs w:val="20"/>
              </w:rPr>
              <w:t>advice, i</w:t>
            </w:r>
            <w:r w:rsidR="00B84C14">
              <w:rPr>
                <w:bCs/>
                <w:noProof/>
                <w:szCs w:val="20"/>
              </w:rPr>
              <w:t>t is assumed</w:t>
            </w:r>
            <w:r w:rsidR="000439F1">
              <w:rPr>
                <w:bCs/>
                <w:noProof/>
                <w:szCs w:val="20"/>
              </w:rPr>
              <w:t xml:space="preserve"> that </w:t>
            </w:r>
            <w:r w:rsidR="000439F1" w:rsidRPr="000439F1">
              <w:rPr>
                <w:bCs/>
                <w:noProof/>
                <w:szCs w:val="20"/>
                <w:lang w:val="en-IE"/>
              </w:rPr>
              <w:t xml:space="preserve">development cost for those Member States that do not have a judicial platform and adjustment costs for those that are not using it for insolvency cases would sum up to </w:t>
            </w:r>
            <w:r w:rsidR="00EA6584">
              <w:rPr>
                <w:bCs/>
                <w:noProof/>
                <w:szCs w:val="20"/>
                <w:lang w:val="en-IE"/>
              </w:rPr>
              <w:t xml:space="preserve">between </w:t>
            </w:r>
            <w:r w:rsidR="000439F1" w:rsidRPr="000439F1">
              <w:rPr>
                <w:bCs/>
                <w:noProof/>
                <w:szCs w:val="20"/>
                <w:lang w:val="en-IE"/>
              </w:rPr>
              <w:t>EUR 185</w:t>
            </w:r>
            <w:r w:rsidR="00084855">
              <w:rPr>
                <w:bCs/>
                <w:noProof/>
                <w:szCs w:val="20"/>
                <w:lang w:val="en-IE"/>
              </w:rPr>
              <w:t> </w:t>
            </w:r>
            <w:r w:rsidR="000439F1" w:rsidRPr="000439F1">
              <w:rPr>
                <w:bCs/>
                <w:noProof/>
                <w:szCs w:val="20"/>
                <w:lang w:val="en-IE"/>
              </w:rPr>
              <w:t>000 to 370</w:t>
            </w:r>
            <w:r w:rsidR="00084855">
              <w:rPr>
                <w:bCs/>
                <w:noProof/>
                <w:szCs w:val="20"/>
                <w:lang w:val="en-IE"/>
              </w:rPr>
              <w:t> </w:t>
            </w:r>
            <w:r w:rsidR="000439F1" w:rsidRPr="000439F1">
              <w:rPr>
                <w:bCs/>
                <w:noProof/>
                <w:szCs w:val="20"/>
                <w:lang w:val="en-IE"/>
              </w:rPr>
              <w:t>000. All 27 Member States’ maintenance costs would be EUR 324</w:t>
            </w:r>
            <w:r w:rsidR="00084855">
              <w:rPr>
                <w:bCs/>
                <w:noProof/>
                <w:szCs w:val="20"/>
                <w:lang w:val="en-IE"/>
              </w:rPr>
              <w:t> </w:t>
            </w:r>
            <w:r w:rsidR="000439F1" w:rsidRPr="000439F1">
              <w:rPr>
                <w:bCs/>
                <w:noProof/>
                <w:szCs w:val="20"/>
                <w:lang w:val="en-IE"/>
              </w:rPr>
              <w:t>000.</w:t>
            </w:r>
            <w:r w:rsidR="00B84C14">
              <w:rPr>
                <w:bCs/>
                <w:noProof/>
                <w:szCs w:val="20"/>
              </w:rPr>
              <w:t xml:space="preserve"> </w:t>
            </w:r>
          </w:p>
        </w:tc>
      </w:tr>
      <w:tr w:rsidR="00DF5E69" w:rsidRPr="00DC6DD8" w14:paraId="286AAAD4" w14:textId="77777777" w:rsidTr="00154739">
        <w:tc>
          <w:tcPr>
            <w:tcW w:w="2122" w:type="dxa"/>
          </w:tcPr>
          <w:p w14:paraId="7870ADAA" w14:textId="77777777" w:rsidR="00DF5E69" w:rsidRDefault="00DF5E69" w:rsidP="00DF5E69">
            <w:pPr>
              <w:rPr>
                <w:b/>
                <w:noProof/>
                <w:szCs w:val="20"/>
              </w:rPr>
            </w:pPr>
            <w:r>
              <w:rPr>
                <w:b/>
                <w:noProof/>
                <w:szCs w:val="20"/>
              </w:rPr>
              <w:t>Benefits</w:t>
            </w:r>
          </w:p>
        </w:tc>
        <w:tc>
          <w:tcPr>
            <w:tcW w:w="1508" w:type="dxa"/>
          </w:tcPr>
          <w:p w14:paraId="15C345B3" w14:textId="77777777" w:rsidR="00DF5E69" w:rsidRPr="00170FBB" w:rsidRDefault="00DF5E69" w:rsidP="00DF5E69">
            <w:pPr>
              <w:rPr>
                <w:noProof/>
                <w:sz w:val="18"/>
                <w:szCs w:val="18"/>
              </w:rPr>
            </w:pPr>
            <w:r w:rsidRPr="00170FBB">
              <w:rPr>
                <w:noProof/>
                <w:sz w:val="18"/>
                <w:szCs w:val="18"/>
              </w:rPr>
              <w:t>Score 0-5</w:t>
            </w:r>
          </w:p>
        </w:tc>
        <w:tc>
          <w:tcPr>
            <w:tcW w:w="1042" w:type="dxa"/>
          </w:tcPr>
          <w:p w14:paraId="7F55B013" w14:textId="38C132C3" w:rsidR="00DF5E69" w:rsidRPr="0029649C" w:rsidRDefault="006E7C58" w:rsidP="00A24205">
            <w:pPr>
              <w:jc w:val="center"/>
              <w:rPr>
                <w:noProof/>
                <w:szCs w:val="20"/>
              </w:rPr>
            </w:pPr>
            <w:r>
              <w:rPr>
                <w:noProof/>
                <w:szCs w:val="20"/>
              </w:rPr>
              <w:t>1</w:t>
            </w:r>
          </w:p>
        </w:tc>
        <w:tc>
          <w:tcPr>
            <w:tcW w:w="996" w:type="dxa"/>
          </w:tcPr>
          <w:p w14:paraId="1550D71F" w14:textId="65897DFF" w:rsidR="00DF5E69" w:rsidRPr="0029649C" w:rsidRDefault="006E7C58" w:rsidP="00A24205">
            <w:pPr>
              <w:jc w:val="center"/>
              <w:rPr>
                <w:noProof/>
                <w:szCs w:val="20"/>
              </w:rPr>
            </w:pPr>
            <w:r>
              <w:rPr>
                <w:noProof/>
                <w:szCs w:val="20"/>
              </w:rPr>
              <w:t>2</w:t>
            </w:r>
          </w:p>
        </w:tc>
        <w:tc>
          <w:tcPr>
            <w:tcW w:w="994" w:type="dxa"/>
          </w:tcPr>
          <w:p w14:paraId="59596A72" w14:textId="68ADBA80" w:rsidR="00DF5E69" w:rsidRPr="0029649C" w:rsidDel="00073540" w:rsidRDefault="006E7C58" w:rsidP="00A24205">
            <w:pPr>
              <w:jc w:val="center"/>
              <w:rPr>
                <w:noProof/>
                <w:szCs w:val="20"/>
              </w:rPr>
            </w:pPr>
            <w:r>
              <w:rPr>
                <w:noProof/>
                <w:szCs w:val="20"/>
              </w:rPr>
              <w:t>3</w:t>
            </w:r>
          </w:p>
        </w:tc>
        <w:tc>
          <w:tcPr>
            <w:tcW w:w="7508" w:type="dxa"/>
          </w:tcPr>
          <w:p w14:paraId="56557B5E" w14:textId="5ABCFE04" w:rsidR="00DF5E69" w:rsidRDefault="003B219C" w:rsidP="00A379F8">
            <w:pPr>
              <w:jc w:val="both"/>
              <w:rPr>
                <w:noProof/>
                <w:szCs w:val="20"/>
              </w:rPr>
            </w:pPr>
            <w:r>
              <w:rPr>
                <w:noProof/>
                <w:szCs w:val="20"/>
              </w:rPr>
              <w:t xml:space="preserve">Overall, authorities and in particular business registers would benefit from </w:t>
            </w:r>
            <w:r w:rsidR="00A57A8C">
              <w:rPr>
                <w:noProof/>
                <w:szCs w:val="20"/>
              </w:rPr>
              <w:t xml:space="preserve">some reduced administrative inefficiencies linked to </w:t>
            </w:r>
            <w:r w:rsidR="00A57A8C" w:rsidRPr="00456151">
              <w:rPr>
                <w:noProof/>
              </w:rPr>
              <w:t xml:space="preserve">inactive and dormant companies left in national registers </w:t>
            </w:r>
            <w:r w:rsidR="00D5478E" w:rsidRPr="00456151">
              <w:rPr>
                <w:noProof/>
              </w:rPr>
              <w:t>as the</w:t>
            </w:r>
            <w:r w:rsidR="00B617FA">
              <w:rPr>
                <w:noProof/>
                <w:szCs w:val="20"/>
              </w:rPr>
              <w:t xml:space="preserve"> policy options</w:t>
            </w:r>
            <w:r w:rsidR="0043133A">
              <w:rPr>
                <w:noProof/>
                <w:szCs w:val="20"/>
              </w:rPr>
              <w:t xml:space="preserve"> </w:t>
            </w:r>
            <w:r w:rsidR="00D5478E">
              <w:rPr>
                <w:noProof/>
                <w:szCs w:val="20"/>
              </w:rPr>
              <w:t>would</w:t>
            </w:r>
            <w:r w:rsidR="00A379F8">
              <w:rPr>
                <w:noProof/>
                <w:szCs w:val="20"/>
              </w:rPr>
              <w:t xml:space="preserve"> </w:t>
            </w:r>
            <w:r w:rsidR="001767CD">
              <w:rPr>
                <w:noProof/>
                <w:szCs w:val="20"/>
              </w:rPr>
              <w:t>digitalis</w:t>
            </w:r>
            <w:r w:rsidR="00D5478E">
              <w:rPr>
                <w:noProof/>
                <w:szCs w:val="20"/>
              </w:rPr>
              <w:t>e</w:t>
            </w:r>
            <w:r w:rsidR="001767CD">
              <w:rPr>
                <w:noProof/>
                <w:szCs w:val="20"/>
              </w:rPr>
              <w:t xml:space="preserve"> and simplify </w:t>
            </w:r>
            <w:r w:rsidR="00FB74D4">
              <w:rPr>
                <w:noProof/>
                <w:szCs w:val="20"/>
              </w:rPr>
              <w:t xml:space="preserve">closure procedures related to and outside of insolvency </w:t>
            </w:r>
            <w:r w:rsidR="00D5478E">
              <w:rPr>
                <w:noProof/>
                <w:szCs w:val="20"/>
              </w:rPr>
              <w:t xml:space="preserve">and therefore, would make it possible for founders to close </w:t>
            </w:r>
            <w:r w:rsidR="008E10AF">
              <w:rPr>
                <w:noProof/>
                <w:szCs w:val="20"/>
              </w:rPr>
              <w:t>companies more quickly. PO4c would score highest</w:t>
            </w:r>
            <w:r w:rsidR="006E7C58">
              <w:rPr>
                <w:noProof/>
                <w:szCs w:val="20"/>
              </w:rPr>
              <w:t xml:space="preserve"> providing digital simplifications for both solvent and insolvent companies. In addition, authorities </w:t>
            </w:r>
            <w:r w:rsidR="00F156DA">
              <w:rPr>
                <w:noProof/>
                <w:szCs w:val="20"/>
              </w:rPr>
              <w:t xml:space="preserve">under all options – but to most extent in PO4c – </w:t>
            </w:r>
            <w:r w:rsidR="00090E6B">
              <w:rPr>
                <w:noProof/>
                <w:szCs w:val="20"/>
              </w:rPr>
              <w:t xml:space="preserve">might benefit from some </w:t>
            </w:r>
            <w:r w:rsidR="00090E6B" w:rsidRPr="00490DEC">
              <w:rPr>
                <w:noProof/>
                <w:szCs w:val="20"/>
              </w:rPr>
              <w:t xml:space="preserve">cost savings </w:t>
            </w:r>
            <w:r w:rsidR="00090E6B">
              <w:rPr>
                <w:noProof/>
                <w:szCs w:val="20"/>
              </w:rPr>
              <w:t>e.g.</w:t>
            </w:r>
            <w:r w:rsidR="00090E6B" w:rsidRPr="00490DEC">
              <w:rPr>
                <w:noProof/>
                <w:szCs w:val="20"/>
              </w:rPr>
              <w:t xml:space="preserve"> in time and handling </w:t>
            </w:r>
            <w:r w:rsidR="000D1178">
              <w:rPr>
                <w:noProof/>
                <w:szCs w:val="20"/>
              </w:rPr>
              <w:t xml:space="preserve">of </w:t>
            </w:r>
            <w:r w:rsidR="00090E6B" w:rsidRPr="00490DEC">
              <w:rPr>
                <w:noProof/>
                <w:szCs w:val="20"/>
              </w:rPr>
              <w:t>company information</w:t>
            </w:r>
            <w:r w:rsidR="006642E4">
              <w:rPr>
                <w:noProof/>
                <w:szCs w:val="20"/>
              </w:rPr>
              <w:t xml:space="preserve"> </w:t>
            </w:r>
            <w:r w:rsidR="0044742B">
              <w:rPr>
                <w:noProof/>
                <w:szCs w:val="20"/>
              </w:rPr>
              <w:t>thanks to digitalisation of the procedures</w:t>
            </w:r>
            <w:r w:rsidR="003900C4">
              <w:rPr>
                <w:noProof/>
                <w:szCs w:val="20"/>
              </w:rPr>
              <w:t>.</w:t>
            </w:r>
            <w:r w:rsidR="006642E4">
              <w:rPr>
                <w:noProof/>
                <w:szCs w:val="20"/>
              </w:rPr>
              <w:t xml:space="preserve"> </w:t>
            </w:r>
          </w:p>
        </w:tc>
      </w:tr>
      <w:tr w:rsidR="00DF5E69" w:rsidRPr="00DC6DD8" w14:paraId="6824853E" w14:textId="77777777" w:rsidTr="00DF5E69">
        <w:tc>
          <w:tcPr>
            <w:tcW w:w="14170" w:type="dxa"/>
            <w:gridSpan w:val="6"/>
            <w:shd w:val="clear" w:color="auto" w:fill="92D050"/>
          </w:tcPr>
          <w:p w14:paraId="1F284D27" w14:textId="77777777" w:rsidR="00DF5E69" w:rsidRPr="006E78FA" w:rsidRDefault="00DF5E69" w:rsidP="00DF5E69">
            <w:pPr>
              <w:rPr>
                <w:b/>
                <w:bCs/>
                <w:noProof/>
                <w:szCs w:val="20"/>
              </w:rPr>
            </w:pPr>
            <w:r w:rsidRPr="00D345EC">
              <w:rPr>
                <w:b/>
                <w:noProof/>
                <w:sz w:val="24"/>
                <w:szCs w:val="24"/>
              </w:rPr>
              <w:t>Economy and society at large</w:t>
            </w:r>
          </w:p>
        </w:tc>
      </w:tr>
      <w:tr w:rsidR="00DF5E69" w:rsidRPr="00DC6DD8" w14:paraId="41E12111" w14:textId="77777777" w:rsidTr="00154739">
        <w:tc>
          <w:tcPr>
            <w:tcW w:w="2122" w:type="dxa"/>
          </w:tcPr>
          <w:p w14:paraId="5C187E94" w14:textId="77777777" w:rsidR="00DF5E69" w:rsidRPr="0074616C" w:rsidRDefault="00DF5E69" w:rsidP="00DF5E69">
            <w:pPr>
              <w:rPr>
                <w:b/>
                <w:noProof/>
                <w:szCs w:val="20"/>
              </w:rPr>
            </w:pPr>
            <w:r>
              <w:rPr>
                <w:b/>
                <w:noProof/>
                <w:szCs w:val="20"/>
              </w:rPr>
              <w:t>Functioning of the internal market and competitiveness</w:t>
            </w:r>
          </w:p>
        </w:tc>
        <w:tc>
          <w:tcPr>
            <w:tcW w:w="1508" w:type="dxa"/>
          </w:tcPr>
          <w:p w14:paraId="32BCD28D" w14:textId="77777777" w:rsidR="00DF5E69" w:rsidRPr="00DC6DD8" w:rsidRDefault="00DF5E69" w:rsidP="00DF5E69">
            <w:pPr>
              <w:rPr>
                <w:noProof/>
                <w:szCs w:val="20"/>
              </w:rPr>
            </w:pPr>
            <w:r w:rsidRPr="00170FBB">
              <w:rPr>
                <w:noProof/>
                <w:sz w:val="18"/>
                <w:szCs w:val="18"/>
              </w:rPr>
              <w:t>Score 0-5</w:t>
            </w:r>
          </w:p>
        </w:tc>
        <w:tc>
          <w:tcPr>
            <w:tcW w:w="1042" w:type="dxa"/>
          </w:tcPr>
          <w:p w14:paraId="10E63C73" w14:textId="6495711D" w:rsidR="00DF5E69" w:rsidRPr="0029649C" w:rsidRDefault="000D3004" w:rsidP="003B32A7">
            <w:pPr>
              <w:jc w:val="center"/>
              <w:rPr>
                <w:noProof/>
                <w:szCs w:val="20"/>
              </w:rPr>
            </w:pPr>
            <w:r>
              <w:rPr>
                <w:noProof/>
                <w:szCs w:val="20"/>
              </w:rPr>
              <w:t>2</w:t>
            </w:r>
          </w:p>
        </w:tc>
        <w:tc>
          <w:tcPr>
            <w:tcW w:w="996" w:type="dxa"/>
          </w:tcPr>
          <w:p w14:paraId="6BA9B75B" w14:textId="3D72E2FF" w:rsidR="00DF5E69" w:rsidRPr="0029649C" w:rsidRDefault="000D3004" w:rsidP="003B32A7">
            <w:pPr>
              <w:jc w:val="center"/>
              <w:rPr>
                <w:noProof/>
                <w:szCs w:val="20"/>
              </w:rPr>
            </w:pPr>
            <w:r>
              <w:rPr>
                <w:noProof/>
                <w:szCs w:val="20"/>
              </w:rPr>
              <w:t>3</w:t>
            </w:r>
          </w:p>
        </w:tc>
        <w:tc>
          <w:tcPr>
            <w:tcW w:w="994" w:type="dxa"/>
          </w:tcPr>
          <w:p w14:paraId="68EC0502" w14:textId="2B461012" w:rsidR="00DF5E69" w:rsidRPr="0029649C" w:rsidDel="00073540" w:rsidRDefault="000D3004" w:rsidP="003B32A7">
            <w:pPr>
              <w:jc w:val="center"/>
              <w:rPr>
                <w:noProof/>
                <w:szCs w:val="20"/>
              </w:rPr>
            </w:pPr>
            <w:r>
              <w:rPr>
                <w:noProof/>
                <w:szCs w:val="20"/>
              </w:rPr>
              <w:t>4</w:t>
            </w:r>
          </w:p>
        </w:tc>
        <w:tc>
          <w:tcPr>
            <w:tcW w:w="7508" w:type="dxa"/>
          </w:tcPr>
          <w:p w14:paraId="41890DBF" w14:textId="57D340FF" w:rsidR="00DF5E69" w:rsidRDefault="009D18A5" w:rsidP="00113FC1">
            <w:pPr>
              <w:jc w:val="both"/>
              <w:rPr>
                <w:noProof/>
                <w:szCs w:val="20"/>
              </w:rPr>
            </w:pPr>
            <w:r>
              <w:rPr>
                <w:noProof/>
                <w:szCs w:val="20"/>
              </w:rPr>
              <w:t>By mak</w:t>
            </w:r>
            <w:r w:rsidR="00E20F53">
              <w:rPr>
                <w:noProof/>
                <w:szCs w:val="20"/>
              </w:rPr>
              <w:t>ing</w:t>
            </w:r>
            <w:r>
              <w:rPr>
                <w:noProof/>
                <w:szCs w:val="20"/>
              </w:rPr>
              <w:t xml:space="preserve"> it </w:t>
            </w:r>
            <w:r w:rsidR="006F471F">
              <w:rPr>
                <w:noProof/>
                <w:szCs w:val="20"/>
              </w:rPr>
              <w:t>possible</w:t>
            </w:r>
            <w:r>
              <w:rPr>
                <w:noProof/>
                <w:szCs w:val="20"/>
              </w:rPr>
              <w:t xml:space="preserve"> </w:t>
            </w:r>
            <w:r w:rsidR="00113FC1">
              <w:rPr>
                <w:noProof/>
                <w:szCs w:val="20"/>
              </w:rPr>
              <w:t xml:space="preserve">for founders to </w:t>
            </w:r>
            <w:r w:rsidR="00BB02A4">
              <w:rPr>
                <w:noProof/>
                <w:szCs w:val="20"/>
              </w:rPr>
              <w:t xml:space="preserve">more </w:t>
            </w:r>
            <w:r w:rsidR="00286A5C">
              <w:rPr>
                <w:noProof/>
                <w:szCs w:val="20"/>
              </w:rPr>
              <w:t>efficiently</w:t>
            </w:r>
            <w:r w:rsidR="00BB02A4">
              <w:rPr>
                <w:noProof/>
                <w:szCs w:val="20"/>
              </w:rPr>
              <w:t xml:space="preserve"> </w:t>
            </w:r>
            <w:r w:rsidR="00113FC1">
              <w:rPr>
                <w:noProof/>
                <w:szCs w:val="20"/>
              </w:rPr>
              <w:t xml:space="preserve">close </w:t>
            </w:r>
            <w:r w:rsidR="00F70F2A">
              <w:rPr>
                <w:noProof/>
                <w:szCs w:val="20"/>
              </w:rPr>
              <w:t xml:space="preserve">inactive </w:t>
            </w:r>
            <w:r w:rsidR="00113FC1">
              <w:rPr>
                <w:noProof/>
                <w:szCs w:val="20"/>
              </w:rPr>
              <w:t>solvent and insolvent companies</w:t>
            </w:r>
            <w:r w:rsidR="00BB4496">
              <w:rPr>
                <w:noProof/>
                <w:szCs w:val="20"/>
              </w:rPr>
              <w:t xml:space="preserve"> </w:t>
            </w:r>
            <w:r w:rsidR="000520D4">
              <w:rPr>
                <w:noProof/>
                <w:szCs w:val="20"/>
              </w:rPr>
              <w:t>– through simplified and</w:t>
            </w:r>
            <w:r w:rsidR="00B22DAD">
              <w:rPr>
                <w:noProof/>
                <w:szCs w:val="20"/>
              </w:rPr>
              <w:t>/or</w:t>
            </w:r>
            <w:r w:rsidR="000520D4">
              <w:rPr>
                <w:noProof/>
                <w:szCs w:val="20"/>
              </w:rPr>
              <w:t xml:space="preserve"> digitalised procedures </w:t>
            </w:r>
            <w:r w:rsidR="00F45AEC">
              <w:rPr>
                <w:noProof/>
                <w:szCs w:val="20"/>
              </w:rPr>
              <w:t>–</w:t>
            </w:r>
            <w:r w:rsidR="000520D4">
              <w:rPr>
                <w:noProof/>
                <w:szCs w:val="20"/>
              </w:rPr>
              <w:t xml:space="preserve"> </w:t>
            </w:r>
            <w:r w:rsidR="00F45AEC">
              <w:rPr>
                <w:noProof/>
                <w:szCs w:val="20"/>
              </w:rPr>
              <w:t xml:space="preserve">these policy options would </w:t>
            </w:r>
            <w:r w:rsidR="00F31937">
              <w:rPr>
                <w:noProof/>
                <w:szCs w:val="20"/>
              </w:rPr>
              <w:t>allow founders to more quickly</w:t>
            </w:r>
            <w:r w:rsidR="00BB4496">
              <w:rPr>
                <w:noProof/>
                <w:szCs w:val="20"/>
              </w:rPr>
              <w:t xml:space="preserve"> </w:t>
            </w:r>
            <w:r w:rsidR="003229DA">
              <w:rPr>
                <w:noProof/>
                <w:szCs w:val="20"/>
              </w:rPr>
              <w:t>direct their resources (human and financial) into new projects</w:t>
            </w:r>
            <w:r w:rsidR="00F31937">
              <w:rPr>
                <w:noProof/>
                <w:szCs w:val="20"/>
              </w:rPr>
              <w:t xml:space="preserve"> and therefore, would have </w:t>
            </w:r>
            <w:r w:rsidR="00820A81">
              <w:rPr>
                <w:noProof/>
                <w:szCs w:val="20"/>
              </w:rPr>
              <w:t xml:space="preserve">also </w:t>
            </w:r>
            <w:r w:rsidR="00F31937">
              <w:rPr>
                <w:noProof/>
                <w:szCs w:val="20"/>
              </w:rPr>
              <w:t>a positive impact on competitiveness</w:t>
            </w:r>
            <w:r w:rsidR="00CC2AD1">
              <w:rPr>
                <w:noProof/>
                <w:szCs w:val="20"/>
              </w:rPr>
              <w:t xml:space="preserve"> in the EU</w:t>
            </w:r>
            <w:r w:rsidR="0088426C">
              <w:rPr>
                <w:noProof/>
                <w:szCs w:val="20"/>
              </w:rPr>
              <w:t xml:space="preserve">. </w:t>
            </w:r>
            <w:r w:rsidR="00BC24FB">
              <w:rPr>
                <w:noProof/>
                <w:szCs w:val="20"/>
              </w:rPr>
              <w:t xml:space="preserve">According to </w:t>
            </w:r>
            <w:r w:rsidR="00BC24FB" w:rsidRPr="00AA7D20">
              <w:rPr>
                <w:noProof/>
              </w:rPr>
              <w:t xml:space="preserve">the Draghi report, EU companies </w:t>
            </w:r>
            <w:r w:rsidR="005275BC">
              <w:rPr>
                <w:noProof/>
              </w:rPr>
              <w:t xml:space="preserve">currently </w:t>
            </w:r>
            <w:r w:rsidR="00BC24FB" w:rsidRPr="00AA7D20">
              <w:rPr>
                <w:noProof/>
              </w:rPr>
              <w:t>face higher restructuring costs compared to their US peers, which places them in a position of significant disadvantage in highly innovative sectors</w:t>
            </w:r>
            <w:r w:rsidR="005275BC">
              <w:rPr>
                <w:noProof/>
              </w:rPr>
              <w:t xml:space="preserve">; </w:t>
            </w:r>
            <w:r w:rsidR="00D75487">
              <w:rPr>
                <w:noProof/>
                <w:szCs w:val="20"/>
              </w:rPr>
              <w:t xml:space="preserve">also according to responses to the consultation, </w:t>
            </w:r>
            <w:r w:rsidR="009A77CA">
              <w:rPr>
                <w:noProof/>
                <w:szCs w:val="20"/>
              </w:rPr>
              <w:t>t</w:t>
            </w:r>
            <w:r w:rsidR="0088426C">
              <w:rPr>
                <w:noProof/>
                <w:szCs w:val="20"/>
              </w:rPr>
              <w:t xml:space="preserve">he </w:t>
            </w:r>
            <w:r w:rsidR="00980003">
              <w:rPr>
                <w:noProof/>
                <w:szCs w:val="20"/>
              </w:rPr>
              <w:t xml:space="preserve">costs of closure are considered higher in the EU than in the US, </w:t>
            </w:r>
            <w:r w:rsidR="000B6B66" w:rsidRPr="000B6B66">
              <w:rPr>
                <w:noProof/>
                <w:szCs w:val="20"/>
              </w:rPr>
              <w:t>where the failure is rather viewed as a learning experience that encourages risk-taking and entrepreneurial activity</w:t>
            </w:r>
            <w:r w:rsidR="002D1F74">
              <w:rPr>
                <w:noProof/>
                <w:szCs w:val="20"/>
              </w:rPr>
              <w:t>.</w:t>
            </w:r>
            <w:r w:rsidR="009D74EF">
              <w:rPr>
                <w:noProof/>
                <w:szCs w:val="20"/>
              </w:rPr>
              <w:t xml:space="preserve"> </w:t>
            </w:r>
            <w:r w:rsidR="00022213">
              <w:rPr>
                <w:noProof/>
                <w:szCs w:val="20"/>
              </w:rPr>
              <w:t xml:space="preserve">PO4c would score highest as it covers both solvent and insolvent companies. </w:t>
            </w:r>
            <w:r w:rsidR="003F398A">
              <w:rPr>
                <w:noProof/>
                <w:szCs w:val="20"/>
              </w:rPr>
              <w:t>While t</w:t>
            </w:r>
            <w:r w:rsidR="00731585">
              <w:rPr>
                <w:noProof/>
                <w:szCs w:val="20"/>
              </w:rPr>
              <w:t xml:space="preserve">he once-only transmission </w:t>
            </w:r>
            <w:r w:rsidR="008E16CF">
              <w:rPr>
                <w:noProof/>
                <w:szCs w:val="20"/>
              </w:rPr>
              <w:t xml:space="preserve">of information </w:t>
            </w:r>
            <w:r w:rsidR="00C578A4">
              <w:rPr>
                <w:noProof/>
                <w:szCs w:val="20"/>
              </w:rPr>
              <w:t>under PO</w:t>
            </w:r>
            <w:r w:rsidR="00C05926">
              <w:rPr>
                <w:noProof/>
                <w:szCs w:val="20"/>
              </w:rPr>
              <w:t xml:space="preserve">4a </w:t>
            </w:r>
            <w:r w:rsidR="003F398A">
              <w:rPr>
                <w:noProof/>
                <w:szCs w:val="20"/>
              </w:rPr>
              <w:t xml:space="preserve">would focus </w:t>
            </w:r>
            <w:r w:rsidR="00C05926">
              <w:rPr>
                <w:noProof/>
                <w:szCs w:val="20"/>
              </w:rPr>
              <w:t>on</w:t>
            </w:r>
            <w:r w:rsidR="003F398A">
              <w:rPr>
                <w:noProof/>
                <w:szCs w:val="20"/>
              </w:rPr>
              <w:t xml:space="preserve"> exchanges between authorities at national level, </w:t>
            </w:r>
            <w:r w:rsidR="000716C7">
              <w:rPr>
                <w:noProof/>
                <w:szCs w:val="20"/>
              </w:rPr>
              <w:t xml:space="preserve">PO4b would </w:t>
            </w:r>
            <w:r w:rsidR="00E03DD3">
              <w:rPr>
                <w:noProof/>
                <w:szCs w:val="20"/>
              </w:rPr>
              <w:t>harmonis</w:t>
            </w:r>
            <w:r w:rsidR="006C4840">
              <w:rPr>
                <w:noProof/>
                <w:szCs w:val="20"/>
              </w:rPr>
              <w:t>e the</w:t>
            </w:r>
            <w:r w:rsidR="00E03DD3">
              <w:rPr>
                <w:noProof/>
                <w:szCs w:val="20"/>
              </w:rPr>
              <w:t xml:space="preserve"> simplified procedure for closure outside of insolvency</w:t>
            </w:r>
            <w:r w:rsidR="003F398A">
              <w:rPr>
                <w:noProof/>
                <w:szCs w:val="20"/>
              </w:rPr>
              <w:t xml:space="preserve"> </w:t>
            </w:r>
            <w:r w:rsidR="00731585">
              <w:rPr>
                <w:noProof/>
                <w:szCs w:val="20"/>
              </w:rPr>
              <w:t xml:space="preserve">and </w:t>
            </w:r>
            <w:r w:rsidR="00C03EF6">
              <w:rPr>
                <w:noProof/>
                <w:szCs w:val="20"/>
              </w:rPr>
              <w:t xml:space="preserve">PO4c would </w:t>
            </w:r>
            <w:r w:rsidR="00C771EE">
              <w:rPr>
                <w:noProof/>
                <w:szCs w:val="20"/>
              </w:rPr>
              <w:t>provide simplifications to the insolvency procedure</w:t>
            </w:r>
            <w:r w:rsidR="008A143C">
              <w:rPr>
                <w:noProof/>
                <w:szCs w:val="20"/>
              </w:rPr>
              <w:t xml:space="preserve"> through digital tools</w:t>
            </w:r>
            <w:r w:rsidR="00C771EE">
              <w:rPr>
                <w:noProof/>
                <w:szCs w:val="20"/>
              </w:rPr>
              <w:t xml:space="preserve">, </w:t>
            </w:r>
            <w:r w:rsidR="00731585">
              <w:rPr>
                <w:noProof/>
                <w:szCs w:val="20"/>
              </w:rPr>
              <w:t xml:space="preserve">and therefore, </w:t>
            </w:r>
            <w:r w:rsidR="00C771EE">
              <w:rPr>
                <w:noProof/>
                <w:szCs w:val="20"/>
              </w:rPr>
              <w:t>would both</w:t>
            </w:r>
            <w:r w:rsidR="00731585">
              <w:rPr>
                <w:noProof/>
                <w:szCs w:val="20"/>
              </w:rPr>
              <w:t xml:space="preserve"> </w:t>
            </w:r>
            <w:r w:rsidR="00DC49D1">
              <w:rPr>
                <w:noProof/>
                <w:szCs w:val="20"/>
              </w:rPr>
              <w:t>hav</w:t>
            </w:r>
            <w:r w:rsidR="009C4E8D">
              <w:rPr>
                <w:noProof/>
                <w:szCs w:val="20"/>
              </w:rPr>
              <w:t>e</w:t>
            </w:r>
            <w:r w:rsidR="00DC49D1">
              <w:rPr>
                <w:noProof/>
                <w:szCs w:val="20"/>
              </w:rPr>
              <w:t xml:space="preserve"> a positive</w:t>
            </w:r>
            <w:r w:rsidR="00731585">
              <w:rPr>
                <w:noProof/>
                <w:szCs w:val="20"/>
              </w:rPr>
              <w:t xml:space="preserve"> impact on functioning of the internal market</w:t>
            </w:r>
            <w:r w:rsidR="00222C2B">
              <w:rPr>
                <w:noProof/>
                <w:szCs w:val="20"/>
              </w:rPr>
              <w:t>.</w:t>
            </w:r>
          </w:p>
        </w:tc>
      </w:tr>
    </w:tbl>
    <w:p w14:paraId="2DBA3E74" w14:textId="77777777" w:rsidR="00F95382" w:rsidRDefault="00F95382" w:rsidP="00F95382">
      <w:pPr>
        <w:spacing w:before="0" w:after="200" w:line="276" w:lineRule="auto"/>
        <w:rPr>
          <w:rFonts w:eastAsia="Courier New"/>
          <w:noProof/>
          <w:u w:val="single"/>
        </w:rPr>
      </w:pPr>
    </w:p>
    <w:p w14:paraId="1493D4DA" w14:textId="77777777" w:rsidR="002F1E66" w:rsidRPr="00E871E0" w:rsidRDefault="002F1E66" w:rsidP="00801532">
      <w:pPr>
        <w:pStyle w:val="Heading2"/>
        <w:numPr>
          <w:ilvl w:val="0"/>
          <w:numId w:val="0"/>
        </w:numPr>
        <w:ind w:left="680" w:hanging="680"/>
        <w:rPr>
          <w:rFonts w:eastAsia="Courier New"/>
          <w:noProof/>
          <w:u w:val="single"/>
        </w:rPr>
      </w:pPr>
      <w:r>
        <w:rPr>
          <w:rFonts w:eastAsia="Courier New"/>
          <w:noProof/>
          <w:u w:val="single"/>
        </w:rPr>
        <w:t>P</w:t>
      </w:r>
      <w:r w:rsidRPr="002F072B">
        <w:rPr>
          <w:rFonts w:eastAsia="Courier New"/>
          <w:noProof/>
          <w:u w:val="single"/>
        </w:rPr>
        <w:t xml:space="preserve">olicy options </w:t>
      </w:r>
      <w:r>
        <w:rPr>
          <w:rFonts w:eastAsia="Courier New"/>
          <w:noProof/>
          <w:u w:val="single"/>
        </w:rPr>
        <w:t>5</w:t>
      </w:r>
      <w:r w:rsidRPr="002F072B">
        <w:rPr>
          <w:rFonts w:eastAsia="Courier New"/>
          <w:noProof/>
          <w:u w:val="single"/>
        </w:rPr>
        <w:t xml:space="preserve"> </w:t>
      </w:r>
      <w:r w:rsidRPr="00E871E0">
        <w:rPr>
          <w:rFonts w:eastAsia="Courier New"/>
          <w:noProof/>
          <w:u w:val="single"/>
        </w:rPr>
        <w:t xml:space="preserve">for attracting talent </w:t>
      </w:r>
    </w:p>
    <w:p w14:paraId="67D9DC6C" w14:textId="7EE69E6C" w:rsidR="002F1E66" w:rsidRDefault="002F1E66" w:rsidP="00C4288E">
      <w:pPr>
        <w:pStyle w:val="ListParagraph"/>
        <w:numPr>
          <w:ilvl w:val="0"/>
          <w:numId w:val="15"/>
        </w:numPr>
        <w:tabs>
          <w:tab w:val="left" w:pos="170"/>
        </w:tabs>
        <w:jc w:val="both"/>
        <w:rPr>
          <w:noProof/>
        </w:rPr>
      </w:pPr>
      <w:r>
        <w:rPr>
          <w:noProof/>
        </w:rPr>
        <w:t xml:space="preserve">Policy option 5a - </w:t>
      </w:r>
      <w:r w:rsidRPr="003706B4">
        <w:rPr>
          <w:noProof/>
        </w:rPr>
        <w:t>Possibility for 28</w:t>
      </w:r>
      <w:r w:rsidRPr="00801532">
        <w:rPr>
          <w:noProof/>
        </w:rPr>
        <w:t>th</w:t>
      </w:r>
      <w:r w:rsidRPr="003706B4">
        <w:rPr>
          <w:noProof/>
        </w:rPr>
        <w:t xml:space="preserve"> regime companies to set up employee </w:t>
      </w:r>
      <w:r w:rsidR="005C0C8E">
        <w:rPr>
          <w:noProof/>
        </w:rPr>
        <w:t xml:space="preserve">stock </w:t>
      </w:r>
      <w:r w:rsidRPr="003706B4">
        <w:rPr>
          <w:noProof/>
        </w:rPr>
        <w:t>ownership plans (ESOPs) and issue classes of shares with distinct voting rights</w:t>
      </w:r>
      <w:r w:rsidRPr="004C599B">
        <w:rPr>
          <w:noProof/>
        </w:rPr>
        <w:t>.</w:t>
      </w:r>
    </w:p>
    <w:p w14:paraId="2BEA015D" w14:textId="6CE24B50" w:rsidR="002F1E66" w:rsidRDefault="002F1E66" w:rsidP="00C4288E">
      <w:pPr>
        <w:pStyle w:val="ListParagraph"/>
        <w:numPr>
          <w:ilvl w:val="0"/>
          <w:numId w:val="15"/>
        </w:numPr>
        <w:tabs>
          <w:tab w:val="left" w:pos="170"/>
        </w:tabs>
        <w:jc w:val="both"/>
        <w:rPr>
          <w:noProof/>
        </w:rPr>
      </w:pPr>
      <w:r>
        <w:rPr>
          <w:noProof/>
        </w:rPr>
        <w:t xml:space="preserve">Policy option 5b - </w:t>
      </w:r>
      <w:r w:rsidRPr="00926445">
        <w:rPr>
          <w:noProof/>
        </w:rPr>
        <w:t xml:space="preserve">Option </w:t>
      </w:r>
      <w:r>
        <w:rPr>
          <w:noProof/>
        </w:rPr>
        <w:t>5</w:t>
      </w:r>
      <w:r w:rsidRPr="00926445">
        <w:rPr>
          <w:noProof/>
        </w:rPr>
        <w:t xml:space="preserve">a + </w:t>
      </w:r>
      <w:r w:rsidRPr="003706B4">
        <w:rPr>
          <w:noProof/>
        </w:rPr>
        <w:t>introduc</w:t>
      </w:r>
      <w:r>
        <w:rPr>
          <w:noProof/>
        </w:rPr>
        <w:t>e</w:t>
      </w:r>
      <w:r w:rsidRPr="003706B4">
        <w:rPr>
          <w:noProof/>
        </w:rPr>
        <w:t xml:space="preserve"> an optional common employee stock ownership scheme (EU-ESO) for 28</w:t>
      </w:r>
      <w:r w:rsidRPr="008F1D4A">
        <w:rPr>
          <w:noProof/>
          <w:vertAlign w:val="superscript"/>
        </w:rPr>
        <w:t>th</w:t>
      </w:r>
      <w:r w:rsidRPr="003706B4">
        <w:rPr>
          <w:noProof/>
        </w:rPr>
        <w:t xml:space="preserve"> regime companies</w:t>
      </w:r>
      <w:r w:rsidRPr="004C599B">
        <w:rPr>
          <w:noProof/>
        </w:rPr>
        <w:t>.</w:t>
      </w:r>
    </w:p>
    <w:p w14:paraId="2DB4F147" w14:textId="14FB4B56" w:rsidR="00DF5E69" w:rsidRDefault="002F1E66" w:rsidP="00491BEE">
      <w:pPr>
        <w:pStyle w:val="ListParagraph"/>
        <w:numPr>
          <w:ilvl w:val="0"/>
          <w:numId w:val="15"/>
        </w:numPr>
        <w:tabs>
          <w:tab w:val="left" w:pos="170"/>
        </w:tabs>
        <w:jc w:val="both"/>
        <w:rPr>
          <w:noProof/>
        </w:rPr>
      </w:pPr>
      <w:r>
        <w:rPr>
          <w:noProof/>
        </w:rPr>
        <w:t>Policy option 5c - O</w:t>
      </w:r>
      <w:r w:rsidRPr="004C599B">
        <w:rPr>
          <w:noProof/>
        </w:rPr>
        <w:t xml:space="preserve">ption </w:t>
      </w:r>
      <w:r>
        <w:rPr>
          <w:noProof/>
        </w:rPr>
        <w:t>5</w:t>
      </w:r>
      <w:r w:rsidRPr="004C599B">
        <w:rPr>
          <w:noProof/>
        </w:rPr>
        <w:t xml:space="preserve">b </w:t>
      </w:r>
      <w:r>
        <w:rPr>
          <w:noProof/>
        </w:rPr>
        <w:t>+</w:t>
      </w:r>
      <w:r w:rsidRPr="004C599B">
        <w:rPr>
          <w:noProof/>
        </w:rPr>
        <w:t xml:space="preserve"> </w:t>
      </w:r>
      <w:r w:rsidRPr="003706B4">
        <w:rPr>
          <w:noProof/>
        </w:rPr>
        <w:t>provid</w:t>
      </w:r>
      <w:r>
        <w:rPr>
          <w:noProof/>
        </w:rPr>
        <w:t>e</w:t>
      </w:r>
      <w:r w:rsidRPr="003706B4">
        <w:rPr>
          <w:noProof/>
        </w:rPr>
        <w:t xml:space="preserve"> harmonised timing for the taxation of </w:t>
      </w:r>
      <w:r w:rsidR="00AD05B8" w:rsidRPr="005C0C8E">
        <w:rPr>
          <w:noProof/>
          <w:szCs w:val="20"/>
          <w:shd w:val="clear" w:color="auto" w:fill="FFFFFF" w:themeFill="background1"/>
        </w:rPr>
        <w:t>employee stock options granted in the context of the EU-ESO</w:t>
      </w:r>
      <w:r w:rsidR="00AD05B8" w:rsidRPr="001B01B9">
        <w:rPr>
          <w:noProof/>
          <w:szCs w:val="20"/>
          <w:shd w:val="clear" w:color="auto" w:fill="92D050"/>
        </w:rPr>
        <w:t xml:space="preserve"> </w:t>
      </w:r>
    </w:p>
    <w:tbl>
      <w:tblPr>
        <w:tblStyle w:val="TableGrid"/>
        <w:tblW w:w="14170" w:type="dxa"/>
        <w:tblLayout w:type="fixed"/>
        <w:tblLook w:val="04A0" w:firstRow="1" w:lastRow="0" w:firstColumn="1" w:lastColumn="0" w:noHBand="0" w:noVBand="1"/>
      </w:tblPr>
      <w:tblGrid>
        <w:gridCol w:w="2122"/>
        <w:gridCol w:w="1508"/>
        <w:gridCol w:w="1042"/>
        <w:gridCol w:w="996"/>
        <w:gridCol w:w="994"/>
        <w:gridCol w:w="7508"/>
      </w:tblGrid>
      <w:tr w:rsidR="00DF5E69" w:rsidRPr="00DC6DD8" w14:paraId="0DCA39F0" w14:textId="77777777" w:rsidTr="6F00936E">
        <w:tc>
          <w:tcPr>
            <w:tcW w:w="2122" w:type="dxa"/>
            <w:shd w:val="clear" w:color="auto" w:fill="95B3D7" w:themeFill="accent1" w:themeFillTint="99"/>
          </w:tcPr>
          <w:p w14:paraId="4AA8DC16" w14:textId="77777777" w:rsidR="00DF5E69" w:rsidRPr="00DC6DD8" w:rsidRDefault="00DF5E69" w:rsidP="00DF5E69">
            <w:pPr>
              <w:rPr>
                <w:b/>
                <w:noProof/>
                <w:szCs w:val="20"/>
              </w:rPr>
            </w:pPr>
            <w:r w:rsidRPr="00DC6DD8">
              <w:rPr>
                <w:b/>
                <w:noProof/>
                <w:szCs w:val="20"/>
              </w:rPr>
              <w:br w:type="page"/>
            </w:r>
          </w:p>
        </w:tc>
        <w:tc>
          <w:tcPr>
            <w:tcW w:w="1508" w:type="dxa"/>
            <w:shd w:val="clear" w:color="auto" w:fill="95B3D7" w:themeFill="accent1" w:themeFillTint="99"/>
          </w:tcPr>
          <w:p w14:paraId="4B100432" w14:textId="77777777" w:rsidR="00DF5E69" w:rsidRPr="00864F5C" w:rsidRDefault="00DF5E69" w:rsidP="00DF5E69">
            <w:pPr>
              <w:rPr>
                <w:b/>
                <w:noProof/>
                <w:sz w:val="18"/>
                <w:szCs w:val="18"/>
              </w:rPr>
            </w:pPr>
            <w:r w:rsidRPr="00864F5C">
              <w:rPr>
                <w:b/>
                <w:noProof/>
                <w:sz w:val="18"/>
                <w:szCs w:val="18"/>
              </w:rPr>
              <w:t>Unit of measurement</w:t>
            </w:r>
          </w:p>
        </w:tc>
        <w:tc>
          <w:tcPr>
            <w:tcW w:w="1042" w:type="dxa"/>
            <w:shd w:val="clear" w:color="auto" w:fill="95B3D7" w:themeFill="accent1" w:themeFillTint="99"/>
          </w:tcPr>
          <w:p w14:paraId="407DC197" w14:textId="308E5528"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5</w:t>
            </w:r>
            <w:r w:rsidRPr="00DC6DD8">
              <w:rPr>
                <w:b/>
                <w:noProof/>
                <w:szCs w:val="20"/>
              </w:rPr>
              <w:t xml:space="preserve">a </w:t>
            </w:r>
          </w:p>
        </w:tc>
        <w:tc>
          <w:tcPr>
            <w:tcW w:w="996" w:type="dxa"/>
            <w:shd w:val="clear" w:color="auto" w:fill="95B3D7" w:themeFill="accent1" w:themeFillTint="99"/>
          </w:tcPr>
          <w:p w14:paraId="33788603" w14:textId="57B79D15"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5</w:t>
            </w:r>
            <w:r w:rsidRPr="00DC6DD8">
              <w:rPr>
                <w:b/>
                <w:noProof/>
                <w:szCs w:val="20"/>
              </w:rPr>
              <w:t>b</w:t>
            </w:r>
          </w:p>
        </w:tc>
        <w:tc>
          <w:tcPr>
            <w:tcW w:w="994" w:type="dxa"/>
            <w:shd w:val="clear" w:color="auto" w:fill="95B3D7" w:themeFill="accent1" w:themeFillTint="99"/>
          </w:tcPr>
          <w:p w14:paraId="31B9F7DC" w14:textId="46A928EA"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5</w:t>
            </w:r>
            <w:r w:rsidRPr="00DC6DD8">
              <w:rPr>
                <w:b/>
                <w:noProof/>
                <w:szCs w:val="20"/>
              </w:rPr>
              <w:t>c</w:t>
            </w:r>
          </w:p>
          <w:p w14:paraId="4666736F" w14:textId="77777777" w:rsidR="00DF5E69" w:rsidRPr="00DC6DD8" w:rsidRDefault="00DF5E69" w:rsidP="00DF5E69">
            <w:pPr>
              <w:rPr>
                <w:b/>
                <w:noProof/>
                <w:szCs w:val="20"/>
              </w:rPr>
            </w:pPr>
          </w:p>
        </w:tc>
        <w:tc>
          <w:tcPr>
            <w:tcW w:w="7508" w:type="dxa"/>
            <w:shd w:val="clear" w:color="auto" w:fill="95B3D7" w:themeFill="accent1" w:themeFillTint="99"/>
          </w:tcPr>
          <w:p w14:paraId="63675239" w14:textId="77777777" w:rsidR="00DF5E69" w:rsidRPr="00DC6DD8" w:rsidRDefault="00DF5E69" w:rsidP="00DF5E69">
            <w:pPr>
              <w:rPr>
                <w:b/>
                <w:noProof/>
                <w:szCs w:val="20"/>
              </w:rPr>
            </w:pPr>
            <w:r w:rsidRPr="00DD0943">
              <w:rPr>
                <w:b/>
                <w:noProof/>
                <w:szCs w:val="20"/>
              </w:rPr>
              <w:t>Motivation</w:t>
            </w:r>
          </w:p>
        </w:tc>
      </w:tr>
      <w:tr w:rsidR="00DF5E69" w:rsidRPr="00DC6DD8" w14:paraId="5E33542D" w14:textId="77777777" w:rsidTr="6F00936E">
        <w:trPr>
          <w:trHeight w:val="702"/>
        </w:trPr>
        <w:tc>
          <w:tcPr>
            <w:tcW w:w="14170" w:type="dxa"/>
            <w:gridSpan w:val="6"/>
            <w:shd w:val="clear" w:color="auto" w:fill="92D050"/>
          </w:tcPr>
          <w:p w14:paraId="221D6EE0" w14:textId="77777777" w:rsidR="00DF5E69" w:rsidRPr="00035E70" w:rsidRDefault="00DF5E69" w:rsidP="00DF5E69">
            <w:pPr>
              <w:rPr>
                <w:b/>
                <w:bCs/>
                <w:noProof/>
                <w:szCs w:val="20"/>
              </w:rPr>
            </w:pPr>
            <w:r w:rsidRPr="00D345EC">
              <w:rPr>
                <w:b/>
                <w:noProof/>
                <w:sz w:val="24"/>
                <w:szCs w:val="24"/>
              </w:rPr>
              <w:t>Companies and investors</w:t>
            </w:r>
          </w:p>
        </w:tc>
      </w:tr>
      <w:tr w:rsidR="00DF5E69" w:rsidRPr="00DC6DD8" w14:paraId="5BA06EAA" w14:textId="77777777" w:rsidTr="6F00936E">
        <w:trPr>
          <w:trHeight w:val="970"/>
        </w:trPr>
        <w:tc>
          <w:tcPr>
            <w:tcW w:w="2122" w:type="dxa"/>
          </w:tcPr>
          <w:p w14:paraId="72312327" w14:textId="77777777" w:rsidR="00DF5E69" w:rsidRPr="00DC6DD8" w:rsidRDefault="00DF5E69" w:rsidP="00DF5E69">
            <w:pPr>
              <w:rPr>
                <w:b/>
                <w:noProof/>
                <w:szCs w:val="20"/>
              </w:rPr>
            </w:pPr>
            <w:r>
              <w:rPr>
                <w:b/>
                <w:noProof/>
                <w:szCs w:val="20"/>
              </w:rPr>
              <w:t>Ease of doing business</w:t>
            </w:r>
          </w:p>
        </w:tc>
        <w:tc>
          <w:tcPr>
            <w:tcW w:w="1508" w:type="dxa"/>
          </w:tcPr>
          <w:p w14:paraId="621E8315" w14:textId="77777777" w:rsidR="00DF5E69" w:rsidRPr="00170FBB" w:rsidRDefault="00DF5E69" w:rsidP="00DF5E69">
            <w:pPr>
              <w:rPr>
                <w:b/>
                <w:noProof/>
                <w:sz w:val="18"/>
                <w:szCs w:val="18"/>
              </w:rPr>
            </w:pPr>
            <w:r w:rsidRPr="00170FBB">
              <w:rPr>
                <w:noProof/>
                <w:sz w:val="18"/>
                <w:szCs w:val="18"/>
              </w:rPr>
              <w:t>Score 0-5</w:t>
            </w:r>
          </w:p>
        </w:tc>
        <w:tc>
          <w:tcPr>
            <w:tcW w:w="1042" w:type="dxa"/>
          </w:tcPr>
          <w:p w14:paraId="47979678" w14:textId="674D4BD1" w:rsidR="00DF5E69" w:rsidRPr="008C5F9A" w:rsidRDefault="00FD398F" w:rsidP="008C5F9A">
            <w:pPr>
              <w:jc w:val="center"/>
              <w:rPr>
                <w:noProof/>
                <w:szCs w:val="20"/>
              </w:rPr>
            </w:pPr>
            <w:r>
              <w:rPr>
                <w:noProof/>
                <w:szCs w:val="20"/>
              </w:rPr>
              <w:t>1</w:t>
            </w:r>
          </w:p>
        </w:tc>
        <w:tc>
          <w:tcPr>
            <w:tcW w:w="996" w:type="dxa"/>
          </w:tcPr>
          <w:p w14:paraId="1D744B45" w14:textId="4DCBC356" w:rsidR="00DF5E69" w:rsidRPr="008C5F9A" w:rsidRDefault="00EA47F8" w:rsidP="008C5F9A">
            <w:pPr>
              <w:jc w:val="center"/>
              <w:rPr>
                <w:noProof/>
                <w:szCs w:val="20"/>
              </w:rPr>
            </w:pPr>
            <w:r w:rsidRPr="008C5F9A">
              <w:rPr>
                <w:noProof/>
                <w:szCs w:val="20"/>
              </w:rPr>
              <w:t>3</w:t>
            </w:r>
          </w:p>
        </w:tc>
        <w:tc>
          <w:tcPr>
            <w:tcW w:w="994" w:type="dxa"/>
          </w:tcPr>
          <w:p w14:paraId="11784919" w14:textId="30BA8C0D" w:rsidR="00DF5E69" w:rsidRPr="008C5F9A" w:rsidRDefault="00EA47F8" w:rsidP="008C5F9A">
            <w:pPr>
              <w:jc w:val="center"/>
              <w:rPr>
                <w:noProof/>
                <w:szCs w:val="20"/>
              </w:rPr>
            </w:pPr>
            <w:r w:rsidRPr="008C5F9A">
              <w:rPr>
                <w:noProof/>
                <w:szCs w:val="20"/>
              </w:rPr>
              <w:t>4</w:t>
            </w:r>
          </w:p>
        </w:tc>
        <w:tc>
          <w:tcPr>
            <w:tcW w:w="7508" w:type="dxa"/>
          </w:tcPr>
          <w:p w14:paraId="7CD2320F" w14:textId="51ACC5F1" w:rsidR="00347BBF" w:rsidRDefault="00294876" w:rsidP="000B0CBE">
            <w:pPr>
              <w:jc w:val="both"/>
              <w:rPr>
                <w:noProof/>
                <w:lang w:val="en-IE"/>
              </w:rPr>
            </w:pPr>
            <w:r>
              <w:rPr>
                <w:noProof/>
              </w:rPr>
              <w:t xml:space="preserve">These </w:t>
            </w:r>
            <w:r w:rsidR="00EB03A2">
              <w:rPr>
                <w:noProof/>
              </w:rPr>
              <w:t>policy</w:t>
            </w:r>
            <w:r w:rsidR="00EB03A2" w:rsidRPr="3F78DA1D">
              <w:rPr>
                <w:noProof/>
                <w:lang w:val="en-IE"/>
              </w:rPr>
              <w:t xml:space="preserve"> options </w:t>
            </w:r>
            <w:r w:rsidR="00AF794F" w:rsidRPr="3F78DA1D">
              <w:rPr>
                <w:noProof/>
                <w:lang w:val="en-IE"/>
              </w:rPr>
              <w:t>have a positive impact on ease of doing business as they would</w:t>
            </w:r>
            <w:r w:rsidR="00452E4D" w:rsidRPr="3F78DA1D">
              <w:rPr>
                <w:noProof/>
                <w:lang w:val="en-IE"/>
              </w:rPr>
              <w:t>, by</w:t>
            </w:r>
            <w:r w:rsidR="00AF794F" w:rsidRPr="3F78DA1D">
              <w:rPr>
                <w:noProof/>
                <w:lang w:val="en-IE"/>
              </w:rPr>
              <w:t xml:space="preserve"> </w:t>
            </w:r>
            <w:r w:rsidR="003E32C8" w:rsidRPr="3F78DA1D">
              <w:rPr>
                <w:noProof/>
                <w:lang w:val="en-IE"/>
              </w:rPr>
              <w:t>facilitat</w:t>
            </w:r>
            <w:r w:rsidR="00452E4D" w:rsidRPr="3F78DA1D">
              <w:rPr>
                <w:noProof/>
                <w:lang w:val="en-IE"/>
              </w:rPr>
              <w:t>ing</w:t>
            </w:r>
            <w:r w:rsidR="003E32C8" w:rsidRPr="3F78DA1D">
              <w:rPr>
                <w:noProof/>
                <w:lang w:val="en-IE"/>
              </w:rPr>
              <w:t xml:space="preserve"> t</w:t>
            </w:r>
            <w:r w:rsidR="005E603A" w:rsidRPr="3F78DA1D">
              <w:rPr>
                <w:noProof/>
                <w:lang w:val="en-IE"/>
              </w:rPr>
              <w:t xml:space="preserve">he </w:t>
            </w:r>
            <w:r w:rsidR="006C11FA" w:rsidRPr="3F78DA1D">
              <w:rPr>
                <w:noProof/>
                <w:lang w:val="en-IE"/>
              </w:rPr>
              <w:t>use of</w:t>
            </w:r>
            <w:r w:rsidR="005E603A" w:rsidRPr="3F78DA1D">
              <w:rPr>
                <w:noProof/>
                <w:lang w:val="en-IE"/>
              </w:rPr>
              <w:t xml:space="preserve"> </w:t>
            </w:r>
            <w:r w:rsidR="001E0E23" w:rsidRPr="3F78DA1D">
              <w:rPr>
                <w:noProof/>
                <w:lang w:val="en-IE"/>
              </w:rPr>
              <w:t>ESOPs</w:t>
            </w:r>
            <w:r w:rsidR="007A31D4" w:rsidRPr="3F78DA1D">
              <w:rPr>
                <w:noProof/>
                <w:lang w:val="en-IE"/>
              </w:rPr>
              <w:t xml:space="preserve">, </w:t>
            </w:r>
            <w:r w:rsidR="00452E4D" w:rsidRPr="3F78DA1D">
              <w:rPr>
                <w:noProof/>
                <w:lang w:val="en-IE"/>
              </w:rPr>
              <w:t xml:space="preserve">make it easier </w:t>
            </w:r>
            <w:r w:rsidR="00D22BAD" w:rsidRPr="3F78DA1D">
              <w:rPr>
                <w:noProof/>
                <w:lang w:val="en-IE"/>
              </w:rPr>
              <w:t xml:space="preserve">in particular for EU </w:t>
            </w:r>
            <w:r w:rsidR="313386FB" w:rsidRPr="3F78DA1D">
              <w:rPr>
                <w:noProof/>
                <w:lang w:val="en-IE"/>
              </w:rPr>
              <w:t>s</w:t>
            </w:r>
            <w:r w:rsidR="69B83368" w:rsidRPr="3F78DA1D">
              <w:rPr>
                <w:noProof/>
                <w:lang w:val="en-IE"/>
              </w:rPr>
              <w:t>tartup</w:t>
            </w:r>
            <w:r w:rsidR="313386FB" w:rsidRPr="3F78DA1D">
              <w:rPr>
                <w:noProof/>
                <w:lang w:val="en-IE"/>
              </w:rPr>
              <w:t>s</w:t>
            </w:r>
            <w:r w:rsidR="00D22BAD" w:rsidRPr="3F78DA1D">
              <w:rPr>
                <w:noProof/>
                <w:lang w:val="en-IE"/>
              </w:rPr>
              <w:t xml:space="preserve"> and </w:t>
            </w:r>
            <w:r w:rsidR="313386FB" w:rsidRPr="64499400">
              <w:rPr>
                <w:noProof/>
                <w:lang w:val="en-IE"/>
              </w:rPr>
              <w:t>s</w:t>
            </w:r>
            <w:r w:rsidR="6204770D" w:rsidRPr="64499400">
              <w:rPr>
                <w:noProof/>
                <w:lang w:val="en-IE"/>
              </w:rPr>
              <w:t>caleup</w:t>
            </w:r>
            <w:r w:rsidR="313386FB" w:rsidRPr="64499400">
              <w:rPr>
                <w:noProof/>
                <w:lang w:val="en-IE"/>
              </w:rPr>
              <w:t>s</w:t>
            </w:r>
            <w:r w:rsidR="00D22BAD" w:rsidRPr="3F78DA1D">
              <w:rPr>
                <w:noProof/>
                <w:lang w:val="en-IE"/>
              </w:rPr>
              <w:t xml:space="preserve"> to </w:t>
            </w:r>
            <w:r w:rsidR="00450F8B" w:rsidRPr="3F78DA1D">
              <w:rPr>
                <w:noProof/>
                <w:lang w:val="en-IE"/>
              </w:rPr>
              <w:t xml:space="preserve">attract </w:t>
            </w:r>
            <w:r w:rsidR="00F81CD3" w:rsidRPr="3F78DA1D">
              <w:rPr>
                <w:noProof/>
                <w:lang w:val="en-IE"/>
              </w:rPr>
              <w:t>and</w:t>
            </w:r>
            <w:r w:rsidR="00450F8B" w:rsidRPr="3F78DA1D">
              <w:rPr>
                <w:noProof/>
                <w:lang w:val="en-IE"/>
              </w:rPr>
              <w:t xml:space="preserve"> retain</w:t>
            </w:r>
            <w:r w:rsidR="0022591B" w:rsidRPr="3F78DA1D">
              <w:rPr>
                <w:noProof/>
                <w:lang w:val="en-IE"/>
              </w:rPr>
              <w:t xml:space="preserve"> </w:t>
            </w:r>
            <w:r w:rsidR="00450F8B" w:rsidRPr="3F78DA1D">
              <w:rPr>
                <w:noProof/>
                <w:lang w:val="en-IE"/>
              </w:rPr>
              <w:t>talent</w:t>
            </w:r>
            <w:r w:rsidR="00BC185C" w:rsidRPr="3F78DA1D">
              <w:rPr>
                <w:noProof/>
                <w:lang w:val="en-IE"/>
              </w:rPr>
              <w:t xml:space="preserve"> by</w:t>
            </w:r>
            <w:r w:rsidR="009D3AB4" w:rsidRPr="3F78DA1D">
              <w:rPr>
                <w:noProof/>
                <w:lang w:val="en-IE"/>
              </w:rPr>
              <w:t xml:space="preserve"> be</w:t>
            </w:r>
            <w:r w:rsidR="00BC185C" w:rsidRPr="3F78DA1D">
              <w:rPr>
                <w:noProof/>
                <w:lang w:val="en-IE"/>
              </w:rPr>
              <w:t>ing</w:t>
            </w:r>
            <w:r w:rsidR="009D3AB4" w:rsidRPr="3F78DA1D">
              <w:rPr>
                <w:noProof/>
                <w:lang w:val="en-IE"/>
              </w:rPr>
              <w:t xml:space="preserve"> able to </w:t>
            </w:r>
            <w:r w:rsidR="005020F1" w:rsidRPr="3F78DA1D">
              <w:rPr>
                <w:noProof/>
                <w:lang w:val="en-IE"/>
              </w:rPr>
              <w:t>offer competitive benefits</w:t>
            </w:r>
            <w:r w:rsidR="000A5007" w:rsidRPr="3F78DA1D">
              <w:rPr>
                <w:noProof/>
                <w:lang w:val="en-IE"/>
              </w:rPr>
              <w:t xml:space="preserve"> to </w:t>
            </w:r>
            <w:r w:rsidR="006B7A8F" w:rsidRPr="3F78DA1D">
              <w:rPr>
                <w:noProof/>
                <w:lang w:val="en-IE"/>
              </w:rPr>
              <w:t>their staff.</w:t>
            </w:r>
            <w:r w:rsidR="00A01415" w:rsidRPr="3F78DA1D">
              <w:rPr>
                <w:noProof/>
                <w:lang w:val="en-IE"/>
              </w:rPr>
              <w:t xml:space="preserve"> </w:t>
            </w:r>
            <w:r w:rsidR="006B7A8F">
              <w:rPr>
                <w:noProof/>
              </w:rPr>
              <w:t xml:space="preserve">In the </w:t>
            </w:r>
            <w:r w:rsidR="00A01415">
              <w:rPr>
                <w:noProof/>
              </w:rPr>
              <w:t>public consultation</w:t>
            </w:r>
            <w:r w:rsidR="00740CD4">
              <w:rPr>
                <w:noProof/>
              </w:rPr>
              <w:t xml:space="preserve"> on the European Innovation Act</w:t>
            </w:r>
            <w:r w:rsidR="00A01415">
              <w:rPr>
                <w:noProof/>
              </w:rPr>
              <w:t xml:space="preserve">, </w:t>
            </w:r>
            <w:r w:rsidR="00740CD4" w:rsidRPr="3F78DA1D">
              <w:rPr>
                <w:noProof/>
                <w:lang w:val="en-IE"/>
              </w:rPr>
              <w:t>60% of respondents agreed or strongly agreed that difficulties to offer globally competitive benefits and remuneration, including employee ownership schemes, are preventing innovative companies in the EU from attracting and retaining talent (with only 4% disagreeing and no respondent strongly disagreeing).</w:t>
            </w:r>
            <w:r w:rsidR="00F81CD3" w:rsidRPr="3F78DA1D">
              <w:rPr>
                <w:noProof/>
                <w:lang w:val="en-IE"/>
              </w:rPr>
              <w:t xml:space="preserve"> </w:t>
            </w:r>
          </w:p>
          <w:p w14:paraId="16AE967B" w14:textId="59E4C9F3" w:rsidR="00FA39A6" w:rsidRDefault="001A2A08" w:rsidP="000B0CBE">
            <w:pPr>
              <w:jc w:val="both"/>
              <w:rPr>
                <w:noProof/>
                <w:szCs w:val="20"/>
                <w:lang w:val="en-IE"/>
              </w:rPr>
            </w:pPr>
            <w:r>
              <w:rPr>
                <w:noProof/>
                <w:szCs w:val="20"/>
                <w:lang w:val="en-IE"/>
              </w:rPr>
              <w:t xml:space="preserve">PO5a </w:t>
            </w:r>
            <w:r w:rsidR="006D0AC0">
              <w:rPr>
                <w:noProof/>
                <w:szCs w:val="20"/>
                <w:lang w:val="en-IE"/>
              </w:rPr>
              <w:t xml:space="preserve">would have a moderately positive effect on companies’ ease of doing business </w:t>
            </w:r>
            <w:r w:rsidR="00374E42">
              <w:rPr>
                <w:noProof/>
                <w:szCs w:val="20"/>
                <w:lang w:val="en-IE"/>
              </w:rPr>
              <w:t>as it would</w:t>
            </w:r>
            <w:r>
              <w:rPr>
                <w:noProof/>
                <w:szCs w:val="20"/>
                <w:lang w:val="en-IE"/>
              </w:rPr>
              <w:t xml:space="preserve"> </w:t>
            </w:r>
            <w:r w:rsidR="00530CF7">
              <w:rPr>
                <w:noProof/>
                <w:szCs w:val="20"/>
                <w:lang w:val="en-IE"/>
              </w:rPr>
              <w:t xml:space="preserve">set </w:t>
            </w:r>
            <w:r w:rsidR="006D2116">
              <w:rPr>
                <w:noProof/>
                <w:szCs w:val="20"/>
                <w:lang w:val="en-IE"/>
              </w:rPr>
              <w:t xml:space="preserve">a </w:t>
            </w:r>
            <w:r w:rsidR="00530CF7">
              <w:rPr>
                <w:noProof/>
                <w:szCs w:val="20"/>
                <w:lang w:val="en-IE"/>
              </w:rPr>
              <w:t xml:space="preserve">basic </w:t>
            </w:r>
            <w:r w:rsidR="006D2116">
              <w:rPr>
                <w:noProof/>
                <w:szCs w:val="20"/>
                <w:lang w:val="en-IE"/>
              </w:rPr>
              <w:t xml:space="preserve">framework </w:t>
            </w:r>
            <w:r w:rsidR="00060DA3">
              <w:rPr>
                <w:noProof/>
                <w:szCs w:val="20"/>
                <w:lang w:val="en-IE"/>
              </w:rPr>
              <w:t>for all 28</w:t>
            </w:r>
            <w:r w:rsidR="00060DA3" w:rsidRPr="004A7F9D">
              <w:rPr>
                <w:noProof/>
                <w:szCs w:val="20"/>
                <w:vertAlign w:val="superscript"/>
                <w:lang w:val="en-IE"/>
              </w:rPr>
              <w:t>th</w:t>
            </w:r>
            <w:r w:rsidR="00060DA3">
              <w:rPr>
                <w:noProof/>
                <w:szCs w:val="20"/>
                <w:lang w:val="en-IE"/>
              </w:rPr>
              <w:t xml:space="preserve"> regime companies to </w:t>
            </w:r>
            <w:r w:rsidR="00784DC8">
              <w:rPr>
                <w:noProof/>
                <w:szCs w:val="20"/>
                <w:lang w:val="en-IE"/>
              </w:rPr>
              <w:t xml:space="preserve">set </w:t>
            </w:r>
            <w:r w:rsidR="0010473D">
              <w:rPr>
                <w:noProof/>
                <w:szCs w:val="20"/>
                <w:lang w:val="en-IE"/>
              </w:rPr>
              <w:t xml:space="preserve">up </w:t>
            </w:r>
            <w:r w:rsidR="00230ED0">
              <w:rPr>
                <w:noProof/>
                <w:szCs w:val="20"/>
                <w:lang w:val="en-IE"/>
              </w:rPr>
              <w:t>ESOPs</w:t>
            </w:r>
            <w:r w:rsidR="00900D42">
              <w:rPr>
                <w:noProof/>
                <w:szCs w:val="20"/>
                <w:lang w:val="en-IE"/>
              </w:rPr>
              <w:t xml:space="preserve"> and</w:t>
            </w:r>
            <w:r w:rsidR="00B12155">
              <w:rPr>
                <w:noProof/>
                <w:szCs w:val="20"/>
                <w:lang w:val="en-IE"/>
              </w:rPr>
              <w:t xml:space="preserve"> </w:t>
            </w:r>
            <w:r w:rsidR="005D1252">
              <w:rPr>
                <w:noProof/>
                <w:szCs w:val="20"/>
                <w:lang w:val="en-IE"/>
              </w:rPr>
              <w:t>enabl</w:t>
            </w:r>
            <w:r w:rsidR="00900D42">
              <w:rPr>
                <w:noProof/>
                <w:szCs w:val="20"/>
                <w:lang w:val="en-IE"/>
              </w:rPr>
              <w:t>e</w:t>
            </w:r>
            <w:r w:rsidR="005D1252">
              <w:rPr>
                <w:noProof/>
                <w:szCs w:val="20"/>
                <w:lang w:val="en-IE"/>
              </w:rPr>
              <w:t xml:space="preserve"> </w:t>
            </w:r>
            <w:r w:rsidR="00297D71">
              <w:rPr>
                <w:noProof/>
                <w:szCs w:val="20"/>
                <w:lang w:val="en-IE"/>
              </w:rPr>
              <w:t>those companies</w:t>
            </w:r>
            <w:r w:rsidR="00B34F50">
              <w:rPr>
                <w:noProof/>
                <w:szCs w:val="20"/>
                <w:lang w:val="en-IE"/>
              </w:rPr>
              <w:t xml:space="preserve"> to </w:t>
            </w:r>
            <w:r w:rsidR="00CF6A03">
              <w:rPr>
                <w:noProof/>
                <w:szCs w:val="20"/>
                <w:lang w:val="en-IE"/>
              </w:rPr>
              <w:t xml:space="preserve">use them </w:t>
            </w:r>
            <w:r w:rsidR="005E649E">
              <w:rPr>
                <w:noProof/>
                <w:szCs w:val="20"/>
                <w:lang w:val="en-IE"/>
              </w:rPr>
              <w:t>throughout the EU</w:t>
            </w:r>
            <w:r w:rsidR="007F2EB1">
              <w:rPr>
                <w:noProof/>
                <w:szCs w:val="20"/>
                <w:lang w:val="en-IE"/>
              </w:rPr>
              <w:t>. 28</w:t>
            </w:r>
            <w:r w:rsidR="007F2EB1" w:rsidRPr="00FD5574">
              <w:rPr>
                <w:noProof/>
                <w:szCs w:val="20"/>
                <w:vertAlign w:val="superscript"/>
                <w:lang w:val="en-IE"/>
              </w:rPr>
              <w:t>th</w:t>
            </w:r>
            <w:r w:rsidR="007F2EB1">
              <w:rPr>
                <w:noProof/>
                <w:szCs w:val="20"/>
                <w:lang w:val="en-IE"/>
              </w:rPr>
              <w:t xml:space="preserve"> regime companies would</w:t>
            </w:r>
            <w:r w:rsidR="003F4A3C">
              <w:rPr>
                <w:noProof/>
                <w:szCs w:val="20"/>
                <w:lang w:val="en-IE"/>
              </w:rPr>
              <w:t xml:space="preserve"> </w:t>
            </w:r>
            <w:r w:rsidR="003F4A3C" w:rsidRPr="003F4A3C">
              <w:rPr>
                <w:noProof/>
                <w:szCs w:val="20"/>
              </w:rPr>
              <w:t>assess and choose the most attractive scheme for them, also considering differences in taxation between Member States</w:t>
            </w:r>
            <w:r w:rsidR="006B7C36">
              <w:rPr>
                <w:noProof/>
                <w:szCs w:val="20"/>
              </w:rPr>
              <w:t xml:space="preserve">, </w:t>
            </w:r>
            <w:r w:rsidR="00A66A5C">
              <w:rPr>
                <w:noProof/>
                <w:szCs w:val="20"/>
                <w:lang w:val="en-IE"/>
              </w:rPr>
              <w:t xml:space="preserve">without </w:t>
            </w:r>
            <w:r w:rsidR="004508A8">
              <w:rPr>
                <w:noProof/>
                <w:szCs w:val="20"/>
                <w:lang w:val="en-IE"/>
              </w:rPr>
              <w:t xml:space="preserve">being </w:t>
            </w:r>
            <w:r w:rsidR="004E1705">
              <w:rPr>
                <w:noProof/>
                <w:szCs w:val="20"/>
                <w:lang w:val="en-IE"/>
              </w:rPr>
              <w:t xml:space="preserve">limited </w:t>
            </w:r>
            <w:r w:rsidR="00EB11EC">
              <w:rPr>
                <w:noProof/>
                <w:szCs w:val="20"/>
                <w:lang w:val="en-IE"/>
              </w:rPr>
              <w:t xml:space="preserve">by </w:t>
            </w:r>
            <w:r w:rsidR="004508A8">
              <w:rPr>
                <w:noProof/>
                <w:szCs w:val="20"/>
                <w:lang w:val="en-IE"/>
              </w:rPr>
              <w:t xml:space="preserve">fragmented </w:t>
            </w:r>
            <w:r w:rsidR="006B7C36">
              <w:rPr>
                <w:noProof/>
                <w:szCs w:val="20"/>
                <w:lang w:val="en-IE"/>
              </w:rPr>
              <w:t xml:space="preserve">national </w:t>
            </w:r>
            <w:r w:rsidR="00F077F8">
              <w:rPr>
                <w:noProof/>
                <w:szCs w:val="20"/>
                <w:lang w:val="en-IE"/>
              </w:rPr>
              <w:t>corporate legal</w:t>
            </w:r>
            <w:r w:rsidR="006B7C36">
              <w:rPr>
                <w:noProof/>
                <w:szCs w:val="20"/>
                <w:lang w:val="en-IE"/>
              </w:rPr>
              <w:t xml:space="preserve"> </w:t>
            </w:r>
            <w:r w:rsidR="00EB11EC">
              <w:rPr>
                <w:noProof/>
                <w:szCs w:val="20"/>
                <w:lang w:val="en-IE"/>
              </w:rPr>
              <w:t>requirements</w:t>
            </w:r>
            <w:r w:rsidR="00CD611A">
              <w:rPr>
                <w:noProof/>
                <w:szCs w:val="20"/>
                <w:lang w:val="en-IE"/>
              </w:rPr>
              <w:t xml:space="preserve"> on available ESOP types and structures, including the choice of distinct voting rights of employee shares</w:t>
            </w:r>
            <w:r w:rsidR="00CF0BCF">
              <w:rPr>
                <w:noProof/>
                <w:szCs w:val="20"/>
                <w:lang w:val="en-IE"/>
              </w:rPr>
              <w:t xml:space="preserve">. </w:t>
            </w:r>
          </w:p>
          <w:p w14:paraId="49BF63D8" w14:textId="6366A790" w:rsidR="00740CD4" w:rsidRDefault="004B0973" w:rsidP="000B0CBE">
            <w:pPr>
              <w:jc w:val="both"/>
              <w:rPr>
                <w:noProof/>
                <w:lang w:val="en-IE"/>
              </w:rPr>
            </w:pPr>
            <w:r w:rsidRPr="3F78DA1D">
              <w:rPr>
                <w:noProof/>
                <w:lang w:val="en-IE"/>
              </w:rPr>
              <w:t xml:space="preserve">PO5b </w:t>
            </w:r>
            <w:r w:rsidR="00927562" w:rsidRPr="3F78DA1D">
              <w:rPr>
                <w:noProof/>
                <w:lang w:val="en-IE"/>
              </w:rPr>
              <w:t xml:space="preserve">would further improve the ease of doing business as it </w:t>
            </w:r>
            <w:r w:rsidR="00733A42" w:rsidRPr="3F78DA1D">
              <w:rPr>
                <w:noProof/>
                <w:lang w:val="en-IE"/>
              </w:rPr>
              <w:t xml:space="preserve">goes beyond enabling ESOPs </w:t>
            </w:r>
            <w:r w:rsidR="00AD1BDE" w:rsidRPr="3F78DA1D">
              <w:rPr>
                <w:noProof/>
                <w:lang w:val="en-IE"/>
              </w:rPr>
              <w:t>by</w:t>
            </w:r>
            <w:r w:rsidR="00E96A8D" w:rsidRPr="3F78DA1D">
              <w:rPr>
                <w:noProof/>
                <w:lang w:val="en-IE"/>
              </w:rPr>
              <w:t xml:space="preserve"> provid</w:t>
            </w:r>
            <w:r w:rsidR="00AD1BDE" w:rsidRPr="3F78DA1D">
              <w:rPr>
                <w:noProof/>
                <w:lang w:val="en-IE"/>
              </w:rPr>
              <w:t>ing</w:t>
            </w:r>
            <w:r w:rsidR="00E62252" w:rsidRPr="3F78DA1D">
              <w:rPr>
                <w:noProof/>
                <w:lang w:val="en-IE"/>
              </w:rPr>
              <w:t xml:space="preserve"> for</w:t>
            </w:r>
            <w:r w:rsidR="00E96A8D" w:rsidRPr="3F78DA1D">
              <w:rPr>
                <w:noProof/>
                <w:lang w:val="en-IE"/>
              </w:rPr>
              <w:t xml:space="preserve"> a common </w:t>
            </w:r>
            <w:r w:rsidR="00B017E4" w:rsidRPr="3F78DA1D">
              <w:rPr>
                <w:noProof/>
                <w:lang w:val="en-IE"/>
              </w:rPr>
              <w:t>scheme</w:t>
            </w:r>
            <w:r w:rsidR="004D444E" w:rsidRPr="3F78DA1D">
              <w:rPr>
                <w:noProof/>
                <w:lang w:val="en-IE"/>
              </w:rPr>
              <w:t xml:space="preserve"> </w:t>
            </w:r>
            <w:r w:rsidR="00032A1B" w:rsidRPr="3F78DA1D">
              <w:rPr>
                <w:noProof/>
                <w:lang w:val="en-IE"/>
              </w:rPr>
              <w:t>(EU-ESO)</w:t>
            </w:r>
            <w:r w:rsidR="004D444E" w:rsidRPr="3F78DA1D">
              <w:rPr>
                <w:noProof/>
                <w:lang w:val="en-IE"/>
              </w:rPr>
              <w:t xml:space="preserve"> </w:t>
            </w:r>
            <w:r w:rsidR="00E62252" w:rsidRPr="3F78DA1D">
              <w:rPr>
                <w:noProof/>
                <w:lang w:val="en-IE"/>
              </w:rPr>
              <w:t xml:space="preserve">that </w:t>
            </w:r>
            <w:r w:rsidR="00010074" w:rsidRPr="3F78DA1D">
              <w:rPr>
                <w:noProof/>
                <w:lang w:val="en-IE"/>
              </w:rPr>
              <w:t>28</w:t>
            </w:r>
            <w:r w:rsidR="00010074" w:rsidRPr="3F78DA1D">
              <w:rPr>
                <w:noProof/>
                <w:vertAlign w:val="superscript"/>
                <w:lang w:val="en-IE"/>
              </w:rPr>
              <w:t>th</w:t>
            </w:r>
            <w:r w:rsidR="00010074" w:rsidRPr="3F78DA1D">
              <w:rPr>
                <w:noProof/>
                <w:lang w:val="en-IE"/>
              </w:rPr>
              <w:t xml:space="preserve"> regime companies could use across the EU, </w:t>
            </w:r>
            <w:r w:rsidR="00247436" w:rsidRPr="3F78DA1D">
              <w:rPr>
                <w:noProof/>
                <w:lang w:val="en-IE"/>
              </w:rPr>
              <w:t>based on stock options, which according to feedback from</w:t>
            </w:r>
            <w:r w:rsidR="00062C3C" w:rsidRPr="3F78DA1D">
              <w:rPr>
                <w:noProof/>
                <w:lang w:val="en-IE"/>
              </w:rPr>
              <w:t xml:space="preserve"> both companies and investors </w:t>
            </w:r>
            <w:r w:rsidR="006C3E1A" w:rsidRPr="3F78DA1D">
              <w:rPr>
                <w:noProof/>
                <w:lang w:val="en-IE"/>
              </w:rPr>
              <w:t>are</w:t>
            </w:r>
            <w:r w:rsidR="00062C3C" w:rsidRPr="3F78DA1D">
              <w:rPr>
                <w:noProof/>
                <w:lang w:val="en-IE"/>
              </w:rPr>
              <w:t xml:space="preserve"> the most </w:t>
            </w:r>
            <w:r w:rsidR="00C61455" w:rsidRPr="3F78DA1D">
              <w:rPr>
                <w:noProof/>
                <w:lang w:val="en-IE"/>
              </w:rPr>
              <w:t xml:space="preserve">important </w:t>
            </w:r>
            <w:r w:rsidR="00240380" w:rsidRPr="3F78DA1D">
              <w:rPr>
                <w:noProof/>
                <w:lang w:val="en-IE"/>
              </w:rPr>
              <w:t xml:space="preserve">instruments for </w:t>
            </w:r>
            <w:r w:rsidR="6B37F0B3" w:rsidRPr="3F78DA1D">
              <w:rPr>
                <w:noProof/>
                <w:lang w:val="en-IE"/>
              </w:rPr>
              <w:t>s</w:t>
            </w:r>
            <w:r w:rsidR="670CAC75" w:rsidRPr="3F78DA1D">
              <w:rPr>
                <w:noProof/>
                <w:lang w:val="en-IE"/>
              </w:rPr>
              <w:t>tartup</w:t>
            </w:r>
            <w:r w:rsidR="6B37F0B3" w:rsidRPr="3F78DA1D">
              <w:rPr>
                <w:noProof/>
                <w:lang w:val="en-IE"/>
              </w:rPr>
              <w:t>s</w:t>
            </w:r>
            <w:r w:rsidR="00240380" w:rsidRPr="3F78DA1D">
              <w:rPr>
                <w:noProof/>
                <w:lang w:val="en-IE"/>
              </w:rPr>
              <w:t xml:space="preserve"> and </w:t>
            </w:r>
            <w:r w:rsidR="6B37F0B3" w:rsidRPr="64499400">
              <w:rPr>
                <w:noProof/>
                <w:lang w:val="en-IE"/>
              </w:rPr>
              <w:t>s</w:t>
            </w:r>
            <w:r w:rsidR="3A0A1ACB" w:rsidRPr="64499400">
              <w:rPr>
                <w:noProof/>
                <w:lang w:val="en-IE"/>
              </w:rPr>
              <w:t>caleup</w:t>
            </w:r>
            <w:r w:rsidR="6B37F0B3" w:rsidRPr="64499400">
              <w:rPr>
                <w:noProof/>
                <w:lang w:val="en-IE"/>
              </w:rPr>
              <w:t>s</w:t>
            </w:r>
            <w:r w:rsidR="00240380" w:rsidRPr="3F78DA1D">
              <w:rPr>
                <w:noProof/>
                <w:lang w:val="en-IE"/>
              </w:rPr>
              <w:t xml:space="preserve"> to facilitate employee stock ownership</w:t>
            </w:r>
            <w:r w:rsidR="008544F8" w:rsidRPr="3F78DA1D">
              <w:rPr>
                <w:noProof/>
                <w:lang w:val="en-IE"/>
              </w:rPr>
              <w:t>.</w:t>
            </w:r>
            <w:r w:rsidR="00C74D17" w:rsidRPr="3F78DA1D">
              <w:rPr>
                <w:noProof/>
                <w:lang w:val="en-IE"/>
              </w:rPr>
              <w:t xml:space="preserve"> 54% of respondents to the public consultation on the European Innovation Act agreed or strongly agreed that the lack of harmonised conditions for employee stock option schemes across EU Member States prevents innovative companies in the EU from attracting and retaining talent (with only 3% disagreeing or strongly disagreeing).</w:t>
            </w:r>
          </w:p>
          <w:p w14:paraId="4E98EBF1" w14:textId="0A339F8C" w:rsidR="00DF5E69" w:rsidRPr="004A7F9D" w:rsidRDefault="00784D5C" w:rsidP="000B0CBE">
            <w:pPr>
              <w:jc w:val="both"/>
              <w:rPr>
                <w:noProof/>
                <w:szCs w:val="20"/>
                <w:lang w:val="en-IE"/>
              </w:rPr>
            </w:pPr>
            <w:r>
              <w:rPr>
                <w:noProof/>
                <w:szCs w:val="20"/>
                <w:lang w:val="en-IE"/>
              </w:rPr>
              <w:t>PO</w:t>
            </w:r>
            <w:r w:rsidR="00BE740E">
              <w:rPr>
                <w:noProof/>
                <w:szCs w:val="20"/>
                <w:lang w:val="en-IE"/>
              </w:rPr>
              <w:t>5c</w:t>
            </w:r>
            <w:r w:rsidR="006A352A">
              <w:rPr>
                <w:noProof/>
                <w:szCs w:val="20"/>
                <w:lang w:val="en-IE"/>
              </w:rPr>
              <w:t xml:space="preserve"> would achieve th</w:t>
            </w:r>
            <w:r w:rsidR="006B6158">
              <w:rPr>
                <w:noProof/>
                <w:szCs w:val="20"/>
                <w:lang w:val="en-IE"/>
              </w:rPr>
              <w:t xml:space="preserve">e best </w:t>
            </w:r>
            <w:r w:rsidR="00E26541">
              <w:rPr>
                <w:noProof/>
                <w:szCs w:val="20"/>
                <w:lang w:val="en-IE"/>
              </w:rPr>
              <w:t>results</w:t>
            </w:r>
            <w:r w:rsidR="00F16513">
              <w:rPr>
                <w:noProof/>
                <w:szCs w:val="20"/>
                <w:lang w:val="en-IE"/>
              </w:rPr>
              <w:t xml:space="preserve"> as it</w:t>
            </w:r>
            <w:r w:rsidR="002B31C4">
              <w:rPr>
                <w:noProof/>
                <w:szCs w:val="20"/>
                <w:lang w:val="en-IE"/>
              </w:rPr>
              <w:t xml:space="preserve"> also</w:t>
            </w:r>
            <w:r w:rsidR="00E26541">
              <w:rPr>
                <w:noProof/>
                <w:szCs w:val="20"/>
                <w:lang w:val="en-IE"/>
              </w:rPr>
              <w:t xml:space="preserve"> </w:t>
            </w:r>
            <w:r w:rsidR="00032A1B">
              <w:rPr>
                <w:noProof/>
                <w:szCs w:val="20"/>
                <w:lang w:val="en-IE"/>
              </w:rPr>
              <w:t>harmonises the timing of taxation that employees participating in the EU-ESO</w:t>
            </w:r>
            <w:r w:rsidR="00B87431">
              <w:rPr>
                <w:noProof/>
                <w:szCs w:val="20"/>
                <w:lang w:val="en-IE"/>
              </w:rPr>
              <w:t xml:space="preserve"> would face</w:t>
            </w:r>
            <w:r w:rsidR="001146DD">
              <w:rPr>
                <w:noProof/>
                <w:szCs w:val="20"/>
                <w:lang w:val="en-IE"/>
              </w:rPr>
              <w:t xml:space="preserve">. </w:t>
            </w:r>
            <w:r w:rsidR="0075064A">
              <w:rPr>
                <w:noProof/>
                <w:szCs w:val="20"/>
                <w:lang w:val="en-IE"/>
              </w:rPr>
              <w:t>In a workshop with selected companies, a large majority of participants considered that a common employee stock ownership scheme including harmonised taxation would have a strong positive impact on the ability of companies to attract or retain qualified employees, on cross-border scaling of businesses in the EU and on legal certainty</w:t>
            </w:r>
            <w:r w:rsidR="00E201C0">
              <w:rPr>
                <w:noProof/>
                <w:szCs w:val="20"/>
                <w:lang w:val="en-IE"/>
              </w:rPr>
              <w:t xml:space="preserve"> (the latter aspect receiving unanimously the highest possible score of 6)</w:t>
            </w:r>
            <w:r w:rsidR="0075064A">
              <w:rPr>
                <w:noProof/>
                <w:szCs w:val="20"/>
                <w:lang w:val="en-IE"/>
              </w:rPr>
              <w:t xml:space="preserve">. </w:t>
            </w:r>
            <w:r w:rsidR="00F036F6">
              <w:rPr>
                <w:noProof/>
                <w:szCs w:val="20"/>
                <w:lang w:val="en-IE"/>
              </w:rPr>
              <w:t>Specifically</w:t>
            </w:r>
            <w:r w:rsidR="001146DD">
              <w:rPr>
                <w:noProof/>
                <w:szCs w:val="20"/>
                <w:lang w:val="en-IE"/>
              </w:rPr>
              <w:t xml:space="preserve"> </w:t>
            </w:r>
            <w:r w:rsidR="00F036F6">
              <w:rPr>
                <w:noProof/>
                <w:szCs w:val="20"/>
                <w:lang w:val="en-IE"/>
              </w:rPr>
              <w:t>o</w:t>
            </w:r>
            <w:r w:rsidR="00740CD4">
              <w:rPr>
                <w:noProof/>
                <w:szCs w:val="20"/>
                <w:lang w:val="en-IE"/>
              </w:rPr>
              <w:t xml:space="preserve">n taxation, 63% of respondents to the </w:t>
            </w:r>
            <w:r w:rsidR="001146DD">
              <w:rPr>
                <w:noProof/>
                <w:szCs w:val="20"/>
                <w:lang w:val="en-IE"/>
              </w:rPr>
              <w:t>public consultation</w:t>
            </w:r>
            <w:r w:rsidR="00740CD4">
              <w:rPr>
                <w:noProof/>
                <w:szCs w:val="20"/>
                <w:lang w:val="en-IE"/>
              </w:rPr>
              <w:t xml:space="preserve"> on the European Innovation Act agreed or strongly agreed that aligned tax regimes across Member States as regards the </w:t>
            </w:r>
            <w:r w:rsidR="00C375BA">
              <w:rPr>
                <w:noProof/>
                <w:szCs w:val="20"/>
                <w:lang w:val="en-IE"/>
              </w:rPr>
              <w:t xml:space="preserve">timing </w:t>
            </w:r>
            <w:r w:rsidR="00740CD4">
              <w:rPr>
                <w:noProof/>
                <w:szCs w:val="20"/>
                <w:lang w:val="en-IE"/>
              </w:rPr>
              <w:t>and type of taxation for employee stock options would be a positive step towards tackling these challenges (with only 3% disagreeing and no respondent strong</w:t>
            </w:r>
            <w:r w:rsidR="005A0572">
              <w:rPr>
                <w:noProof/>
                <w:szCs w:val="20"/>
                <w:lang w:val="en-IE"/>
              </w:rPr>
              <w:t>l</w:t>
            </w:r>
            <w:r w:rsidR="00740CD4">
              <w:rPr>
                <w:noProof/>
                <w:szCs w:val="20"/>
                <w:lang w:val="en-IE"/>
              </w:rPr>
              <w:t xml:space="preserve">y disagreeing). Specifically on the timing of taxation, </w:t>
            </w:r>
            <w:r w:rsidR="00030A38">
              <w:rPr>
                <w:noProof/>
                <w:szCs w:val="20"/>
                <w:lang w:val="en-IE"/>
              </w:rPr>
              <w:t>a taxation at the point of sale was considered the most effective timing</w:t>
            </w:r>
            <w:r w:rsidR="00740CD4">
              <w:rPr>
                <w:noProof/>
                <w:szCs w:val="20"/>
                <w:lang w:val="en-IE"/>
              </w:rPr>
              <w:t xml:space="preserve"> in a targeted survey for business associations</w:t>
            </w:r>
            <w:r w:rsidR="00B20F49">
              <w:rPr>
                <w:rStyle w:val="FootnoteReference"/>
                <w:noProof/>
                <w:szCs w:val="20"/>
                <w:lang w:val="en-IE"/>
              </w:rPr>
              <w:footnoteReference w:id="40"/>
            </w:r>
            <w:r w:rsidR="00740CD4">
              <w:rPr>
                <w:noProof/>
                <w:szCs w:val="20"/>
                <w:lang w:val="en-IE"/>
              </w:rPr>
              <w:t xml:space="preserve">, with more than 60% of respondents considering </w:t>
            </w:r>
            <w:r w:rsidR="003F7B03">
              <w:rPr>
                <w:noProof/>
                <w:szCs w:val="20"/>
                <w:lang w:val="en-IE"/>
              </w:rPr>
              <w:t>it</w:t>
            </w:r>
            <w:r w:rsidR="00740CD4">
              <w:rPr>
                <w:noProof/>
                <w:szCs w:val="20"/>
                <w:lang w:val="en-IE"/>
              </w:rPr>
              <w:t xml:space="preserve"> highly effective in contributing to attracting and retaining talent.</w:t>
            </w:r>
            <w:r w:rsidR="009354FB">
              <w:rPr>
                <w:noProof/>
                <w:szCs w:val="20"/>
                <w:lang w:val="en-IE"/>
              </w:rPr>
              <w:t xml:space="preserve"> Taxation at the point of </w:t>
            </w:r>
            <w:r w:rsidR="009A0B17">
              <w:rPr>
                <w:noProof/>
                <w:szCs w:val="20"/>
                <w:lang w:val="en-IE"/>
              </w:rPr>
              <w:t>sal</w:t>
            </w:r>
            <w:r w:rsidR="003C5214">
              <w:rPr>
                <w:noProof/>
                <w:szCs w:val="20"/>
                <w:lang w:val="en-IE"/>
              </w:rPr>
              <w:t>e</w:t>
            </w:r>
            <w:r w:rsidR="00354028">
              <w:rPr>
                <w:noProof/>
                <w:szCs w:val="20"/>
                <w:lang w:val="en-IE"/>
              </w:rPr>
              <w:t xml:space="preserve"> would mean that </w:t>
            </w:r>
            <w:r w:rsidR="005559BF">
              <w:rPr>
                <w:noProof/>
                <w:szCs w:val="20"/>
                <w:lang w:val="en-IE"/>
              </w:rPr>
              <w:t xml:space="preserve">an </w:t>
            </w:r>
            <w:r w:rsidR="00746BD0">
              <w:rPr>
                <w:noProof/>
                <w:szCs w:val="20"/>
                <w:lang w:val="en-IE"/>
              </w:rPr>
              <w:t xml:space="preserve">employee </w:t>
            </w:r>
            <w:r w:rsidR="008B539A">
              <w:rPr>
                <w:noProof/>
                <w:szCs w:val="20"/>
                <w:lang w:val="en-IE"/>
              </w:rPr>
              <w:t xml:space="preserve">would not have to pay taxes on </w:t>
            </w:r>
            <w:r w:rsidR="000A01A8">
              <w:rPr>
                <w:noProof/>
                <w:szCs w:val="20"/>
                <w:lang w:val="en-IE"/>
              </w:rPr>
              <w:t xml:space="preserve">stock options when they are granted </w:t>
            </w:r>
            <w:r w:rsidR="00067CA8">
              <w:rPr>
                <w:noProof/>
                <w:szCs w:val="20"/>
                <w:lang w:val="en-IE"/>
              </w:rPr>
              <w:t xml:space="preserve">or exercised but only when </w:t>
            </w:r>
            <w:r w:rsidR="005D03F6">
              <w:rPr>
                <w:noProof/>
                <w:szCs w:val="20"/>
                <w:lang w:val="en-IE"/>
              </w:rPr>
              <w:t xml:space="preserve">stocks received through </w:t>
            </w:r>
            <w:r w:rsidR="005863A2">
              <w:rPr>
                <w:noProof/>
                <w:szCs w:val="20"/>
                <w:lang w:val="en-IE"/>
              </w:rPr>
              <w:t>these</w:t>
            </w:r>
            <w:r w:rsidR="005D03F6">
              <w:rPr>
                <w:noProof/>
                <w:szCs w:val="20"/>
                <w:lang w:val="en-IE"/>
              </w:rPr>
              <w:t xml:space="preserve"> options are sold, </w:t>
            </w:r>
            <w:r w:rsidR="00905AAE">
              <w:rPr>
                <w:noProof/>
                <w:szCs w:val="20"/>
                <w:lang w:val="en-IE"/>
              </w:rPr>
              <w:t>which is the first time</w:t>
            </w:r>
            <w:r w:rsidR="009F0E9B">
              <w:rPr>
                <w:noProof/>
                <w:szCs w:val="20"/>
                <w:lang w:val="en-IE"/>
              </w:rPr>
              <w:t xml:space="preserve"> </w:t>
            </w:r>
            <w:r w:rsidR="005559BF">
              <w:rPr>
                <w:noProof/>
                <w:szCs w:val="20"/>
                <w:lang w:val="en-IE"/>
              </w:rPr>
              <w:t>the employee</w:t>
            </w:r>
            <w:r w:rsidR="009F0E9B">
              <w:rPr>
                <w:noProof/>
                <w:szCs w:val="20"/>
                <w:lang w:val="en-IE"/>
              </w:rPr>
              <w:t xml:space="preserve"> </w:t>
            </w:r>
            <w:r w:rsidR="002D1480">
              <w:rPr>
                <w:noProof/>
                <w:szCs w:val="20"/>
                <w:lang w:val="en-IE"/>
              </w:rPr>
              <w:t xml:space="preserve">would receive </w:t>
            </w:r>
            <w:r w:rsidR="009D0A98">
              <w:rPr>
                <w:noProof/>
                <w:szCs w:val="20"/>
                <w:lang w:val="en-IE"/>
              </w:rPr>
              <w:t xml:space="preserve">cash or liquid proceeds </w:t>
            </w:r>
            <w:r w:rsidR="00F40252">
              <w:rPr>
                <w:noProof/>
                <w:szCs w:val="20"/>
                <w:lang w:val="en-IE"/>
              </w:rPr>
              <w:t>fr</w:t>
            </w:r>
            <w:r w:rsidR="00D04368">
              <w:rPr>
                <w:noProof/>
                <w:szCs w:val="20"/>
                <w:lang w:val="en-IE"/>
              </w:rPr>
              <w:t>om their</w:t>
            </w:r>
            <w:r w:rsidR="009F43C7">
              <w:rPr>
                <w:noProof/>
                <w:szCs w:val="20"/>
                <w:lang w:val="en-IE"/>
              </w:rPr>
              <w:t xml:space="preserve"> options. Taxation at the point of sale</w:t>
            </w:r>
            <w:r w:rsidR="00334932">
              <w:rPr>
                <w:noProof/>
                <w:szCs w:val="20"/>
                <w:lang w:val="en-IE"/>
              </w:rPr>
              <w:t xml:space="preserve"> therefore avoid</w:t>
            </w:r>
            <w:r w:rsidR="00307B47">
              <w:rPr>
                <w:noProof/>
                <w:szCs w:val="20"/>
                <w:lang w:val="en-IE"/>
              </w:rPr>
              <w:t>s</w:t>
            </w:r>
            <w:r w:rsidR="00334932">
              <w:rPr>
                <w:noProof/>
                <w:szCs w:val="20"/>
                <w:lang w:val="en-IE"/>
              </w:rPr>
              <w:t xml:space="preserve"> a ‘dry tax charge’</w:t>
            </w:r>
            <w:r w:rsidR="00785CCB">
              <w:rPr>
                <w:noProof/>
                <w:szCs w:val="20"/>
                <w:lang w:val="en-IE"/>
              </w:rPr>
              <w:t xml:space="preserve"> on employees</w:t>
            </w:r>
            <w:r w:rsidR="00B30C01">
              <w:rPr>
                <w:noProof/>
                <w:szCs w:val="20"/>
                <w:lang w:val="en-IE"/>
              </w:rPr>
              <w:t>, i.e.</w:t>
            </w:r>
            <w:r w:rsidR="00231D4E">
              <w:rPr>
                <w:noProof/>
                <w:szCs w:val="20"/>
                <w:lang w:val="en-IE"/>
              </w:rPr>
              <w:t>,</w:t>
            </w:r>
            <w:r w:rsidR="00B30C01">
              <w:rPr>
                <w:noProof/>
                <w:szCs w:val="20"/>
                <w:lang w:val="en-IE"/>
              </w:rPr>
              <w:t xml:space="preserve"> the </w:t>
            </w:r>
            <w:r w:rsidR="00612D17">
              <w:rPr>
                <w:noProof/>
                <w:szCs w:val="20"/>
                <w:lang w:val="en-IE"/>
              </w:rPr>
              <w:t>taxation of gains</w:t>
            </w:r>
            <w:r w:rsidR="004F273F">
              <w:rPr>
                <w:noProof/>
                <w:szCs w:val="20"/>
                <w:lang w:val="en-IE"/>
              </w:rPr>
              <w:t xml:space="preserve"> before </w:t>
            </w:r>
            <w:r w:rsidR="00E545AE">
              <w:rPr>
                <w:noProof/>
                <w:szCs w:val="20"/>
                <w:lang w:val="en-IE"/>
              </w:rPr>
              <w:t>a</w:t>
            </w:r>
            <w:r w:rsidR="00612D17">
              <w:rPr>
                <w:noProof/>
                <w:szCs w:val="20"/>
                <w:lang w:val="en-IE"/>
              </w:rPr>
              <w:t xml:space="preserve"> taxpayer</w:t>
            </w:r>
            <w:r w:rsidR="00E545AE">
              <w:rPr>
                <w:noProof/>
                <w:szCs w:val="20"/>
                <w:lang w:val="en-IE"/>
              </w:rPr>
              <w:t xml:space="preserve"> </w:t>
            </w:r>
            <w:r w:rsidR="00BC3212">
              <w:rPr>
                <w:noProof/>
                <w:szCs w:val="20"/>
                <w:lang w:val="en-IE"/>
              </w:rPr>
              <w:t>has</w:t>
            </w:r>
            <w:r w:rsidR="00E545AE">
              <w:rPr>
                <w:noProof/>
                <w:szCs w:val="20"/>
                <w:lang w:val="en-IE"/>
              </w:rPr>
              <w:t xml:space="preserve"> </w:t>
            </w:r>
            <w:r w:rsidR="001934B6">
              <w:rPr>
                <w:noProof/>
                <w:szCs w:val="20"/>
                <w:lang w:val="en-IE"/>
              </w:rPr>
              <w:t>transform</w:t>
            </w:r>
            <w:r w:rsidR="00BC3212">
              <w:rPr>
                <w:noProof/>
                <w:szCs w:val="20"/>
                <w:lang w:val="en-IE"/>
              </w:rPr>
              <w:t>ed</w:t>
            </w:r>
            <w:r w:rsidR="001934B6">
              <w:rPr>
                <w:noProof/>
                <w:szCs w:val="20"/>
                <w:lang w:val="en-IE"/>
              </w:rPr>
              <w:t xml:space="preserve"> these gains into liquid proceeds, making </w:t>
            </w:r>
            <w:r w:rsidR="007A5E3C">
              <w:rPr>
                <w:noProof/>
                <w:szCs w:val="20"/>
                <w:lang w:val="en-IE"/>
              </w:rPr>
              <w:t xml:space="preserve">employee stock options significantly more </w:t>
            </w:r>
            <w:r w:rsidR="00FE4009">
              <w:rPr>
                <w:noProof/>
                <w:szCs w:val="20"/>
                <w:lang w:val="en-IE"/>
              </w:rPr>
              <w:t>attractive and improving their uptake by employees</w:t>
            </w:r>
            <w:r w:rsidR="005863A2">
              <w:rPr>
                <w:noProof/>
                <w:szCs w:val="20"/>
                <w:lang w:val="en-IE"/>
              </w:rPr>
              <w:t>.</w:t>
            </w:r>
            <w:r w:rsidR="00FC7B74">
              <w:rPr>
                <w:noProof/>
                <w:szCs w:val="20"/>
                <w:lang w:val="en-IE"/>
              </w:rPr>
              <w:t xml:space="preserve"> </w:t>
            </w:r>
          </w:p>
        </w:tc>
      </w:tr>
      <w:tr w:rsidR="00DF5E69" w:rsidRPr="00DC6DD8" w14:paraId="4CCF84E8" w14:textId="77777777" w:rsidTr="6F00936E">
        <w:trPr>
          <w:trHeight w:val="558"/>
        </w:trPr>
        <w:tc>
          <w:tcPr>
            <w:tcW w:w="2122" w:type="dxa"/>
            <w:vAlign w:val="center"/>
          </w:tcPr>
          <w:p w14:paraId="34C26219" w14:textId="77777777" w:rsidR="00DF5E69" w:rsidRDefault="00DF5E69" w:rsidP="00DF5E69">
            <w:pPr>
              <w:rPr>
                <w:b/>
                <w:noProof/>
                <w:szCs w:val="20"/>
              </w:rPr>
            </w:pPr>
            <w:r w:rsidRPr="00154739">
              <w:rPr>
                <w:b/>
                <w:noProof/>
                <w:szCs w:val="20"/>
              </w:rPr>
              <w:t>Ease of attracting investment</w:t>
            </w:r>
          </w:p>
        </w:tc>
        <w:tc>
          <w:tcPr>
            <w:tcW w:w="1508" w:type="dxa"/>
          </w:tcPr>
          <w:p w14:paraId="203A39F7" w14:textId="77777777" w:rsidR="00DF5E69" w:rsidRPr="00170FBB" w:rsidRDefault="00DF5E69" w:rsidP="00DF5E69">
            <w:pPr>
              <w:rPr>
                <w:noProof/>
                <w:sz w:val="18"/>
                <w:szCs w:val="18"/>
              </w:rPr>
            </w:pPr>
            <w:r w:rsidRPr="00170FBB">
              <w:rPr>
                <w:noProof/>
                <w:sz w:val="18"/>
                <w:szCs w:val="18"/>
              </w:rPr>
              <w:t>Score 0-5</w:t>
            </w:r>
          </w:p>
          <w:p w14:paraId="74CE8D3F" w14:textId="77777777" w:rsidR="00DF5E69" w:rsidRPr="00170FBB" w:rsidRDefault="00DF5E69" w:rsidP="00DF5E69">
            <w:pPr>
              <w:rPr>
                <w:noProof/>
                <w:sz w:val="18"/>
                <w:szCs w:val="18"/>
              </w:rPr>
            </w:pPr>
          </w:p>
          <w:p w14:paraId="330DA5E5" w14:textId="77777777" w:rsidR="00DF5E69" w:rsidRPr="00170FBB" w:rsidRDefault="00DF5E69" w:rsidP="00DF5E69">
            <w:pPr>
              <w:rPr>
                <w:noProof/>
                <w:sz w:val="18"/>
                <w:szCs w:val="18"/>
              </w:rPr>
            </w:pPr>
          </w:p>
        </w:tc>
        <w:tc>
          <w:tcPr>
            <w:tcW w:w="1042" w:type="dxa"/>
          </w:tcPr>
          <w:p w14:paraId="2DA20D59" w14:textId="4F9C6037" w:rsidR="00DF5E69" w:rsidRPr="006336C2" w:rsidRDefault="00E0742A" w:rsidP="006336C2">
            <w:pPr>
              <w:jc w:val="center"/>
              <w:rPr>
                <w:noProof/>
                <w:szCs w:val="20"/>
              </w:rPr>
            </w:pPr>
            <w:r w:rsidRPr="006336C2">
              <w:rPr>
                <w:noProof/>
                <w:szCs w:val="20"/>
              </w:rPr>
              <w:t>1</w:t>
            </w:r>
          </w:p>
        </w:tc>
        <w:tc>
          <w:tcPr>
            <w:tcW w:w="996" w:type="dxa"/>
          </w:tcPr>
          <w:p w14:paraId="3CE6C9ED" w14:textId="2AC64B4C" w:rsidR="00DF5E69" w:rsidRPr="006336C2" w:rsidRDefault="00E0742A" w:rsidP="006336C2">
            <w:pPr>
              <w:jc w:val="center"/>
              <w:rPr>
                <w:noProof/>
                <w:szCs w:val="20"/>
              </w:rPr>
            </w:pPr>
            <w:r w:rsidRPr="006336C2">
              <w:rPr>
                <w:noProof/>
                <w:szCs w:val="20"/>
              </w:rPr>
              <w:t>2</w:t>
            </w:r>
          </w:p>
        </w:tc>
        <w:tc>
          <w:tcPr>
            <w:tcW w:w="994" w:type="dxa"/>
          </w:tcPr>
          <w:p w14:paraId="7CDD6495" w14:textId="370716B2" w:rsidR="00DF5E69" w:rsidRPr="006336C2" w:rsidRDefault="00601E61" w:rsidP="006336C2">
            <w:pPr>
              <w:jc w:val="center"/>
              <w:rPr>
                <w:noProof/>
                <w:szCs w:val="20"/>
              </w:rPr>
            </w:pPr>
            <w:r w:rsidRPr="006336C2">
              <w:rPr>
                <w:noProof/>
                <w:szCs w:val="20"/>
              </w:rPr>
              <w:t>4</w:t>
            </w:r>
          </w:p>
        </w:tc>
        <w:tc>
          <w:tcPr>
            <w:tcW w:w="7508" w:type="dxa"/>
          </w:tcPr>
          <w:p w14:paraId="122D6254" w14:textId="408CD9F2" w:rsidR="00A6050F" w:rsidRDefault="00943AB8" w:rsidP="000B0CBE">
            <w:pPr>
              <w:jc w:val="both"/>
              <w:rPr>
                <w:noProof/>
                <w:lang w:val="en-IE"/>
              </w:rPr>
            </w:pPr>
            <w:r>
              <w:rPr>
                <w:noProof/>
              </w:rPr>
              <w:t>All three policy options also impact the ease of attracting investment</w:t>
            </w:r>
            <w:r w:rsidR="00C7511C">
              <w:rPr>
                <w:noProof/>
              </w:rPr>
              <w:t xml:space="preserve">. </w:t>
            </w:r>
            <w:r w:rsidR="00740CD4" w:rsidRPr="3F78DA1D">
              <w:rPr>
                <w:noProof/>
                <w:lang w:val="en-IE"/>
              </w:rPr>
              <w:t xml:space="preserve">Feedback from </w:t>
            </w:r>
            <w:r w:rsidR="534FC393" w:rsidRPr="3F78DA1D">
              <w:rPr>
                <w:noProof/>
                <w:lang w:val="en-IE"/>
              </w:rPr>
              <w:t>s</w:t>
            </w:r>
            <w:r w:rsidR="2AA5F8AD" w:rsidRPr="3F78DA1D">
              <w:rPr>
                <w:noProof/>
                <w:lang w:val="en-IE"/>
              </w:rPr>
              <w:t>tartup</w:t>
            </w:r>
            <w:r w:rsidR="534FC393" w:rsidRPr="3F78DA1D">
              <w:rPr>
                <w:noProof/>
                <w:lang w:val="en-IE"/>
              </w:rPr>
              <w:t>s</w:t>
            </w:r>
            <w:r w:rsidR="00740CD4" w:rsidRPr="3F78DA1D">
              <w:rPr>
                <w:noProof/>
                <w:lang w:val="en-IE"/>
              </w:rPr>
              <w:t xml:space="preserve"> and </w:t>
            </w:r>
            <w:r w:rsidR="001578A2" w:rsidRPr="3F78DA1D">
              <w:rPr>
                <w:noProof/>
                <w:lang w:val="en-IE"/>
              </w:rPr>
              <w:t xml:space="preserve">venture capital investors </w:t>
            </w:r>
            <w:r w:rsidR="008E5020" w:rsidRPr="3F78DA1D">
              <w:rPr>
                <w:noProof/>
                <w:lang w:val="en-IE"/>
              </w:rPr>
              <w:t xml:space="preserve">alike </w:t>
            </w:r>
            <w:r w:rsidR="00A01713" w:rsidRPr="3F78DA1D">
              <w:rPr>
                <w:noProof/>
                <w:lang w:val="en-IE"/>
              </w:rPr>
              <w:t>is</w:t>
            </w:r>
            <w:r w:rsidR="00740CD4" w:rsidRPr="3F78DA1D">
              <w:rPr>
                <w:noProof/>
                <w:lang w:val="en-IE"/>
              </w:rPr>
              <w:t xml:space="preserve"> that employee stock ownership </w:t>
            </w:r>
            <w:r w:rsidR="0025349E" w:rsidRPr="3F78DA1D">
              <w:rPr>
                <w:noProof/>
                <w:lang w:val="en-IE"/>
              </w:rPr>
              <w:t>schemes</w:t>
            </w:r>
            <w:r w:rsidR="00740CD4" w:rsidRPr="3F78DA1D">
              <w:rPr>
                <w:noProof/>
                <w:lang w:val="en-IE"/>
              </w:rPr>
              <w:t xml:space="preserve"> </w:t>
            </w:r>
            <w:r w:rsidR="0025349E" w:rsidRPr="3F78DA1D">
              <w:rPr>
                <w:noProof/>
                <w:lang w:val="en-IE"/>
              </w:rPr>
              <w:t>are</w:t>
            </w:r>
            <w:r w:rsidR="00740CD4" w:rsidRPr="3F78DA1D">
              <w:rPr>
                <w:noProof/>
                <w:lang w:val="en-IE"/>
              </w:rPr>
              <w:t xml:space="preserve"> a crucial indicator for investors for assessing a company’s ability to attract and retain talent, which is typically the most </w:t>
            </w:r>
            <w:r w:rsidR="003D6085" w:rsidRPr="3F78DA1D">
              <w:rPr>
                <w:noProof/>
                <w:lang w:val="en-IE"/>
              </w:rPr>
              <w:t>or among the most</w:t>
            </w:r>
            <w:r w:rsidR="00740CD4" w:rsidRPr="3F78DA1D">
              <w:rPr>
                <w:noProof/>
                <w:lang w:val="en-IE"/>
              </w:rPr>
              <w:t xml:space="preserve"> important asset</w:t>
            </w:r>
            <w:r w:rsidR="0003330F" w:rsidRPr="3F78DA1D">
              <w:rPr>
                <w:noProof/>
                <w:lang w:val="en-IE"/>
              </w:rPr>
              <w:t>s</w:t>
            </w:r>
            <w:r w:rsidR="00740CD4" w:rsidRPr="3F78DA1D">
              <w:rPr>
                <w:noProof/>
                <w:lang w:val="en-IE"/>
              </w:rPr>
              <w:t xml:space="preserve"> of </w:t>
            </w:r>
            <w:r w:rsidR="002F3413" w:rsidRPr="3F78DA1D">
              <w:rPr>
                <w:noProof/>
                <w:lang w:val="en-IE"/>
              </w:rPr>
              <w:t>young innovative businesses</w:t>
            </w:r>
            <w:r w:rsidR="00740CD4" w:rsidRPr="3F78DA1D">
              <w:rPr>
                <w:noProof/>
                <w:lang w:val="en-IE"/>
              </w:rPr>
              <w:t>.</w:t>
            </w:r>
            <w:r w:rsidR="00F16CE6" w:rsidRPr="3F78DA1D">
              <w:rPr>
                <w:noProof/>
                <w:lang w:val="en-IE"/>
              </w:rPr>
              <w:t xml:space="preserve"> Furthermore, </w:t>
            </w:r>
            <w:r w:rsidR="00321732" w:rsidRPr="3F78DA1D">
              <w:rPr>
                <w:noProof/>
                <w:lang w:val="en-IE"/>
              </w:rPr>
              <w:t xml:space="preserve">employee stock ownership schemes are </w:t>
            </w:r>
            <w:r w:rsidR="005E1CF1" w:rsidRPr="3F78DA1D">
              <w:rPr>
                <w:noProof/>
                <w:lang w:val="en-IE"/>
              </w:rPr>
              <w:t>by their very</w:t>
            </w:r>
            <w:r w:rsidR="00A11934" w:rsidRPr="3F78DA1D">
              <w:rPr>
                <w:noProof/>
                <w:lang w:val="en-IE"/>
              </w:rPr>
              <w:t xml:space="preserve"> nature investment tools as they </w:t>
            </w:r>
            <w:r w:rsidR="006862F5" w:rsidRPr="3F78DA1D">
              <w:rPr>
                <w:noProof/>
                <w:lang w:val="en-IE"/>
              </w:rPr>
              <w:t>incentivise employees to become</w:t>
            </w:r>
            <w:r w:rsidR="001656D8" w:rsidRPr="3F78DA1D">
              <w:rPr>
                <w:noProof/>
                <w:lang w:val="en-IE"/>
              </w:rPr>
              <w:t xml:space="preserve"> shareholders.</w:t>
            </w:r>
          </w:p>
          <w:p w14:paraId="405FF3D2" w14:textId="38C53413" w:rsidR="00067817" w:rsidRDefault="001C4332" w:rsidP="000B0CBE">
            <w:pPr>
              <w:jc w:val="both"/>
              <w:rPr>
                <w:noProof/>
                <w:szCs w:val="20"/>
                <w:lang w:val="en-IE"/>
              </w:rPr>
            </w:pPr>
            <w:r>
              <w:rPr>
                <w:noProof/>
                <w:szCs w:val="20"/>
                <w:lang w:val="en-IE"/>
              </w:rPr>
              <w:t>PO5a</w:t>
            </w:r>
            <w:r w:rsidR="00ED4015">
              <w:rPr>
                <w:noProof/>
                <w:szCs w:val="20"/>
                <w:lang w:val="en-IE"/>
              </w:rPr>
              <w:t xml:space="preserve"> </w:t>
            </w:r>
            <w:r w:rsidR="00BA14BA">
              <w:rPr>
                <w:noProof/>
                <w:szCs w:val="20"/>
                <w:lang w:val="en-IE"/>
              </w:rPr>
              <w:t>would</w:t>
            </w:r>
            <w:r w:rsidR="00E0742A">
              <w:rPr>
                <w:noProof/>
                <w:szCs w:val="20"/>
                <w:lang w:val="en-IE"/>
              </w:rPr>
              <w:t xml:space="preserve"> </w:t>
            </w:r>
            <w:r w:rsidR="00BB3D2A">
              <w:rPr>
                <w:noProof/>
                <w:szCs w:val="20"/>
                <w:lang w:val="en-IE"/>
              </w:rPr>
              <w:t xml:space="preserve">help companies to a moderate extent in </w:t>
            </w:r>
            <w:r w:rsidR="00F14471">
              <w:rPr>
                <w:noProof/>
                <w:szCs w:val="20"/>
                <w:lang w:val="en-IE"/>
              </w:rPr>
              <w:t xml:space="preserve">offering </w:t>
            </w:r>
            <w:r w:rsidR="002642AC">
              <w:rPr>
                <w:noProof/>
                <w:szCs w:val="20"/>
                <w:lang w:val="en-IE"/>
              </w:rPr>
              <w:t xml:space="preserve">attractive </w:t>
            </w:r>
            <w:r w:rsidR="00040CFF">
              <w:rPr>
                <w:noProof/>
                <w:szCs w:val="20"/>
                <w:lang w:val="en-IE"/>
              </w:rPr>
              <w:t xml:space="preserve">ESOPs as </w:t>
            </w:r>
            <w:r w:rsidR="002C12D5">
              <w:rPr>
                <w:noProof/>
                <w:szCs w:val="20"/>
                <w:lang w:val="en-IE"/>
              </w:rPr>
              <w:t xml:space="preserve">it </w:t>
            </w:r>
            <w:r w:rsidR="00FA532D">
              <w:rPr>
                <w:noProof/>
                <w:szCs w:val="20"/>
                <w:lang w:val="en-IE"/>
              </w:rPr>
              <w:t>remove</w:t>
            </w:r>
            <w:r w:rsidR="00590164">
              <w:rPr>
                <w:noProof/>
                <w:szCs w:val="20"/>
                <w:lang w:val="en-IE"/>
              </w:rPr>
              <w:t>s</w:t>
            </w:r>
            <w:r w:rsidR="004E2E30">
              <w:rPr>
                <w:noProof/>
                <w:szCs w:val="20"/>
                <w:lang w:val="en-IE"/>
              </w:rPr>
              <w:t xml:space="preserve"> </w:t>
            </w:r>
            <w:r w:rsidR="002A4721">
              <w:rPr>
                <w:noProof/>
                <w:szCs w:val="20"/>
                <w:lang w:val="en-IE"/>
              </w:rPr>
              <w:t>existing</w:t>
            </w:r>
            <w:r w:rsidR="00FA532D">
              <w:rPr>
                <w:noProof/>
                <w:szCs w:val="20"/>
                <w:lang w:val="en-IE"/>
              </w:rPr>
              <w:t xml:space="preserve"> restrictions on the type and structure</w:t>
            </w:r>
            <w:r w:rsidR="00590164">
              <w:rPr>
                <w:noProof/>
                <w:szCs w:val="20"/>
                <w:lang w:val="en-IE"/>
              </w:rPr>
              <w:t xml:space="preserve">, including voting rights </w:t>
            </w:r>
            <w:r w:rsidR="00C41390">
              <w:rPr>
                <w:noProof/>
                <w:szCs w:val="20"/>
                <w:lang w:val="en-IE"/>
              </w:rPr>
              <w:t>of employee shares,</w:t>
            </w:r>
            <w:r w:rsidR="00FA532D">
              <w:rPr>
                <w:noProof/>
                <w:szCs w:val="20"/>
                <w:lang w:val="en-IE"/>
              </w:rPr>
              <w:t xml:space="preserve"> in</w:t>
            </w:r>
            <w:r w:rsidR="005A0576">
              <w:rPr>
                <w:noProof/>
                <w:szCs w:val="20"/>
                <w:lang w:val="en-IE"/>
              </w:rPr>
              <w:t xml:space="preserve"> some Member States. PO</w:t>
            </w:r>
            <w:r w:rsidR="00CE1420">
              <w:rPr>
                <w:noProof/>
                <w:szCs w:val="20"/>
                <w:lang w:val="en-IE"/>
              </w:rPr>
              <w:t>5b</w:t>
            </w:r>
            <w:r w:rsidR="00A35814">
              <w:rPr>
                <w:noProof/>
                <w:szCs w:val="20"/>
                <w:lang w:val="en-IE"/>
              </w:rPr>
              <w:t xml:space="preserve"> would have a </w:t>
            </w:r>
            <w:r w:rsidR="00146067">
              <w:rPr>
                <w:noProof/>
                <w:szCs w:val="20"/>
                <w:lang w:val="en-IE"/>
              </w:rPr>
              <w:t>stronger</w:t>
            </w:r>
            <w:r w:rsidR="00930962">
              <w:rPr>
                <w:noProof/>
                <w:szCs w:val="20"/>
                <w:lang w:val="en-IE"/>
              </w:rPr>
              <w:t xml:space="preserve"> positive effect in the sense that the EU-ESO would provide a </w:t>
            </w:r>
            <w:r w:rsidR="00544BF1">
              <w:rPr>
                <w:noProof/>
                <w:szCs w:val="20"/>
                <w:lang w:val="en-IE"/>
              </w:rPr>
              <w:t xml:space="preserve">common </w:t>
            </w:r>
            <w:r w:rsidR="006D5AC1">
              <w:rPr>
                <w:noProof/>
                <w:szCs w:val="20"/>
                <w:lang w:val="en-IE"/>
              </w:rPr>
              <w:t xml:space="preserve">ESOP </w:t>
            </w:r>
            <w:r w:rsidR="00544BF1">
              <w:rPr>
                <w:noProof/>
                <w:szCs w:val="20"/>
                <w:lang w:val="en-IE"/>
              </w:rPr>
              <w:t xml:space="preserve">that is recognisable to </w:t>
            </w:r>
            <w:r w:rsidR="00A400F0">
              <w:rPr>
                <w:noProof/>
                <w:szCs w:val="20"/>
                <w:lang w:val="en-IE"/>
              </w:rPr>
              <w:t xml:space="preserve">employees and investors alike, </w:t>
            </w:r>
            <w:r w:rsidR="0079517A">
              <w:rPr>
                <w:noProof/>
                <w:szCs w:val="20"/>
                <w:lang w:val="en-IE"/>
              </w:rPr>
              <w:t>im</w:t>
            </w:r>
            <w:r w:rsidR="0091037D">
              <w:rPr>
                <w:noProof/>
                <w:szCs w:val="20"/>
                <w:lang w:val="en-IE"/>
              </w:rPr>
              <w:t xml:space="preserve">proving the </w:t>
            </w:r>
            <w:r w:rsidR="004637C2">
              <w:rPr>
                <w:noProof/>
                <w:szCs w:val="20"/>
                <w:lang w:val="en-IE"/>
              </w:rPr>
              <w:t xml:space="preserve">perceived value of </w:t>
            </w:r>
            <w:r w:rsidR="00DE31C7">
              <w:rPr>
                <w:noProof/>
                <w:szCs w:val="20"/>
                <w:lang w:val="en-IE"/>
              </w:rPr>
              <w:t>stock options</w:t>
            </w:r>
            <w:r w:rsidR="004637C2">
              <w:rPr>
                <w:noProof/>
                <w:szCs w:val="20"/>
                <w:lang w:val="en-IE"/>
              </w:rPr>
              <w:t xml:space="preserve"> </w:t>
            </w:r>
            <w:r w:rsidR="00DF5090">
              <w:rPr>
                <w:noProof/>
                <w:szCs w:val="20"/>
                <w:lang w:val="en-IE"/>
              </w:rPr>
              <w:t>by employees</w:t>
            </w:r>
            <w:r w:rsidR="00D47D34">
              <w:rPr>
                <w:noProof/>
                <w:szCs w:val="20"/>
                <w:lang w:val="en-IE"/>
              </w:rPr>
              <w:t xml:space="preserve"> and</w:t>
            </w:r>
            <w:r w:rsidR="008F7D88">
              <w:rPr>
                <w:noProof/>
                <w:szCs w:val="20"/>
                <w:lang w:val="en-IE"/>
              </w:rPr>
              <w:t xml:space="preserve"> </w:t>
            </w:r>
            <w:r w:rsidR="00DC11EE">
              <w:rPr>
                <w:noProof/>
                <w:szCs w:val="20"/>
                <w:lang w:val="en-IE"/>
              </w:rPr>
              <w:t xml:space="preserve">the </w:t>
            </w:r>
            <w:r w:rsidR="001903F0">
              <w:rPr>
                <w:noProof/>
                <w:szCs w:val="20"/>
                <w:lang w:val="en-IE"/>
              </w:rPr>
              <w:t xml:space="preserve">possibility for </w:t>
            </w:r>
            <w:r w:rsidR="000530A6">
              <w:rPr>
                <w:noProof/>
                <w:szCs w:val="20"/>
                <w:lang w:val="en-IE"/>
              </w:rPr>
              <w:t>companies to signal their ability to attract and retain talent to investors.</w:t>
            </w:r>
            <w:r w:rsidR="0016012A">
              <w:rPr>
                <w:noProof/>
                <w:szCs w:val="20"/>
                <w:lang w:val="en-IE"/>
              </w:rPr>
              <w:t xml:space="preserve"> </w:t>
            </w:r>
          </w:p>
          <w:p w14:paraId="5468A003" w14:textId="5B488E22" w:rsidR="00DF5E69" w:rsidRPr="00DC6DD8" w:rsidRDefault="006B79E2" w:rsidP="000B0CBE">
            <w:pPr>
              <w:jc w:val="both"/>
              <w:rPr>
                <w:noProof/>
              </w:rPr>
            </w:pPr>
            <w:r w:rsidRPr="61E57A43">
              <w:rPr>
                <w:noProof/>
              </w:rPr>
              <w:t xml:space="preserve">PO5c would </w:t>
            </w:r>
            <w:r w:rsidR="0093713D" w:rsidRPr="61E57A43">
              <w:rPr>
                <w:noProof/>
              </w:rPr>
              <w:t>improve</w:t>
            </w:r>
            <w:r w:rsidR="00D47D34" w:rsidRPr="61E57A43">
              <w:rPr>
                <w:noProof/>
              </w:rPr>
              <w:t xml:space="preserve"> the</w:t>
            </w:r>
            <w:r w:rsidR="00FA532D" w:rsidRPr="61E57A43">
              <w:rPr>
                <w:noProof/>
              </w:rPr>
              <w:t xml:space="preserve"> </w:t>
            </w:r>
            <w:r w:rsidR="0093713D" w:rsidRPr="61E57A43">
              <w:rPr>
                <w:noProof/>
              </w:rPr>
              <w:t xml:space="preserve">ease of attracting investment in the </w:t>
            </w:r>
            <w:r w:rsidR="00B62F2A" w:rsidRPr="61E57A43">
              <w:rPr>
                <w:noProof/>
              </w:rPr>
              <w:t>strongest</w:t>
            </w:r>
            <w:r w:rsidR="00EC4574" w:rsidRPr="61E57A43">
              <w:rPr>
                <w:noProof/>
              </w:rPr>
              <w:t xml:space="preserve"> way. </w:t>
            </w:r>
            <w:r w:rsidR="003D4B6A" w:rsidRPr="61E57A43">
              <w:rPr>
                <w:noProof/>
              </w:rPr>
              <w:t xml:space="preserve">Avoidance of ‘dry tax charges’ </w:t>
            </w:r>
            <w:r w:rsidR="003C3B76" w:rsidRPr="61E57A43">
              <w:rPr>
                <w:noProof/>
              </w:rPr>
              <w:t xml:space="preserve">due to </w:t>
            </w:r>
            <w:r w:rsidR="00EE455E" w:rsidRPr="61E57A43">
              <w:rPr>
                <w:noProof/>
              </w:rPr>
              <w:t>a</w:t>
            </w:r>
            <w:r w:rsidR="003C3B76" w:rsidRPr="61E57A43">
              <w:rPr>
                <w:noProof/>
              </w:rPr>
              <w:t xml:space="preserve"> timing of taxation at the point of sale would </w:t>
            </w:r>
            <w:r w:rsidR="00BC671C" w:rsidRPr="61E57A43">
              <w:rPr>
                <w:noProof/>
              </w:rPr>
              <w:t xml:space="preserve">make it </w:t>
            </w:r>
            <w:r w:rsidR="00AD3BA8" w:rsidRPr="61E57A43">
              <w:rPr>
                <w:noProof/>
              </w:rPr>
              <w:t>significantly more attractive</w:t>
            </w:r>
            <w:r w:rsidR="00EE455E" w:rsidRPr="61E57A43">
              <w:rPr>
                <w:noProof/>
              </w:rPr>
              <w:t xml:space="preserve"> </w:t>
            </w:r>
            <w:r w:rsidR="00D2672B" w:rsidRPr="61E57A43">
              <w:rPr>
                <w:noProof/>
              </w:rPr>
              <w:t>for</w:t>
            </w:r>
            <w:r w:rsidR="00EE455E" w:rsidRPr="61E57A43">
              <w:rPr>
                <w:noProof/>
              </w:rPr>
              <w:t xml:space="preserve"> employees to actually exercise options they have been granted </w:t>
            </w:r>
            <w:r w:rsidR="00034C09" w:rsidRPr="61E57A43">
              <w:rPr>
                <w:noProof/>
              </w:rPr>
              <w:t>and the</w:t>
            </w:r>
            <w:r w:rsidR="00D2672B" w:rsidRPr="61E57A43">
              <w:rPr>
                <w:noProof/>
              </w:rPr>
              <w:t xml:space="preserve"> </w:t>
            </w:r>
            <w:r w:rsidR="000C214A" w:rsidRPr="61E57A43">
              <w:rPr>
                <w:noProof/>
              </w:rPr>
              <w:t xml:space="preserve">harmonised timing would ensure that </w:t>
            </w:r>
            <w:r w:rsidR="001901BE" w:rsidRPr="61E57A43">
              <w:rPr>
                <w:noProof/>
              </w:rPr>
              <w:t xml:space="preserve">such </w:t>
            </w:r>
            <w:r w:rsidR="003C1093">
              <w:rPr>
                <w:noProof/>
              </w:rPr>
              <w:t xml:space="preserve">dry </w:t>
            </w:r>
            <w:r w:rsidR="001901BE" w:rsidRPr="61E57A43">
              <w:rPr>
                <w:noProof/>
              </w:rPr>
              <w:t>tax charges are avoided in all Member States</w:t>
            </w:r>
            <w:r w:rsidR="00541935" w:rsidRPr="61E57A43">
              <w:rPr>
                <w:noProof/>
              </w:rPr>
              <w:t>, assuring i</w:t>
            </w:r>
            <w:r w:rsidR="00ED01AE" w:rsidRPr="61E57A43">
              <w:rPr>
                <w:noProof/>
              </w:rPr>
              <w:t xml:space="preserve">nvestors </w:t>
            </w:r>
            <w:r w:rsidR="00541935" w:rsidRPr="61E57A43">
              <w:rPr>
                <w:noProof/>
              </w:rPr>
              <w:t xml:space="preserve">that </w:t>
            </w:r>
            <w:r w:rsidR="00B03D53" w:rsidRPr="61E57A43">
              <w:rPr>
                <w:noProof/>
              </w:rPr>
              <w:t xml:space="preserve">a company </w:t>
            </w:r>
            <w:r w:rsidR="00FF6001" w:rsidRPr="61E57A43">
              <w:rPr>
                <w:noProof/>
              </w:rPr>
              <w:t xml:space="preserve">using the EU-ESO has a mechanism in place that </w:t>
            </w:r>
            <w:r w:rsidR="00405174" w:rsidRPr="61E57A43">
              <w:rPr>
                <w:noProof/>
              </w:rPr>
              <w:t>facilitates re</w:t>
            </w:r>
            <w:r w:rsidR="00A861A7" w:rsidRPr="61E57A43">
              <w:rPr>
                <w:noProof/>
              </w:rPr>
              <w:t>tain</w:t>
            </w:r>
            <w:r w:rsidR="00405174" w:rsidRPr="61E57A43">
              <w:rPr>
                <w:noProof/>
              </w:rPr>
              <w:t>ing key</w:t>
            </w:r>
            <w:r w:rsidR="00A861A7" w:rsidRPr="61E57A43">
              <w:rPr>
                <w:noProof/>
              </w:rPr>
              <w:t xml:space="preserve"> </w:t>
            </w:r>
            <w:r w:rsidR="00405174" w:rsidRPr="61E57A43">
              <w:rPr>
                <w:noProof/>
              </w:rPr>
              <w:t>staff</w:t>
            </w:r>
            <w:r w:rsidR="00A861A7" w:rsidRPr="61E57A43">
              <w:rPr>
                <w:noProof/>
              </w:rPr>
              <w:t xml:space="preserve"> no matter where</w:t>
            </w:r>
            <w:r w:rsidR="00ED01AE" w:rsidRPr="61E57A43">
              <w:rPr>
                <w:noProof/>
              </w:rPr>
              <w:t xml:space="preserve"> </w:t>
            </w:r>
            <w:r w:rsidR="00405174" w:rsidRPr="61E57A43">
              <w:rPr>
                <w:noProof/>
              </w:rPr>
              <w:t>they</w:t>
            </w:r>
            <w:r w:rsidR="00034C09" w:rsidRPr="61E57A43">
              <w:rPr>
                <w:noProof/>
              </w:rPr>
              <w:t xml:space="preserve"> </w:t>
            </w:r>
            <w:r w:rsidR="004E0562" w:rsidRPr="61E57A43">
              <w:rPr>
                <w:noProof/>
              </w:rPr>
              <w:t>are placed in the EU</w:t>
            </w:r>
            <w:r w:rsidR="00FC614B" w:rsidRPr="61E57A43">
              <w:rPr>
                <w:noProof/>
              </w:rPr>
              <w:t>.</w:t>
            </w:r>
            <w:r w:rsidR="00034C09" w:rsidRPr="61E57A43">
              <w:rPr>
                <w:noProof/>
              </w:rPr>
              <w:t xml:space="preserve"> </w:t>
            </w:r>
            <w:r w:rsidR="00327B0E" w:rsidRPr="61E57A43">
              <w:rPr>
                <w:noProof/>
              </w:rPr>
              <w:t xml:space="preserve">In a workshop with selected companies, a large majority of participants considered that a common employee stock ownership scheme including harmonised taxation would have a strong positive impact on </w:t>
            </w:r>
            <w:r w:rsidR="00986D10" w:rsidRPr="61E57A43">
              <w:rPr>
                <w:noProof/>
              </w:rPr>
              <w:t>a more attractive environment for investors</w:t>
            </w:r>
            <w:r w:rsidR="00327B0E" w:rsidRPr="61E57A43">
              <w:rPr>
                <w:noProof/>
              </w:rPr>
              <w:t xml:space="preserve">.  </w:t>
            </w:r>
            <w:r w:rsidR="00FA532D" w:rsidRPr="61E57A43">
              <w:rPr>
                <w:noProof/>
              </w:rPr>
              <w:t xml:space="preserve"> </w:t>
            </w:r>
          </w:p>
        </w:tc>
      </w:tr>
      <w:tr w:rsidR="00DF5E69" w:rsidRPr="00DC6DD8" w14:paraId="00730016" w14:textId="77777777" w:rsidTr="6F00936E">
        <w:tc>
          <w:tcPr>
            <w:tcW w:w="2122" w:type="dxa"/>
            <w:vAlign w:val="center"/>
          </w:tcPr>
          <w:p w14:paraId="502A8EBF" w14:textId="77777777" w:rsidR="00DF5E69" w:rsidRPr="00DC6DD8" w:rsidRDefault="00DF5E69" w:rsidP="00DF5E69">
            <w:pPr>
              <w:rPr>
                <w:b/>
                <w:noProof/>
                <w:szCs w:val="20"/>
              </w:rPr>
            </w:pPr>
            <w:r w:rsidRPr="00154739">
              <w:rPr>
                <w:b/>
                <w:noProof/>
                <w:szCs w:val="20"/>
              </w:rPr>
              <w:t>Administrative burden reduction (benefit)</w:t>
            </w:r>
          </w:p>
        </w:tc>
        <w:tc>
          <w:tcPr>
            <w:tcW w:w="1508" w:type="dxa"/>
          </w:tcPr>
          <w:p w14:paraId="61D4ADDE" w14:textId="20FAFAB3" w:rsidR="00764067" w:rsidRDefault="00764067" w:rsidP="00DF5E69">
            <w:pPr>
              <w:rPr>
                <w:noProof/>
                <w:sz w:val="18"/>
                <w:szCs w:val="18"/>
              </w:rPr>
            </w:pPr>
            <w:r>
              <w:rPr>
                <w:noProof/>
                <w:sz w:val="18"/>
                <w:szCs w:val="18"/>
              </w:rPr>
              <w:t xml:space="preserve">Score 0-5 </w:t>
            </w:r>
          </w:p>
          <w:p w14:paraId="0BB326C2" w14:textId="77777777" w:rsidR="00DF5E69" w:rsidRPr="00170FBB" w:rsidRDefault="00DF5E69" w:rsidP="00DF5E69">
            <w:pPr>
              <w:rPr>
                <w:noProof/>
                <w:sz w:val="18"/>
                <w:szCs w:val="18"/>
              </w:rPr>
            </w:pPr>
            <w:r w:rsidRPr="00170FBB">
              <w:rPr>
                <w:noProof/>
                <w:sz w:val="18"/>
                <w:szCs w:val="18"/>
              </w:rPr>
              <w:t>Standard Cost Model calculations or n/a</w:t>
            </w:r>
          </w:p>
        </w:tc>
        <w:tc>
          <w:tcPr>
            <w:tcW w:w="1042" w:type="dxa"/>
          </w:tcPr>
          <w:p w14:paraId="6A1017AD" w14:textId="77777777" w:rsidR="00DF5E69" w:rsidRDefault="00343B71" w:rsidP="003577DD">
            <w:pPr>
              <w:jc w:val="center"/>
              <w:rPr>
                <w:noProof/>
                <w:szCs w:val="20"/>
              </w:rPr>
            </w:pPr>
            <w:r>
              <w:rPr>
                <w:noProof/>
                <w:szCs w:val="20"/>
              </w:rPr>
              <w:t>1</w:t>
            </w:r>
          </w:p>
          <w:p w14:paraId="6741146B" w14:textId="572F447F" w:rsidR="00764067" w:rsidRPr="00973EFC" w:rsidRDefault="34712EF9" w:rsidP="00764067">
            <w:pPr>
              <w:spacing w:before="0" w:after="0"/>
              <w:jc w:val="center"/>
              <w:rPr>
                <w:rFonts w:cs="Arial"/>
                <w:noProof/>
                <w:color w:val="auto"/>
                <w:sz w:val="18"/>
                <w:szCs w:val="18"/>
              </w:rPr>
            </w:pPr>
            <w:r w:rsidRPr="6F00936E">
              <w:rPr>
                <w:rFonts w:cs="Arial"/>
                <w:noProof/>
                <w:sz w:val="18"/>
                <w:szCs w:val="18"/>
              </w:rPr>
              <w:t>EUR</w:t>
            </w:r>
            <w:r w:rsidR="219B259F" w:rsidRPr="6F00936E">
              <w:rPr>
                <w:rFonts w:cs="Arial"/>
                <w:noProof/>
                <w:sz w:val="18"/>
                <w:szCs w:val="18"/>
              </w:rPr>
              <w:t xml:space="preserve"> 2,767,233 </w:t>
            </w:r>
          </w:p>
          <w:p w14:paraId="72E28D22" w14:textId="62487561" w:rsidR="00764067" w:rsidRDefault="00764067" w:rsidP="00764067">
            <w:pPr>
              <w:jc w:val="center"/>
              <w:rPr>
                <w:noProof/>
                <w:szCs w:val="20"/>
              </w:rPr>
            </w:pPr>
            <w:r w:rsidRPr="007562E2">
              <w:rPr>
                <w:rFonts w:eastAsia="Times New Roman" w:cs="Calibri"/>
                <w:noProof/>
                <w:color w:val="000000"/>
                <w:sz w:val="16"/>
                <w:szCs w:val="16"/>
                <w:lang w:val="en-IE" w:eastAsia="en-IE"/>
              </w:rPr>
              <w:t>Total administrative burden reduction</w:t>
            </w:r>
            <w:r>
              <w:rPr>
                <w:rFonts w:eastAsia="Times New Roman" w:cs="Calibri"/>
                <w:noProof/>
                <w:color w:val="000000"/>
                <w:sz w:val="16"/>
                <w:szCs w:val="16"/>
                <w:lang w:val="en-IE" w:eastAsia="en-IE"/>
              </w:rPr>
              <w:t xml:space="preserve"> for the estimated up-take of </w:t>
            </w:r>
            <w:r w:rsidRPr="007562E2">
              <w:rPr>
                <w:rFonts w:eastAsia="Times New Roman" w:cs="Calibri"/>
                <w:noProof/>
                <w:color w:val="000000"/>
                <w:sz w:val="16"/>
                <w:szCs w:val="16"/>
                <w:lang w:val="en-IE" w:eastAsia="en-IE"/>
              </w:rPr>
              <w:t xml:space="preserve"> </w:t>
            </w:r>
            <w:r w:rsidRPr="002F1C9C">
              <w:rPr>
                <w:noProof/>
                <w:sz w:val="16"/>
                <w:szCs w:val="16"/>
              </w:rPr>
              <w:t>employee stock ownership scheme</w:t>
            </w:r>
            <w:r w:rsidR="009F2AB2">
              <w:rPr>
                <w:noProof/>
                <w:sz w:val="16"/>
                <w:szCs w:val="16"/>
              </w:rPr>
              <w:t>s</w:t>
            </w:r>
            <w:r>
              <w:rPr>
                <w:noProof/>
                <w:sz w:val="16"/>
                <w:szCs w:val="16"/>
              </w:rPr>
              <w:t xml:space="preserve"> by </w:t>
            </w:r>
            <w:r w:rsidRPr="00973EFC">
              <w:rPr>
                <w:noProof/>
                <w:sz w:val="16"/>
                <w:szCs w:val="16"/>
              </w:rPr>
              <w:t>6.4% of 28</w:t>
            </w:r>
            <w:r w:rsidRPr="00973EFC">
              <w:rPr>
                <w:noProof/>
                <w:sz w:val="16"/>
                <w:szCs w:val="16"/>
                <w:vertAlign w:val="superscript"/>
              </w:rPr>
              <w:t>th</w:t>
            </w:r>
            <w:r w:rsidRPr="00973EFC">
              <w:rPr>
                <w:noProof/>
                <w:sz w:val="16"/>
                <w:szCs w:val="16"/>
              </w:rPr>
              <w:t xml:space="preserve"> regime </w:t>
            </w:r>
            <w:r w:rsidR="009F2AB2">
              <w:rPr>
                <w:noProof/>
                <w:sz w:val="16"/>
                <w:szCs w:val="16"/>
              </w:rPr>
              <w:t xml:space="preserve">companies </w:t>
            </w:r>
            <w:r w:rsidRPr="001659E5">
              <w:rPr>
                <w:rFonts w:eastAsia="Times New Roman" w:cs="Calibri"/>
                <w:noProof/>
                <w:color w:val="000000"/>
                <w:sz w:val="16"/>
                <w:szCs w:val="16"/>
                <w:lang w:val="en-IE" w:eastAsia="en-IE"/>
              </w:rPr>
              <w:t>over a period of 10 years.</w:t>
            </w:r>
          </w:p>
        </w:tc>
        <w:tc>
          <w:tcPr>
            <w:tcW w:w="996" w:type="dxa"/>
          </w:tcPr>
          <w:p w14:paraId="51FC381C" w14:textId="77777777" w:rsidR="00DF5E69" w:rsidRDefault="00343B71" w:rsidP="003577DD">
            <w:pPr>
              <w:jc w:val="center"/>
              <w:rPr>
                <w:noProof/>
                <w:szCs w:val="20"/>
              </w:rPr>
            </w:pPr>
            <w:r>
              <w:rPr>
                <w:noProof/>
                <w:szCs w:val="20"/>
              </w:rPr>
              <w:t>2</w:t>
            </w:r>
          </w:p>
          <w:p w14:paraId="765B3BDC" w14:textId="4F296B43" w:rsidR="004009EF" w:rsidRPr="004009EF" w:rsidRDefault="34712EF9" w:rsidP="004009EF">
            <w:pPr>
              <w:spacing w:before="0" w:after="0"/>
              <w:jc w:val="center"/>
              <w:rPr>
                <w:rFonts w:cs="Arial"/>
                <w:noProof/>
                <w:sz w:val="18"/>
                <w:szCs w:val="18"/>
              </w:rPr>
            </w:pPr>
            <w:r w:rsidRPr="6F00936E">
              <w:rPr>
                <w:rFonts w:cs="Arial"/>
                <w:noProof/>
                <w:sz w:val="18"/>
                <w:szCs w:val="18"/>
              </w:rPr>
              <w:t>EUR</w:t>
            </w:r>
            <w:r w:rsidR="004009EF" w:rsidRPr="004009EF">
              <w:rPr>
                <w:rFonts w:cs="Arial"/>
                <w:noProof/>
                <w:sz w:val="18"/>
                <w:szCs w:val="18"/>
              </w:rPr>
              <w:t xml:space="preserve">           6,918,083 </w:t>
            </w:r>
          </w:p>
          <w:p w14:paraId="124678A7" w14:textId="09A3A187" w:rsidR="00764067" w:rsidRPr="00973EFC" w:rsidRDefault="00764067" w:rsidP="00764067">
            <w:pPr>
              <w:spacing w:before="0" w:after="0"/>
              <w:jc w:val="center"/>
              <w:rPr>
                <w:rFonts w:cs="Arial"/>
                <w:noProof/>
                <w:color w:val="auto"/>
                <w:sz w:val="18"/>
                <w:szCs w:val="18"/>
              </w:rPr>
            </w:pPr>
          </w:p>
          <w:p w14:paraId="784D3514" w14:textId="0EF9B8B1" w:rsidR="00764067" w:rsidRDefault="00764067" w:rsidP="00764067">
            <w:pPr>
              <w:jc w:val="center"/>
              <w:rPr>
                <w:noProof/>
                <w:szCs w:val="20"/>
              </w:rPr>
            </w:pPr>
            <w:r w:rsidRPr="007562E2">
              <w:rPr>
                <w:rFonts w:eastAsia="Times New Roman" w:cs="Calibri"/>
                <w:noProof/>
                <w:color w:val="000000"/>
                <w:sz w:val="16"/>
                <w:szCs w:val="16"/>
                <w:lang w:val="en-IE" w:eastAsia="en-IE"/>
              </w:rPr>
              <w:t>Total administrative burden reduction</w:t>
            </w:r>
            <w:r>
              <w:rPr>
                <w:rFonts w:eastAsia="Times New Roman" w:cs="Calibri"/>
                <w:noProof/>
                <w:color w:val="000000"/>
                <w:sz w:val="16"/>
                <w:szCs w:val="16"/>
                <w:lang w:val="en-IE" w:eastAsia="en-IE"/>
              </w:rPr>
              <w:t xml:space="preserve"> for the estimated up-take of </w:t>
            </w:r>
            <w:r w:rsidRPr="007562E2">
              <w:rPr>
                <w:rFonts w:eastAsia="Times New Roman" w:cs="Calibri"/>
                <w:noProof/>
                <w:color w:val="000000"/>
                <w:sz w:val="16"/>
                <w:szCs w:val="16"/>
                <w:lang w:val="en-IE" w:eastAsia="en-IE"/>
              </w:rPr>
              <w:t xml:space="preserve"> </w:t>
            </w:r>
            <w:r w:rsidRPr="002F1C9C">
              <w:rPr>
                <w:noProof/>
                <w:sz w:val="16"/>
                <w:szCs w:val="16"/>
              </w:rPr>
              <w:t>employee stock ownership scheme</w:t>
            </w:r>
            <w:r w:rsidR="009F2AB2">
              <w:rPr>
                <w:noProof/>
                <w:sz w:val="16"/>
                <w:szCs w:val="16"/>
              </w:rPr>
              <w:t>s</w:t>
            </w:r>
            <w:r>
              <w:rPr>
                <w:noProof/>
                <w:sz w:val="16"/>
                <w:szCs w:val="16"/>
              </w:rPr>
              <w:t xml:space="preserve"> by </w:t>
            </w:r>
            <w:r w:rsidR="004009EF">
              <w:rPr>
                <w:noProof/>
                <w:sz w:val="16"/>
                <w:szCs w:val="16"/>
              </w:rPr>
              <w:t>8</w:t>
            </w:r>
            <w:r w:rsidRPr="002F1C9C">
              <w:rPr>
                <w:noProof/>
                <w:sz w:val="16"/>
                <w:szCs w:val="16"/>
              </w:rPr>
              <w:t>% of 28</w:t>
            </w:r>
            <w:r w:rsidRPr="002F1C9C">
              <w:rPr>
                <w:noProof/>
                <w:sz w:val="16"/>
                <w:szCs w:val="16"/>
                <w:vertAlign w:val="superscript"/>
              </w:rPr>
              <w:t>th</w:t>
            </w:r>
            <w:r w:rsidRPr="002F1C9C">
              <w:rPr>
                <w:noProof/>
                <w:sz w:val="16"/>
                <w:szCs w:val="16"/>
              </w:rPr>
              <w:t xml:space="preserve"> regime</w:t>
            </w:r>
            <w:r w:rsidR="009F2AB2">
              <w:rPr>
                <w:noProof/>
                <w:sz w:val="16"/>
                <w:szCs w:val="16"/>
              </w:rPr>
              <w:t xml:space="preserve"> companies</w:t>
            </w:r>
            <w:r w:rsidRPr="002F1C9C">
              <w:rPr>
                <w:noProof/>
                <w:sz w:val="16"/>
                <w:szCs w:val="16"/>
              </w:rPr>
              <w:t xml:space="preserve"> </w:t>
            </w:r>
            <w:r w:rsidRPr="001659E5">
              <w:rPr>
                <w:rFonts w:eastAsia="Times New Roman" w:cs="Calibri"/>
                <w:noProof/>
                <w:color w:val="000000"/>
                <w:sz w:val="16"/>
                <w:szCs w:val="16"/>
                <w:lang w:val="en-IE" w:eastAsia="en-IE"/>
              </w:rPr>
              <w:t>over a period of 10 years.</w:t>
            </w:r>
          </w:p>
        </w:tc>
        <w:tc>
          <w:tcPr>
            <w:tcW w:w="994" w:type="dxa"/>
          </w:tcPr>
          <w:p w14:paraId="7D84F21E" w14:textId="77777777" w:rsidR="00DF5E69" w:rsidRDefault="00343B71" w:rsidP="003577DD">
            <w:pPr>
              <w:jc w:val="center"/>
              <w:rPr>
                <w:noProof/>
                <w:szCs w:val="20"/>
              </w:rPr>
            </w:pPr>
            <w:r>
              <w:rPr>
                <w:noProof/>
                <w:szCs w:val="20"/>
              </w:rPr>
              <w:t>3</w:t>
            </w:r>
          </w:p>
          <w:p w14:paraId="4556A6E3" w14:textId="6CC699AC" w:rsidR="004009EF" w:rsidRPr="004009EF" w:rsidRDefault="36E5C106" w:rsidP="004009EF">
            <w:pPr>
              <w:spacing w:before="0" w:after="0"/>
              <w:jc w:val="center"/>
              <w:rPr>
                <w:rFonts w:cs="Arial"/>
                <w:noProof/>
                <w:sz w:val="18"/>
                <w:szCs w:val="18"/>
              </w:rPr>
            </w:pPr>
            <w:r w:rsidRPr="6F00936E">
              <w:rPr>
                <w:rFonts w:cs="Arial"/>
                <w:noProof/>
                <w:sz w:val="18"/>
                <w:szCs w:val="18"/>
              </w:rPr>
              <w:t>EUR</w:t>
            </w:r>
            <w:r w:rsidR="219B259F" w:rsidRPr="6F00936E">
              <w:rPr>
                <w:rFonts w:cs="Arial"/>
                <w:noProof/>
                <w:sz w:val="18"/>
                <w:szCs w:val="18"/>
              </w:rPr>
              <w:t xml:space="preserve"> </w:t>
            </w:r>
            <w:r w:rsidR="004009EF" w:rsidRPr="004009EF">
              <w:rPr>
                <w:rFonts w:cs="Arial"/>
                <w:noProof/>
                <w:sz w:val="18"/>
                <w:szCs w:val="18"/>
              </w:rPr>
              <w:t xml:space="preserve">        12,971,406 </w:t>
            </w:r>
          </w:p>
          <w:p w14:paraId="758F7298" w14:textId="3B1C40FE" w:rsidR="00764067" w:rsidRPr="00973EFC" w:rsidRDefault="00764067" w:rsidP="00764067">
            <w:pPr>
              <w:spacing w:before="0" w:after="0"/>
              <w:jc w:val="center"/>
              <w:rPr>
                <w:rFonts w:cs="Arial"/>
                <w:noProof/>
                <w:color w:val="auto"/>
                <w:sz w:val="18"/>
                <w:szCs w:val="18"/>
              </w:rPr>
            </w:pPr>
          </w:p>
          <w:p w14:paraId="44FA377A" w14:textId="7D097540" w:rsidR="00764067" w:rsidRDefault="00764067" w:rsidP="00764067">
            <w:pPr>
              <w:jc w:val="center"/>
              <w:rPr>
                <w:noProof/>
                <w:szCs w:val="20"/>
              </w:rPr>
            </w:pPr>
            <w:r w:rsidRPr="007562E2">
              <w:rPr>
                <w:rFonts w:eastAsia="Times New Roman" w:cs="Calibri"/>
                <w:noProof/>
                <w:color w:val="000000"/>
                <w:sz w:val="16"/>
                <w:szCs w:val="16"/>
                <w:lang w:val="en-IE" w:eastAsia="en-IE"/>
              </w:rPr>
              <w:t>Total administrative burden reduction</w:t>
            </w:r>
            <w:r>
              <w:rPr>
                <w:rFonts w:eastAsia="Times New Roman" w:cs="Calibri"/>
                <w:noProof/>
                <w:color w:val="000000"/>
                <w:sz w:val="16"/>
                <w:szCs w:val="16"/>
                <w:lang w:val="en-IE" w:eastAsia="en-IE"/>
              </w:rPr>
              <w:t xml:space="preserve"> for the estimated up-take of </w:t>
            </w:r>
            <w:r w:rsidRPr="007562E2">
              <w:rPr>
                <w:rFonts w:eastAsia="Times New Roman" w:cs="Calibri"/>
                <w:noProof/>
                <w:color w:val="000000"/>
                <w:sz w:val="16"/>
                <w:szCs w:val="16"/>
                <w:lang w:val="en-IE" w:eastAsia="en-IE"/>
              </w:rPr>
              <w:t xml:space="preserve"> </w:t>
            </w:r>
            <w:r w:rsidRPr="002F1C9C">
              <w:rPr>
                <w:noProof/>
                <w:sz w:val="16"/>
                <w:szCs w:val="16"/>
              </w:rPr>
              <w:t>employee stock ownership scheme</w:t>
            </w:r>
            <w:r w:rsidR="009F2AB2">
              <w:rPr>
                <w:noProof/>
                <w:sz w:val="16"/>
                <w:szCs w:val="16"/>
              </w:rPr>
              <w:t>s</w:t>
            </w:r>
            <w:r>
              <w:rPr>
                <w:noProof/>
                <w:sz w:val="16"/>
                <w:szCs w:val="16"/>
              </w:rPr>
              <w:t xml:space="preserve"> by </w:t>
            </w:r>
            <w:r w:rsidR="004009EF">
              <w:rPr>
                <w:noProof/>
                <w:sz w:val="16"/>
                <w:szCs w:val="16"/>
              </w:rPr>
              <w:t>10</w:t>
            </w:r>
            <w:r w:rsidRPr="002F1C9C">
              <w:rPr>
                <w:noProof/>
                <w:sz w:val="16"/>
                <w:szCs w:val="16"/>
              </w:rPr>
              <w:t>% of 28</w:t>
            </w:r>
            <w:r w:rsidRPr="002F1C9C">
              <w:rPr>
                <w:noProof/>
                <w:sz w:val="16"/>
                <w:szCs w:val="16"/>
                <w:vertAlign w:val="superscript"/>
              </w:rPr>
              <w:t>th</w:t>
            </w:r>
            <w:r w:rsidRPr="002F1C9C">
              <w:rPr>
                <w:noProof/>
                <w:sz w:val="16"/>
                <w:szCs w:val="16"/>
              </w:rPr>
              <w:t xml:space="preserve"> regime </w:t>
            </w:r>
            <w:r w:rsidR="009F2AB2">
              <w:rPr>
                <w:noProof/>
                <w:sz w:val="16"/>
                <w:szCs w:val="16"/>
              </w:rPr>
              <w:t xml:space="preserve">companies </w:t>
            </w:r>
            <w:r w:rsidRPr="001659E5">
              <w:rPr>
                <w:rFonts w:eastAsia="Times New Roman" w:cs="Calibri"/>
                <w:noProof/>
                <w:color w:val="000000"/>
                <w:sz w:val="16"/>
                <w:szCs w:val="16"/>
                <w:lang w:val="en-IE" w:eastAsia="en-IE"/>
              </w:rPr>
              <w:t>over a period of 10 years.</w:t>
            </w:r>
          </w:p>
        </w:tc>
        <w:tc>
          <w:tcPr>
            <w:tcW w:w="7508" w:type="dxa"/>
          </w:tcPr>
          <w:p w14:paraId="4E2F1CDC" w14:textId="2DB5A4E0" w:rsidR="00DF5E69" w:rsidRPr="003454BA" w:rsidRDefault="002818AF" w:rsidP="000B0CBE">
            <w:pPr>
              <w:jc w:val="both"/>
              <w:rPr>
                <w:noProof/>
                <w:szCs w:val="20"/>
              </w:rPr>
            </w:pPr>
            <w:r>
              <w:rPr>
                <w:noProof/>
                <w:szCs w:val="20"/>
              </w:rPr>
              <w:t xml:space="preserve">Based on feedback from the open public consultation on the European Innovation Act, the independent expert report on the European Innovation Act, results of a targeted survey with business associations and a workshop with companies, it is estimated that all three options will lead to administrative burden reduction. </w:t>
            </w:r>
            <w:r w:rsidR="0071784E">
              <w:rPr>
                <w:noProof/>
                <w:szCs w:val="20"/>
              </w:rPr>
              <w:t>I</w:t>
            </w:r>
            <w:r w:rsidR="00CA2BB8">
              <w:rPr>
                <w:noProof/>
                <w:szCs w:val="20"/>
              </w:rPr>
              <w:t xml:space="preserve">t is expected that these policy options would reduce </w:t>
            </w:r>
            <w:r w:rsidR="005B5DBA">
              <w:rPr>
                <w:noProof/>
                <w:szCs w:val="20"/>
              </w:rPr>
              <w:t xml:space="preserve">the </w:t>
            </w:r>
            <w:r w:rsidR="00FD7192">
              <w:rPr>
                <w:noProof/>
                <w:szCs w:val="20"/>
              </w:rPr>
              <w:t>cost of</w:t>
            </w:r>
            <w:r w:rsidR="000F54D1">
              <w:rPr>
                <w:noProof/>
                <w:szCs w:val="20"/>
              </w:rPr>
              <w:t xml:space="preserve"> professional </w:t>
            </w:r>
            <w:r w:rsidR="000D3DD2">
              <w:rPr>
                <w:noProof/>
                <w:szCs w:val="20"/>
              </w:rPr>
              <w:t>advice</w:t>
            </w:r>
            <w:r w:rsidR="00D12C9E">
              <w:rPr>
                <w:noProof/>
                <w:szCs w:val="20"/>
              </w:rPr>
              <w:t xml:space="preserve"> on </w:t>
            </w:r>
            <w:r w:rsidR="003E317F">
              <w:rPr>
                <w:noProof/>
                <w:szCs w:val="20"/>
              </w:rPr>
              <w:t>ESOPs</w:t>
            </w:r>
            <w:r w:rsidR="00CE014B">
              <w:rPr>
                <w:noProof/>
                <w:szCs w:val="20"/>
              </w:rPr>
              <w:t xml:space="preserve">, </w:t>
            </w:r>
            <w:r w:rsidR="00F21459">
              <w:rPr>
                <w:noProof/>
                <w:szCs w:val="20"/>
              </w:rPr>
              <w:t xml:space="preserve">in particular </w:t>
            </w:r>
            <w:r w:rsidR="00AB6B00">
              <w:rPr>
                <w:noProof/>
                <w:szCs w:val="20"/>
              </w:rPr>
              <w:t xml:space="preserve">regarding </w:t>
            </w:r>
            <w:r w:rsidR="00607DEF">
              <w:rPr>
                <w:noProof/>
                <w:szCs w:val="20"/>
              </w:rPr>
              <w:t>legal requirements</w:t>
            </w:r>
            <w:r w:rsidR="00CF3F2B">
              <w:rPr>
                <w:noProof/>
                <w:szCs w:val="20"/>
              </w:rPr>
              <w:t xml:space="preserve"> </w:t>
            </w:r>
            <w:r w:rsidR="002B1394">
              <w:rPr>
                <w:noProof/>
                <w:szCs w:val="20"/>
              </w:rPr>
              <w:t xml:space="preserve">and </w:t>
            </w:r>
            <w:r w:rsidR="00201636">
              <w:rPr>
                <w:noProof/>
                <w:szCs w:val="20"/>
              </w:rPr>
              <w:t xml:space="preserve">the </w:t>
            </w:r>
            <w:r w:rsidR="003C5CDE">
              <w:rPr>
                <w:noProof/>
                <w:szCs w:val="20"/>
              </w:rPr>
              <w:t>preparation</w:t>
            </w:r>
            <w:r w:rsidR="00E07078">
              <w:rPr>
                <w:noProof/>
                <w:szCs w:val="20"/>
              </w:rPr>
              <w:t xml:space="preserve"> of</w:t>
            </w:r>
            <w:r w:rsidR="00201636">
              <w:rPr>
                <w:noProof/>
                <w:szCs w:val="20"/>
              </w:rPr>
              <w:t xml:space="preserve"> </w:t>
            </w:r>
            <w:r w:rsidR="002B1394">
              <w:rPr>
                <w:noProof/>
                <w:szCs w:val="20"/>
              </w:rPr>
              <w:t xml:space="preserve">necessary </w:t>
            </w:r>
            <w:r w:rsidR="00D64DE1">
              <w:rPr>
                <w:noProof/>
                <w:szCs w:val="20"/>
              </w:rPr>
              <w:t>documents</w:t>
            </w:r>
            <w:r w:rsidR="007A7D02">
              <w:rPr>
                <w:noProof/>
                <w:szCs w:val="20"/>
              </w:rPr>
              <w:t xml:space="preserve">, </w:t>
            </w:r>
            <w:r w:rsidR="00201636">
              <w:rPr>
                <w:noProof/>
                <w:szCs w:val="20"/>
              </w:rPr>
              <w:t>which typically</w:t>
            </w:r>
            <w:r w:rsidR="00E07078">
              <w:rPr>
                <w:noProof/>
                <w:szCs w:val="20"/>
              </w:rPr>
              <w:t xml:space="preserve"> accounts for a large majority of</w:t>
            </w:r>
            <w:r w:rsidR="00201636">
              <w:rPr>
                <w:noProof/>
                <w:szCs w:val="20"/>
              </w:rPr>
              <w:t xml:space="preserve"> the </w:t>
            </w:r>
            <w:r w:rsidR="009F66A6">
              <w:rPr>
                <w:noProof/>
                <w:szCs w:val="20"/>
              </w:rPr>
              <w:t>cost</w:t>
            </w:r>
            <w:r w:rsidR="005D3243">
              <w:rPr>
                <w:noProof/>
                <w:szCs w:val="20"/>
              </w:rPr>
              <w:t>s</w:t>
            </w:r>
            <w:r w:rsidR="00F34A66">
              <w:rPr>
                <w:noProof/>
                <w:szCs w:val="20"/>
              </w:rPr>
              <w:t xml:space="preserve"> to set up an employee ownership plan</w:t>
            </w:r>
            <w:r w:rsidR="001A540E">
              <w:rPr>
                <w:noProof/>
                <w:szCs w:val="20"/>
              </w:rPr>
              <w:t>.</w:t>
            </w:r>
            <w:r w:rsidR="00D94AA7">
              <w:rPr>
                <w:noProof/>
                <w:szCs w:val="20"/>
              </w:rPr>
              <w:t xml:space="preserve"> </w:t>
            </w:r>
            <w:r w:rsidR="00151749">
              <w:rPr>
                <w:noProof/>
                <w:szCs w:val="20"/>
              </w:rPr>
              <w:t>Average i</w:t>
            </w:r>
            <w:r w:rsidR="00CA4224">
              <w:rPr>
                <w:noProof/>
                <w:szCs w:val="20"/>
              </w:rPr>
              <w:t>nternal</w:t>
            </w:r>
            <w:r w:rsidR="00981B28">
              <w:rPr>
                <w:noProof/>
                <w:szCs w:val="20"/>
              </w:rPr>
              <w:t xml:space="preserve"> company</w:t>
            </w:r>
            <w:r w:rsidR="00CA4224">
              <w:rPr>
                <w:noProof/>
                <w:szCs w:val="20"/>
              </w:rPr>
              <w:t xml:space="preserve"> </w:t>
            </w:r>
            <w:r w:rsidR="00151749">
              <w:rPr>
                <w:noProof/>
                <w:szCs w:val="20"/>
              </w:rPr>
              <w:t>time spent</w:t>
            </w:r>
            <w:r w:rsidR="00554EF5">
              <w:rPr>
                <w:noProof/>
                <w:szCs w:val="20"/>
              </w:rPr>
              <w:t xml:space="preserve">, including </w:t>
            </w:r>
            <w:r w:rsidR="00B8320C">
              <w:rPr>
                <w:noProof/>
                <w:szCs w:val="20"/>
              </w:rPr>
              <w:t xml:space="preserve">the consultation of professional advice, </w:t>
            </w:r>
            <w:r w:rsidR="006B0386">
              <w:rPr>
                <w:noProof/>
                <w:szCs w:val="20"/>
              </w:rPr>
              <w:t xml:space="preserve">implementation of </w:t>
            </w:r>
            <w:r w:rsidR="001F22B7">
              <w:rPr>
                <w:noProof/>
                <w:szCs w:val="20"/>
              </w:rPr>
              <w:t>advice received and information of employees,</w:t>
            </w:r>
            <w:r w:rsidR="00151749">
              <w:rPr>
                <w:noProof/>
                <w:szCs w:val="20"/>
              </w:rPr>
              <w:t xml:space="preserve"> is </w:t>
            </w:r>
            <w:r w:rsidR="00862E52">
              <w:rPr>
                <w:noProof/>
                <w:szCs w:val="20"/>
              </w:rPr>
              <w:t xml:space="preserve">not </w:t>
            </w:r>
            <w:r w:rsidR="00535517">
              <w:rPr>
                <w:noProof/>
                <w:szCs w:val="20"/>
              </w:rPr>
              <w:t>estimated to be</w:t>
            </w:r>
            <w:r w:rsidR="00862E52">
              <w:rPr>
                <w:noProof/>
                <w:szCs w:val="20"/>
              </w:rPr>
              <w:t xml:space="preserve"> significantly </w:t>
            </w:r>
            <w:r w:rsidR="00E0704C">
              <w:rPr>
                <w:noProof/>
                <w:szCs w:val="20"/>
              </w:rPr>
              <w:t>reduced</w:t>
            </w:r>
            <w:r w:rsidR="00862E52">
              <w:rPr>
                <w:noProof/>
                <w:szCs w:val="20"/>
              </w:rPr>
              <w:t xml:space="preserve"> by any of the policy options</w:t>
            </w:r>
            <w:r w:rsidR="00BD1553">
              <w:rPr>
                <w:noProof/>
                <w:szCs w:val="20"/>
              </w:rPr>
              <w:t xml:space="preserve"> </w:t>
            </w:r>
            <w:r w:rsidR="00982F0A">
              <w:rPr>
                <w:noProof/>
                <w:szCs w:val="20"/>
              </w:rPr>
              <w:t xml:space="preserve">considering </w:t>
            </w:r>
            <w:r w:rsidR="00567CE3">
              <w:rPr>
                <w:noProof/>
                <w:szCs w:val="20"/>
              </w:rPr>
              <w:t xml:space="preserve">that </w:t>
            </w:r>
            <w:r w:rsidR="00866CFD">
              <w:rPr>
                <w:noProof/>
                <w:szCs w:val="20"/>
              </w:rPr>
              <w:t xml:space="preserve">most </w:t>
            </w:r>
            <w:r w:rsidR="00796775">
              <w:rPr>
                <w:noProof/>
                <w:szCs w:val="20"/>
              </w:rPr>
              <w:t xml:space="preserve">of the administrative burden </w:t>
            </w:r>
            <w:r w:rsidR="00193E88">
              <w:rPr>
                <w:noProof/>
                <w:szCs w:val="20"/>
              </w:rPr>
              <w:t xml:space="preserve">would </w:t>
            </w:r>
            <w:r w:rsidR="00796775">
              <w:rPr>
                <w:noProof/>
                <w:szCs w:val="20"/>
              </w:rPr>
              <w:t xml:space="preserve">be outsourced to </w:t>
            </w:r>
            <w:r w:rsidR="004B50DD">
              <w:rPr>
                <w:noProof/>
                <w:szCs w:val="20"/>
              </w:rPr>
              <w:t>professional advisers</w:t>
            </w:r>
            <w:r w:rsidR="00483D82">
              <w:rPr>
                <w:noProof/>
                <w:szCs w:val="20"/>
              </w:rPr>
              <w:t>.</w:t>
            </w:r>
            <w:r w:rsidR="00567CE3">
              <w:rPr>
                <w:noProof/>
                <w:szCs w:val="20"/>
              </w:rPr>
              <w:t xml:space="preserve"> </w:t>
            </w:r>
            <w:r w:rsidR="0081452D">
              <w:rPr>
                <w:noProof/>
                <w:szCs w:val="20"/>
              </w:rPr>
              <w:t>The option 5c would reduce burdens most because</w:t>
            </w:r>
            <w:r w:rsidR="000B183E">
              <w:rPr>
                <w:noProof/>
                <w:szCs w:val="20"/>
              </w:rPr>
              <w:t xml:space="preserve"> 28</w:t>
            </w:r>
            <w:r w:rsidR="000B183E" w:rsidRPr="00E46A3A">
              <w:rPr>
                <w:noProof/>
                <w:szCs w:val="20"/>
                <w:vertAlign w:val="superscript"/>
              </w:rPr>
              <w:t>th</w:t>
            </w:r>
            <w:r w:rsidR="000B183E">
              <w:rPr>
                <w:noProof/>
                <w:szCs w:val="20"/>
              </w:rPr>
              <w:t xml:space="preserve"> regime companies would be provided with a common</w:t>
            </w:r>
            <w:r w:rsidR="00EF51D0">
              <w:rPr>
                <w:noProof/>
                <w:szCs w:val="20"/>
              </w:rPr>
              <w:t>, easy-to-use</w:t>
            </w:r>
            <w:r w:rsidR="006A3211">
              <w:rPr>
                <w:noProof/>
                <w:szCs w:val="20"/>
              </w:rPr>
              <w:t xml:space="preserve"> ESOP </w:t>
            </w:r>
            <w:r>
              <w:rPr>
                <w:noProof/>
                <w:szCs w:val="20"/>
              </w:rPr>
              <w:t xml:space="preserve">scheme </w:t>
            </w:r>
            <w:r w:rsidR="00EF51D0">
              <w:rPr>
                <w:noProof/>
                <w:szCs w:val="20"/>
              </w:rPr>
              <w:t xml:space="preserve">with a harmonised timing of taxation, allowing </w:t>
            </w:r>
            <w:r w:rsidR="00713631">
              <w:rPr>
                <w:noProof/>
                <w:szCs w:val="20"/>
              </w:rPr>
              <w:t xml:space="preserve">many of them to rely on </w:t>
            </w:r>
            <w:r w:rsidR="007B443A">
              <w:rPr>
                <w:noProof/>
                <w:szCs w:val="20"/>
              </w:rPr>
              <w:t xml:space="preserve">low-cost </w:t>
            </w:r>
            <w:r w:rsidR="00713631">
              <w:rPr>
                <w:noProof/>
                <w:szCs w:val="20"/>
              </w:rPr>
              <w:t xml:space="preserve">professional </w:t>
            </w:r>
            <w:r w:rsidR="003400E9">
              <w:rPr>
                <w:noProof/>
                <w:szCs w:val="20"/>
              </w:rPr>
              <w:t>advice</w:t>
            </w:r>
            <w:r w:rsidR="00E767DD">
              <w:rPr>
                <w:noProof/>
                <w:szCs w:val="20"/>
              </w:rPr>
              <w:t xml:space="preserve"> </w:t>
            </w:r>
            <w:r w:rsidR="00713631">
              <w:rPr>
                <w:noProof/>
                <w:szCs w:val="20"/>
              </w:rPr>
              <w:t>to</w:t>
            </w:r>
            <w:r w:rsidR="006A3211">
              <w:rPr>
                <w:noProof/>
                <w:szCs w:val="20"/>
              </w:rPr>
              <w:t xml:space="preserve"> </w:t>
            </w:r>
            <w:r w:rsidR="00113606">
              <w:rPr>
                <w:noProof/>
                <w:szCs w:val="20"/>
              </w:rPr>
              <w:t>set up the</w:t>
            </w:r>
            <w:r w:rsidR="006A3211">
              <w:rPr>
                <w:noProof/>
                <w:szCs w:val="20"/>
              </w:rPr>
              <w:t xml:space="preserve"> </w:t>
            </w:r>
            <w:r w:rsidR="00157C52">
              <w:rPr>
                <w:noProof/>
                <w:szCs w:val="20"/>
              </w:rPr>
              <w:t xml:space="preserve">scheme. Option 5b would </w:t>
            </w:r>
            <w:r w:rsidR="00A537AC">
              <w:rPr>
                <w:noProof/>
                <w:szCs w:val="20"/>
              </w:rPr>
              <w:t xml:space="preserve">still </w:t>
            </w:r>
            <w:r w:rsidR="004C316F">
              <w:rPr>
                <w:noProof/>
                <w:szCs w:val="20"/>
              </w:rPr>
              <w:t xml:space="preserve">reduce advisory costs due to the </w:t>
            </w:r>
            <w:r w:rsidR="006925AB">
              <w:rPr>
                <w:noProof/>
                <w:szCs w:val="20"/>
              </w:rPr>
              <w:t>common ESOP</w:t>
            </w:r>
            <w:r w:rsidR="008B4F7C">
              <w:rPr>
                <w:noProof/>
                <w:szCs w:val="20"/>
              </w:rPr>
              <w:t xml:space="preserve"> </w:t>
            </w:r>
            <w:r>
              <w:rPr>
                <w:noProof/>
                <w:szCs w:val="20"/>
              </w:rPr>
              <w:t xml:space="preserve">scheme </w:t>
            </w:r>
            <w:r w:rsidR="00622DD9">
              <w:rPr>
                <w:noProof/>
                <w:szCs w:val="20"/>
              </w:rPr>
              <w:t>it</w:t>
            </w:r>
            <w:r w:rsidR="00846DF0">
              <w:rPr>
                <w:noProof/>
                <w:szCs w:val="20"/>
              </w:rPr>
              <w:t xml:space="preserve"> </w:t>
            </w:r>
            <w:r w:rsidR="004C316F">
              <w:rPr>
                <w:noProof/>
                <w:szCs w:val="20"/>
              </w:rPr>
              <w:t xml:space="preserve">provides, </w:t>
            </w:r>
            <w:r w:rsidR="008B4F7C">
              <w:rPr>
                <w:noProof/>
                <w:szCs w:val="20"/>
              </w:rPr>
              <w:t xml:space="preserve">but </w:t>
            </w:r>
            <w:r w:rsidR="003352DD">
              <w:rPr>
                <w:noProof/>
                <w:szCs w:val="20"/>
              </w:rPr>
              <w:t xml:space="preserve">not </w:t>
            </w:r>
            <w:r w:rsidR="00925DDF">
              <w:rPr>
                <w:noProof/>
                <w:szCs w:val="20"/>
              </w:rPr>
              <w:t>affect the costs of</w:t>
            </w:r>
            <w:r w:rsidR="003352DD">
              <w:rPr>
                <w:noProof/>
                <w:szCs w:val="20"/>
              </w:rPr>
              <w:t xml:space="preserve"> </w:t>
            </w:r>
            <w:r w:rsidR="0070483F">
              <w:rPr>
                <w:noProof/>
                <w:szCs w:val="20"/>
              </w:rPr>
              <w:t xml:space="preserve">tax </w:t>
            </w:r>
            <w:r w:rsidR="003352DD">
              <w:rPr>
                <w:noProof/>
                <w:szCs w:val="20"/>
              </w:rPr>
              <w:t>advi</w:t>
            </w:r>
            <w:r w:rsidR="00925DDF">
              <w:rPr>
                <w:noProof/>
                <w:szCs w:val="20"/>
              </w:rPr>
              <w:t>c</w:t>
            </w:r>
            <w:r w:rsidR="003352DD">
              <w:rPr>
                <w:noProof/>
                <w:szCs w:val="20"/>
              </w:rPr>
              <w:t>e</w:t>
            </w:r>
            <w:r w:rsidR="00925DDF">
              <w:rPr>
                <w:noProof/>
                <w:szCs w:val="20"/>
              </w:rPr>
              <w:t xml:space="preserve"> </w:t>
            </w:r>
            <w:r w:rsidR="00371A2D">
              <w:rPr>
                <w:noProof/>
                <w:szCs w:val="20"/>
              </w:rPr>
              <w:t>as all</w:t>
            </w:r>
            <w:r w:rsidR="00622DD9">
              <w:rPr>
                <w:noProof/>
                <w:szCs w:val="20"/>
              </w:rPr>
              <w:t xml:space="preserve"> </w:t>
            </w:r>
            <w:r w:rsidR="00F56C36">
              <w:rPr>
                <w:noProof/>
                <w:szCs w:val="20"/>
              </w:rPr>
              <w:t>t</w:t>
            </w:r>
            <w:r w:rsidR="00313AB4">
              <w:rPr>
                <w:noProof/>
                <w:szCs w:val="20"/>
              </w:rPr>
              <w:t xml:space="preserve">axation aspects </w:t>
            </w:r>
            <w:r w:rsidR="00371A2D">
              <w:rPr>
                <w:noProof/>
                <w:szCs w:val="20"/>
              </w:rPr>
              <w:t xml:space="preserve">would be </w:t>
            </w:r>
            <w:r w:rsidR="008C7456">
              <w:rPr>
                <w:noProof/>
                <w:szCs w:val="20"/>
              </w:rPr>
              <w:t xml:space="preserve">according to national laws. </w:t>
            </w:r>
            <w:r w:rsidR="00320D9A">
              <w:rPr>
                <w:noProof/>
                <w:szCs w:val="20"/>
              </w:rPr>
              <w:t xml:space="preserve">Option 5a </w:t>
            </w:r>
            <w:r w:rsidR="0033439F">
              <w:rPr>
                <w:noProof/>
                <w:szCs w:val="20"/>
              </w:rPr>
              <w:t>would moderately reduce costs</w:t>
            </w:r>
            <w:r w:rsidR="00326242">
              <w:rPr>
                <w:noProof/>
                <w:szCs w:val="20"/>
              </w:rPr>
              <w:t xml:space="preserve">, as </w:t>
            </w:r>
            <w:r w:rsidR="00AF32C6">
              <w:rPr>
                <w:noProof/>
                <w:szCs w:val="20"/>
              </w:rPr>
              <w:t>28</w:t>
            </w:r>
            <w:r w:rsidR="00AF32C6" w:rsidRPr="00E46A3A">
              <w:rPr>
                <w:noProof/>
                <w:szCs w:val="20"/>
                <w:vertAlign w:val="superscript"/>
              </w:rPr>
              <w:t>th</w:t>
            </w:r>
            <w:r w:rsidR="00AF32C6">
              <w:rPr>
                <w:noProof/>
                <w:szCs w:val="20"/>
              </w:rPr>
              <w:t xml:space="preserve"> regime </w:t>
            </w:r>
            <w:r w:rsidR="00FC13FF">
              <w:rPr>
                <w:noProof/>
                <w:szCs w:val="20"/>
              </w:rPr>
              <w:t>companies would be able to use</w:t>
            </w:r>
            <w:r w:rsidR="0081452D" w:rsidDel="0033439F">
              <w:rPr>
                <w:noProof/>
                <w:szCs w:val="20"/>
              </w:rPr>
              <w:t xml:space="preserve"> </w:t>
            </w:r>
            <w:r w:rsidR="008E0D1F">
              <w:rPr>
                <w:noProof/>
                <w:szCs w:val="20"/>
              </w:rPr>
              <w:t>the same</w:t>
            </w:r>
            <w:r w:rsidR="0081452D" w:rsidDel="0033439F">
              <w:rPr>
                <w:noProof/>
                <w:szCs w:val="20"/>
              </w:rPr>
              <w:t xml:space="preserve"> </w:t>
            </w:r>
            <w:r w:rsidR="00AF32C6">
              <w:rPr>
                <w:noProof/>
                <w:szCs w:val="20"/>
              </w:rPr>
              <w:t>ESOP in all Member States</w:t>
            </w:r>
            <w:r w:rsidR="00F61F0F">
              <w:rPr>
                <w:noProof/>
                <w:szCs w:val="20"/>
              </w:rPr>
              <w:t xml:space="preserve">. Due to the lack of a </w:t>
            </w:r>
            <w:r>
              <w:rPr>
                <w:noProof/>
                <w:szCs w:val="20"/>
              </w:rPr>
              <w:t xml:space="preserve">common </w:t>
            </w:r>
            <w:r w:rsidR="00F61F0F">
              <w:rPr>
                <w:noProof/>
                <w:szCs w:val="20"/>
              </w:rPr>
              <w:t>ESOP</w:t>
            </w:r>
            <w:r>
              <w:rPr>
                <w:noProof/>
                <w:szCs w:val="20"/>
              </w:rPr>
              <w:t xml:space="preserve"> scheme</w:t>
            </w:r>
            <w:r w:rsidR="0081452D">
              <w:rPr>
                <w:noProof/>
                <w:szCs w:val="20"/>
              </w:rPr>
              <w:t xml:space="preserve"> </w:t>
            </w:r>
            <w:r w:rsidR="00293FF0">
              <w:rPr>
                <w:noProof/>
                <w:szCs w:val="20"/>
              </w:rPr>
              <w:t xml:space="preserve">as well as </w:t>
            </w:r>
            <w:r w:rsidR="00BC4864">
              <w:rPr>
                <w:noProof/>
                <w:szCs w:val="20"/>
              </w:rPr>
              <w:t xml:space="preserve">different </w:t>
            </w:r>
            <w:r w:rsidR="00293FF0">
              <w:rPr>
                <w:noProof/>
                <w:szCs w:val="20"/>
              </w:rPr>
              <w:t>tax treatment and tax incentives in Member States</w:t>
            </w:r>
            <w:r w:rsidR="001405A4">
              <w:rPr>
                <w:noProof/>
                <w:szCs w:val="20"/>
              </w:rPr>
              <w:t xml:space="preserve">, however, </w:t>
            </w:r>
            <w:r w:rsidR="007B6D0D">
              <w:rPr>
                <w:noProof/>
                <w:szCs w:val="20"/>
              </w:rPr>
              <w:t>28</w:t>
            </w:r>
            <w:r w:rsidR="007B6D0D" w:rsidRPr="00E46A3A">
              <w:rPr>
                <w:noProof/>
                <w:szCs w:val="20"/>
                <w:vertAlign w:val="superscript"/>
              </w:rPr>
              <w:t>th</w:t>
            </w:r>
            <w:r w:rsidR="007B6D0D">
              <w:rPr>
                <w:noProof/>
                <w:szCs w:val="20"/>
              </w:rPr>
              <w:t xml:space="preserve"> regime companies would </w:t>
            </w:r>
            <w:r w:rsidR="004A60F8">
              <w:rPr>
                <w:noProof/>
                <w:szCs w:val="20"/>
              </w:rPr>
              <w:t xml:space="preserve">still need more extensive professional advice when setting up </w:t>
            </w:r>
            <w:r w:rsidR="00FD398F">
              <w:rPr>
                <w:noProof/>
                <w:szCs w:val="20"/>
              </w:rPr>
              <w:t>an ESOP.</w:t>
            </w:r>
          </w:p>
        </w:tc>
      </w:tr>
      <w:tr w:rsidR="00DF5E69" w:rsidRPr="00DC6DD8" w14:paraId="093A9338" w14:textId="77777777" w:rsidTr="6F00936E">
        <w:tc>
          <w:tcPr>
            <w:tcW w:w="2122" w:type="dxa"/>
            <w:vAlign w:val="center"/>
          </w:tcPr>
          <w:p w14:paraId="56D70F80" w14:textId="77777777" w:rsidR="00DF5E69" w:rsidRPr="00154739" w:rsidRDefault="00DF5E69" w:rsidP="00DF5E69">
            <w:pPr>
              <w:rPr>
                <w:b/>
                <w:noProof/>
                <w:szCs w:val="20"/>
              </w:rPr>
            </w:pPr>
            <w:r w:rsidRPr="00154739">
              <w:rPr>
                <w:b/>
                <w:noProof/>
                <w:szCs w:val="20"/>
              </w:rPr>
              <w:t>Administrative and adjustment costs</w:t>
            </w:r>
          </w:p>
        </w:tc>
        <w:tc>
          <w:tcPr>
            <w:tcW w:w="1508" w:type="dxa"/>
          </w:tcPr>
          <w:p w14:paraId="137A9498" w14:textId="1DAB97D5" w:rsidR="00DF5E69" w:rsidRPr="00170FBB" w:rsidRDefault="00FA6FC3" w:rsidP="00DF5E69">
            <w:pPr>
              <w:rPr>
                <w:noProof/>
                <w:sz w:val="18"/>
                <w:szCs w:val="18"/>
              </w:rPr>
            </w:pPr>
            <w:r>
              <w:rPr>
                <w:noProof/>
                <w:sz w:val="18"/>
                <w:szCs w:val="18"/>
              </w:rPr>
              <w:t>S</w:t>
            </w:r>
            <w:r w:rsidR="00DF5E69" w:rsidRPr="00170FBB">
              <w:rPr>
                <w:noProof/>
                <w:sz w:val="18"/>
                <w:szCs w:val="18"/>
              </w:rPr>
              <w:t>core 0-5</w:t>
            </w:r>
          </w:p>
        </w:tc>
        <w:tc>
          <w:tcPr>
            <w:tcW w:w="1042" w:type="dxa"/>
          </w:tcPr>
          <w:p w14:paraId="60A34A28" w14:textId="2234610B" w:rsidR="00DF5E69" w:rsidRDefault="009F4307" w:rsidP="008517E8">
            <w:pPr>
              <w:jc w:val="center"/>
              <w:rPr>
                <w:noProof/>
                <w:szCs w:val="20"/>
              </w:rPr>
            </w:pPr>
            <w:r>
              <w:rPr>
                <w:noProof/>
                <w:szCs w:val="20"/>
              </w:rPr>
              <w:t>1</w:t>
            </w:r>
          </w:p>
        </w:tc>
        <w:tc>
          <w:tcPr>
            <w:tcW w:w="996" w:type="dxa"/>
          </w:tcPr>
          <w:p w14:paraId="7360D08C" w14:textId="5EEE3D1D" w:rsidR="00DF5E69" w:rsidRDefault="004743BF" w:rsidP="008517E8">
            <w:pPr>
              <w:jc w:val="center"/>
              <w:rPr>
                <w:noProof/>
                <w:szCs w:val="20"/>
              </w:rPr>
            </w:pPr>
            <w:r>
              <w:rPr>
                <w:noProof/>
                <w:szCs w:val="20"/>
              </w:rPr>
              <w:t>1</w:t>
            </w:r>
          </w:p>
        </w:tc>
        <w:tc>
          <w:tcPr>
            <w:tcW w:w="994" w:type="dxa"/>
          </w:tcPr>
          <w:p w14:paraId="642D79E7" w14:textId="550F20DC" w:rsidR="00DF5E69" w:rsidRDefault="00410898" w:rsidP="008517E8">
            <w:pPr>
              <w:jc w:val="center"/>
              <w:rPr>
                <w:noProof/>
                <w:szCs w:val="20"/>
              </w:rPr>
            </w:pPr>
            <w:r>
              <w:rPr>
                <w:noProof/>
                <w:szCs w:val="20"/>
              </w:rPr>
              <w:t>1</w:t>
            </w:r>
          </w:p>
        </w:tc>
        <w:tc>
          <w:tcPr>
            <w:tcW w:w="7508" w:type="dxa"/>
          </w:tcPr>
          <w:p w14:paraId="3FAA7440" w14:textId="28A7AE5D" w:rsidR="00DF5E69" w:rsidRPr="003454BA" w:rsidRDefault="0095590C" w:rsidP="00D36FBD">
            <w:pPr>
              <w:jc w:val="both"/>
              <w:rPr>
                <w:noProof/>
                <w:szCs w:val="20"/>
              </w:rPr>
            </w:pPr>
            <w:r>
              <w:rPr>
                <w:noProof/>
                <w:szCs w:val="20"/>
              </w:rPr>
              <w:t>All three options</w:t>
            </w:r>
            <w:r w:rsidR="00A65D0A">
              <w:rPr>
                <w:noProof/>
                <w:szCs w:val="20"/>
              </w:rPr>
              <w:t xml:space="preserve"> would </w:t>
            </w:r>
            <w:r w:rsidR="004743BF" w:rsidRPr="003502FA">
              <w:rPr>
                <w:noProof/>
                <w:szCs w:val="20"/>
              </w:rPr>
              <w:t xml:space="preserve">introduce </w:t>
            </w:r>
            <w:r w:rsidR="00A65D0A">
              <w:rPr>
                <w:noProof/>
                <w:szCs w:val="20"/>
              </w:rPr>
              <w:t xml:space="preserve">only </w:t>
            </w:r>
            <w:r w:rsidR="004743BF" w:rsidRPr="003502FA">
              <w:rPr>
                <w:noProof/>
                <w:szCs w:val="20"/>
              </w:rPr>
              <w:t xml:space="preserve">limited </w:t>
            </w:r>
            <w:r w:rsidR="004743BF">
              <w:rPr>
                <w:noProof/>
                <w:szCs w:val="20"/>
              </w:rPr>
              <w:t xml:space="preserve">one-off </w:t>
            </w:r>
            <w:r w:rsidR="004743BF" w:rsidRPr="003502FA">
              <w:rPr>
                <w:noProof/>
                <w:szCs w:val="20"/>
              </w:rPr>
              <w:t>adjustment costs</w:t>
            </w:r>
            <w:r w:rsidR="004743BF" w:rsidRPr="003502FA" w:rsidDel="00BF7CEE">
              <w:rPr>
                <w:noProof/>
                <w:szCs w:val="20"/>
              </w:rPr>
              <w:t xml:space="preserve"> </w:t>
            </w:r>
            <w:r w:rsidR="004743BF">
              <w:rPr>
                <w:noProof/>
                <w:szCs w:val="20"/>
              </w:rPr>
              <w:t xml:space="preserve">for </w:t>
            </w:r>
            <w:r w:rsidR="00EC2064">
              <w:rPr>
                <w:noProof/>
                <w:szCs w:val="20"/>
              </w:rPr>
              <w:t xml:space="preserve">those </w:t>
            </w:r>
            <w:r w:rsidR="004743BF">
              <w:rPr>
                <w:noProof/>
                <w:szCs w:val="20"/>
              </w:rPr>
              <w:t>c</w:t>
            </w:r>
            <w:r w:rsidR="004743BF" w:rsidRPr="003502FA">
              <w:rPr>
                <w:noProof/>
                <w:szCs w:val="20"/>
              </w:rPr>
              <w:t xml:space="preserve">ompanies </w:t>
            </w:r>
            <w:r w:rsidR="00EC2064">
              <w:rPr>
                <w:noProof/>
                <w:szCs w:val="20"/>
              </w:rPr>
              <w:t>converting into 28</w:t>
            </w:r>
            <w:r w:rsidR="00EC2064" w:rsidRPr="008517E8">
              <w:rPr>
                <w:noProof/>
                <w:szCs w:val="20"/>
                <w:vertAlign w:val="superscript"/>
              </w:rPr>
              <w:t>th</w:t>
            </w:r>
            <w:r w:rsidR="00EC2064">
              <w:rPr>
                <w:noProof/>
                <w:szCs w:val="20"/>
              </w:rPr>
              <w:t xml:space="preserve"> regime companies and which </w:t>
            </w:r>
            <w:r w:rsidR="0028137E">
              <w:rPr>
                <w:noProof/>
                <w:szCs w:val="20"/>
              </w:rPr>
              <w:t>ha</w:t>
            </w:r>
            <w:r w:rsidR="00D949B3">
              <w:rPr>
                <w:noProof/>
                <w:szCs w:val="20"/>
              </w:rPr>
              <w:t>ve</w:t>
            </w:r>
            <w:r w:rsidR="007E469E">
              <w:rPr>
                <w:noProof/>
                <w:szCs w:val="20"/>
              </w:rPr>
              <w:t xml:space="preserve"> alre</w:t>
            </w:r>
            <w:r w:rsidR="00D949B3">
              <w:rPr>
                <w:noProof/>
                <w:szCs w:val="20"/>
              </w:rPr>
              <w:t>a</w:t>
            </w:r>
            <w:r w:rsidR="007E469E">
              <w:rPr>
                <w:noProof/>
                <w:szCs w:val="20"/>
              </w:rPr>
              <w:t>dy</w:t>
            </w:r>
            <w:r w:rsidR="0028137E">
              <w:rPr>
                <w:noProof/>
                <w:szCs w:val="20"/>
              </w:rPr>
              <w:t xml:space="preserve"> use</w:t>
            </w:r>
            <w:r w:rsidR="007E469E">
              <w:rPr>
                <w:noProof/>
                <w:szCs w:val="20"/>
              </w:rPr>
              <w:t>d</w:t>
            </w:r>
            <w:r w:rsidR="0028137E">
              <w:rPr>
                <w:noProof/>
                <w:szCs w:val="20"/>
              </w:rPr>
              <w:t xml:space="preserve"> ESOP</w:t>
            </w:r>
            <w:r w:rsidR="00B10583">
              <w:rPr>
                <w:noProof/>
                <w:szCs w:val="20"/>
              </w:rPr>
              <w:t>s</w:t>
            </w:r>
            <w:r w:rsidR="0028137E">
              <w:rPr>
                <w:noProof/>
                <w:szCs w:val="20"/>
              </w:rPr>
              <w:t xml:space="preserve"> </w:t>
            </w:r>
            <w:r w:rsidR="007E469E">
              <w:rPr>
                <w:noProof/>
                <w:szCs w:val="20"/>
              </w:rPr>
              <w:t>u</w:t>
            </w:r>
            <w:r w:rsidR="0028137E">
              <w:rPr>
                <w:noProof/>
                <w:szCs w:val="20"/>
              </w:rPr>
              <w:t xml:space="preserve">nder </w:t>
            </w:r>
            <w:r w:rsidR="003F75C7">
              <w:rPr>
                <w:noProof/>
                <w:szCs w:val="20"/>
              </w:rPr>
              <w:t xml:space="preserve">their previous legal form in accordance with </w:t>
            </w:r>
            <w:r w:rsidR="0028137E">
              <w:rPr>
                <w:noProof/>
                <w:szCs w:val="20"/>
              </w:rPr>
              <w:t>national law</w:t>
            </w:r>
            <w:r w:rsidR="003F75C7">
              <w:rPr>
                <w:noProof/>
                <w:szCs w:val="20"/>
              </w:rPr>
              <w:t>s.</w:t>
            </w:r>
            <w:r w:rsidR="008C707D">
              <w:rPr>
                <w:noProof/>
                <w:szCs w:val="20"/>
              </w:rPr>
              <w:t xml:space="preserve"> </w:t>
            </w:r>
            <w:r w:rsidR="009A3254">
              <w:rPr>
                <w:noProof/>
                <w:szCs w:val="20"/>
              </w:rPr>
              <w:t xml:space="preserve">For those </w:t>
            </w:r>
            <w:r w:rsidR="00BC51A9">
              <w:rPr>
                <w:noProof/>
                <w:szCs w:val="20"/>
              </w:rPr>
              <w:t>28</w:t>
            </w:r>
            <w:r w:rsidR="00BC51A9" w:rsidRPr="003577DD">
              <w:rPr>
                <w:noProof/>
                <w:szCs w:val="20"/>
                <w:vertAlign w:val="superscript"/>
              </w:rPr>
              <w:t>th</w:t>
            </w:r>
            <w:r w:rsidR="00BC51A9">
              <w:rPr>
                <w:noProof/>
                <w:szCs w:val="20"/>
              </w:rPr>
              <w:t xml:space="preserve"> regime</w:t>
            </w:r>
            <w:r w:rsidR="009A3254">
              <w:rPr>
                <w:noProof/>
                <w:szCs w:val="20"/>
              </w:rPr>
              <w:t xml:space="preserve"> companies that </w:t>
            </w:r>
            <w:r w:rsidR="00EC2064">
              <w:rPr>
                <w:noProof/>
                <w:szCs w:val="20"/>
              </w:rPr>
              <w:t xml:space="preserve">would </w:t>
            </w:r>
            <w:r w:rsidR="004743BF" w:rsidRPr="003502FA">
              <w:rPr>
                <w:noProof/>
                <w:szCs w:val="20"/>
              </w:rPr>
              <w:t xml:space="preserve">opt </w:t>
            </w:r>
            <w:r w:rsidR="009A4381">
              <w:rPr>
                <w:noProof/>
                <w:szCs w:val="20"/>
              </w:rPr>
              <w:t xml:space="preserve">to </w:t>
            </w:r>
            <w:r w:rsidR="007B28F4">
              <w:rPr>
                <w:noProof/>
                <w:szCs w:val="20"/>
              </w:rPr>
              <w:t xml:space="preserve">make </w:t>
            </w:r>
            <w:r w:rsidR="009A4381">
              <w:rPr>
                <w:noProof/>
                <w:szCs w:val="20"/>
              </w:rPr>
              <w:t xml:space="preserve">use </w:t>
            </w:r>
            <w:r w:rsidR="007B28F4">
              <w:rPr>
                <w:noProof/>
                <w:szCs w:val="20"/>
              </w:rPr>
              <w:t xml:space="preserve">of </w:t>
            </w:r>
            <w:r w:rsidR="009A3254">
              <w:rPr>
                <w:noProof/>
                <w:szCs w:val="20"/>
              </w:rPr>
              <w:t xml:space="preserve">the </w:t>
            </w:r>
            <w:r w:rsidR="009A4381">
              <w:rPr>
                <w:noProof/>
                <w:szCs w:val="20"/>
              </w:rPr>
              <w:t xml:space="preserve">EU-ESO </w:t>
            </w:r>
            <w:r w:rsidR="00953A40">
              <w:rPr>
                <w:noProof/>
                <w:szCs w:val="20"/>
              </w:rPr>
              <w:t>instead</w:t>
            </w:r>
            <w:r w:rsidR="009A3254">
              <w:rPr>
                <w:noProof/>
                <w:szCs w:val="20"/>
              </w:rPr>
              <w:t xml:space="preserve"> of </w:t>
            </w:r>
            <w:r w:rsidR="00D64EE6">
              <w:rPr>
                <w:noProof/>
                <w:szCs w:val="20"/>
              </w:rPr>
              <w:t xml:space="preserve">the </w:t>
            </w:r>
            <w:r w:rsidR="008E418E">
              <w:rPr>
                <w:noProof/>
                <w:szCs w:val="20"/>
              </w:rPr>
              <w:t>ESOP</w:t>
            </w:r>
            <w:r w:rsidR="00BC51A9">
              <w:rPr>
                <w:noProof/>
                <w:szCs w:val="20"/>
              </w:rPr>
              <w:t xml:space="preserve"> put in place under their previous legal form, </w:t>
            </w:r>
            <w:r w:rsidR="00E813BE">
              <w:rPr>
                <w:noProof/>
                <w:szCs w:val="20"/>
              </w:rPr>
              <w:t xml:space="preserve">adjustment costs </w:t>
            </w:r>
            <w:r w:rsidR="009F5F97">
              <w:rPr>
                <w:noProof/>
                <w:szCs w:val="20"/>
              </w:rPr>
              <w:t xml:space="preserve">to familiarise </w:t>
            </w:r>
            <w:r w:rsidR="00C94A5A">
              <w:rPr>
                <w:noProof/>
                <w:szCs w:val="20"/>
              </w:rPr>
              <w:t xml:space="preserve">themselves with </w:t>
            </w:r>
            <w:r w:rsidR="0048773B">
              <w:rPr>
                <w:noProof/>
                <w:szCs w:val="20"/>
              </w:rPr>
              <w:t xml:space="preserve">this </w:t>
            </w:r>
            <w:r w:rsidR="00283758">
              <w:rPr>
                <w:noProof/>
                <w:szCs w:val="20"/>
              </w:rPr>
              <w:t>ESOP</w:t>
            </w:r>
            <w:r w:rsidR="00D522AB">
              <w:rPr>
                <w:noProof/>
                <w:szCs w:val="20"/>
              </w:rPr>
              <w:t xml:space="preserve"> newly available to them</w:t>
            </w:r>
            <w:r w:rsidR="00283758">
              <w:rPr>
                <w:noProof/>
                <w:szCs w:val="20"/>
              </w:rPr>
              <w:t xml:space="preserve"> </w:t>
            </w:r>
            <w:r w:rsidR="00D522AB">
              <w:rPr>
                <w:noProof/>
                <w:szCs w:val="20"/>
              </w:rPr>
              <w:t>would be s</w:t>
            </w:r>
            <w:r w:rsidR="00E21828">
              <w:rPr>
                <w:noProof/>
                <w:szCs w:val="20"/>
              </w:rPr>
              <w:t>lightly higher</w:t>
            </w:r>
            <w:r w:rsidR="0028137E">
              <w:rPr>
                <w:noProof/>
                <w:szCs w:val="20"/>
              </w:rPr>
              <w:t>. Simi</w:t>
            </w:r>
            <w:r w:rsidR="00B82763">
              <w:rPr>
                <w:noProof/>
                <w:szCs w:val="20"/>
              </w:rPr>
              <w:t>lar</w:t>
            </w:r>
            <w:r w:rsidR="000B1DD0">
              <w:rPr>
                <w:noProof/>
                <w:szCs w:val="20"/>
              </w:rPr>
              <w:t>l</w:t>
            </w:r>
            <w:r w:rsidR="00B82763">
              <w:rPr>
                <w:noProof/>
                <w:szCs w:val="20"/>
              </w:rPr>
              <w:t xml:space="preserve">y, a parent company creating a 28th regime subsidiary and </w:t>
            </w:r>
            <w:r w:rsidR="009544BC">
              <w:rPr>
                <w:noProof/>
                <w:szCs w:val="20"/>
              </w:rPr>
              <w:t xml:space="preserve">which </w:t>
            </w:r>
            <w:r w:rsidR="00B82763">
              <w:rPr>
                <w:noProof/>
                <w:szCs w:val="20"/>
              </w:rPr>
              <w:t>would like to</w:t>
            </w:r>
            <w:r w:rsidR="0028137E">
              <w:rPr>
                <w:noProof/>
                <w:szCs w:val="20"/>
              </w:rPr>
              <w:t xml:space="preserve"> u</w:t>
            </w:r>
            <w:r w:rsidR="007E469E">
              <w:rPr>
                <w:noProof/>
                <w:szCs w:val="20"/>
              </w:rPr>
              <w:t xml:space="preserve">se </w:t>
            </w:r>
            <w:r w:rsidR="00E21828">
              <w:rPr>
                <w:noProof/>
                <w:szCs w:val="20"/>
              </w:rPr>
              <w:t xml:space="preserve">the </w:t>
            </w:r>
            <w:r w:rsidR="007E469E">
              <w:rPr>
                <w:noProof/>
                <w:szCs w:val="20"/>
              </w:rPr>
              <w:t xml:space="preserve">EU-ESO </w:t>
            </w:r>
            <w:r w:rsidR="00466BD3">
              <w:rPr>
                <w:noProof/>
                <w:szCs w:val="20"/>
              </w:rPr>
              <w:t>instead of an existing ESOP put in place at the parent company level</w:t>
            </w:r>
            <w:r w:rsidR="007E469E">
              <w:rPr>
                <w:noProof/>
                <w:szCs w:val="20"/>
              </w:rPr>
              <w:t xml:space="preserve"> would need to understand </w:t>
            </w:r>
            <w:r w:rsidR="004743BF" w:rsidRPr="003502FA">
              <w:rPr>
                <w:noProof/>
                <w:szCs w:val="20"/>
              </w:rPr>
              <w:t>th</w:t>
            </w:r>
            <w:r w:rsidR="00151F46">
              <w:rPr>
                <w:noProof/>
                <w:szCs w:val="20"/>
              </w:rPr>
              <w:t>is</w:t>
            </w:r>
            <w:r w:rsidR="004743BF" w:rsidRPr="003502FA">
              <w:rPr>
                <w:noProof/>
                <w:szCs w:val="20"/>
              </w:rPr>
              <w:t xml:space="preserve"> </w:t>
            </w:r>
            <w:r>
              <w:rPr>
                <w:noProof/>
                <w:szCs w:val="20"/>
              </w:rPr>
              <w:t>scheme</w:t>
            </w:r>
            <w:r w:rsidR="004743BF" w:rsidRPr="003502FA">
              <w:rPr>
                <w:noProof/>
                <w:szCs w:val="20"/>
              </w:rPr>
              <w:t>.</w:t>
            </w:r>
            <w:r w:rsidR="00E92EE1">
              <w:rPr>
                <w:noProof/>
                <w:szCs w:val="20"/>
              </w:rPr>
              <w:t xml:space="preserve"> </w:t>
            </w:r>
            <w:r w:rsidR="00511513">
              <w:rPr>
                <w:noProof/>
                <w:szCs w:val="20"/>
              </w:rPr>
              <w:t xml:space="preserve">As this </w:t>
            </w:r>
            <w:r>
              <w:rPr>
                <w:noProof/>
                <w:szCs w:val="20"/>
              </w:rPr>
              <w:t>scheme</w:t>
            </w:r>
            <w:r w:rsidR="00511513">
              <w:rPr>
                <w:noProof/>
                <w:szCs w:val="20"/>
              </w:rPr>
              <w:t xml:space="preserve"> would be fully optional</w:t>
            </w:r>
            <w:r w:rsidR="00067B16">
              <w:rPr>
                <w:noProof/>
                <w:szCs w:val="20"/>
              </w:rPr>
              <w:t xml:space="preserve"> and not replace the</w:t>
            </w:r>
            <w:r w:rsidR="00C60E6E">
              <w:rPr>
                <w:noProof/>
                <w:szCs w:val="20"/>
              </w:rPr>
              <w:t xml:space="preserve"> possibilities for settin</w:t>
            </w:r>
            <w:r w:rsidR="00DE18D2">
              <w:rPr>
                <w:noProof/>
                <w:szCs w:val="20"/>
              </w:rPr>
              <w:t>g up another ESOP</w:t>
            </w:r>
            <w:r w:rsidR="00511513">
              <w:rPr>
                <w:noProof/>
                <w:szCs w:val="20"/>
              </w:rPr>
              <w:t>,</w:t>
            </w:r>
            <w:r w:rsidR="00067B16">
              <w:rPr>
                <w:noProof/>
                <w:szCs w:val="20"/>
              </w:rPr>
              <w:t xml:space="preserve"> the score for</w:t>
            </w:r>
            <w:r w:rsidR="00184FFA">
              <w:rPr>
                <w:noProof/>
                <w:szCs w:val="20"/>
              </w:rPr>
              <w:t xml:space="preserve"> </w:t>
            </w:r>
            <w:r w:rsidR="00543E57">
              <w:rPr>
                <w:noProof/>
                <w:szCs w:val="20"/>
              </w:rPr>
              <w:t xml:space="preserve">administrative and adjustment costs is </w:t>
            </w:r>
            <w:r w:rsidR="006F3C45">
              <w:rPr>
                <w:noProof/>
                <w:szCs w:val="20"/>
              </w:rPr>
              <w:t xml:space="preserve">the same for options 5a and 5b. </w:t>
            </w:r>
            <w:r w:rsidR="00A8538B">
              <w:rPr>
                <w:noProof/>
                <w:szCs w:val="20"/>
              </w:rPr>
              <w:t xml:space="preserve">PO5c would </w:t>
            </w:r>
            <w:r w:rsidR="007950C8">
              <w:rPr>
                <w:noProof/>
                <w:szCs w:val="20"/>
              </w:rPr>
              <w:t>equally</w:t>
            </w:r>
            <w:r w:rsidR="00A8538B">
              <w:rPr>
                <w:noProof/>
                <w:szCs w:val="20"/>
              </w:rPr>
              <w:t xml:space="preserve"> not add any adjustment costs</w:t>
            </w:r>
            <w:r w:rsidR="00137B47">
              <w:rPr>
                <w:noProof/>
                <w:szCs w:val="20"/>
              </w:rPr>
              <w:t xml:space="preserve"> as such as it would simplify</w:t>
            </w:r>
            <w:r w:rsidR="00C86184">
              <w:rPr>
                <w:noProof/>
                <w:szCs w:val="20"/>
              </w:rPr>
              <w:t xml:space="preserve"> the rules for taxation of </w:t>
            </w:r>
            <w:r w:rsidR="00130B1B">
              <w:rPr>
                <w:noProof/>
                <w:szCs w:val="20"/>
              </w:rPr>
              <w:t xml:space="preserve">the </w:t>
            </w:r>
            <w:r w:rsidR="00C86184">
              <w:rPr>
                <w:noProof/>
                <w:szCs w:val="20"/>
              </w:rPr>
              <w:t>EU-ESO by harmonising</w:t>
            </w:r>
            <w:r w:rsidR="002050A3">
              <w:rPr>
                <w:noProof/>
                <w:szCs w:val="20"/>
              </w:rPr>
              <w:t xml:space="preserve"> the point of taxation.</w:t>
            </w:r>
            <w:r w:rsidR="004743BF" w:rsidRPr="003502FA">
              <w:rPr>
                <w:noProof/>
                <w:szCs w:val="20"/>
              </w:rPr>
              <w:t xml:space="preserve"> </w:t>
            </w:r>
            <w:r w:rsidR="004743BF" w:rsidDel="001271F8">
              <w:rPr>
                <w:noProof/>
                <w:szCs w:val="20"/>
              </w:rPr>
              <w:t xml:space="preserve"> </w:t>
            </w:r>
          </w:p>
        </w:tc>
      </w:tr>
      <w:tr w:rsidR="00DF5E69" w:rsidRPr="00DC6DD8" w14:paraId="3F2E3FAB" w14:textId="77777777" w:rsidTr="6F00936E">
        <w:tc>
          <w:tcPr>
            <w:tcW w:w="14170" w:type="dxa"/>
            <w:gridSpan w:val="6"/>
            <w:shd w:val="clear" w:color="auto" w:fill="92D050"/>
            <w:vAlign w:val="center"/>
          </w:tcPr>
          <w:p w14:paraId="272E8843" w14:textId="77777777" w:rsidR="00DF5E69" w:rsidRPr="00DC6DD8" w:rsidRDefault="00DF5E69" w:rsidP="00DF5E69">
            <w:pPr>
              <w:rPr>
                <w:b/>
                <w:noProof/>
                <w:szCs w:val="20"/>
              </w:rPr>
            </w:pPr>
            <w:r w:rsidRPr="00D345EC">
              <w:rPr>
                <w:b/>
                <w:noProof/>
                <w:sz w:val="24"/>
                <w:szCs w:val="24"/>
              </w:rPr>
              <w:t>Public authorities</w:t>
            </w:r>
          </w:p>
        </w:tc>
      </w:tr>
      <w:tr w:rsidR="00DF5E69" w:rsidRPr="00DC6DD8" w14:paraId="60988FC7" w14:textId="77777777" w:rsidTr="6F00936E">
        <w:tc>
          <w:tcPr>
            <w:tcW w:w="2122" w:type="dxa"/>
          </w:tcPr>
          <w:p w14:paraId="6C4D47FA" w14:textId="77777777" w:rsidR="00DF5E69" w:rsidRPr="0074616C" w:rsidRDefault="00DF5E69" w:rsidP="00DF5E69">
            <w:pPr>
              <w:rPr>
                <w:b/>
                <w:noProof/>
                <w:szCs w:val="20"/>
              </w:rPr>
            </w:pPr>
            <w:r>
              <w:rPr>
                <w:b/>
                <w:noProof/>
                <w:szCs w:val="20"/>
              </w:rPr>
              <w:t>Costs</w:t>
            </w:r>
          </w:p>
        </w:tc>
        <w:tc>
          <w:tcPr>
            <w:tcW w:w="1508" w:type="dxa"/>
          </w:tcPr>
          <w:p w14:paraId="6C2DB8D8" w14:textId="77777777" w:rsidR="00DF5E69" w:rsidRDefault="00DF5E69" w:rsidP="00DF5E69">
            <w:pPr>
              <w:rPr>
                <w:noProof/>
                <w:sz w:val="18"/>
                <w:szCs w:val="18"/>
              </w:rPr>
            </w:pPr>
            <w:r w:rsidRPr="00170FBB">
              <w:rPr>
                <w:noProof/>
                <w:sz w:val="18"/>
                <w:szCs w:val="18"/>
              </w:rPr>
              <w:t>Score 0-5</w:t>
            </w:r>
          </w:p>
          <w:p w14:paraId="6BCF3F3F" w14:textId="11AED646" w:rsidR="00DF5E69" w:rsidRPr="00170FBB" w:rsidRDefault="00E2486D" w:rsidP="00DF5E69">
            <w:pPr>
              <w:rPr>
                <w:noProof/>
                <w:sz w:val="18"/>
                <w:szCs w:val="18"/>
              </w:rPr>
            </w:pPr>
            <w:r w:rsidRPr="00170FBB">
              <w:rPr>
                <w:noProof/>
                <w:sz w:val="18"/>
                <w:szCs w:val="18"/>
              </w:rPr>
              <w:t xml:space="preserve">Standard Cost Model calculations </w:t>
            </w:r>
          </w:p>
        </w:tc>
        <w:tc>
          <w:tcPr>
            <w:tcW w:w="1042" w:type="dxa"/>
          </w:tcPr>
          <w:p w14:paraId="08BA56CA" w14:textId="5842D039" w:rsidR="00DF5E69" w:rsidRPr="0029649C" w:rsidRDefault="00862907" w:rsidP="00830463">
            <w:pPr>
              <w:jc w:val="center"/>
              <w:rPr>
                <w:noProof/>
                <w:szCs w:val="20"/>
              </w:rPr>
            </w:pPr>
            <w:r>
              <w:rPr>
                <w:noProof/>
                <w:szCs w:val="20"/>
              </w:rPr>
              <w:t>0</w:t>
            </w:r>
          </w:p>
        </w:tc>
        <w:tc>
          <w:tcPr>
            <w:tcW w:w="996" w:type="dxa"/>
          </w:tcPr>
          <w:p w14:paraId="6FA04372" w14:textId="37622CB0" w:rsidR="00DF5E69" w:rsidRPr="0029649C" w:rsidRDefault="00862907" w:rsidP="00830463">
            <w:pPr>
              <w:jc w:val="center"/>
              <w:rPr>
                <w:noProof/>
                <w:szCs w:val="20"/>
              </w:rPr>
            </w:pPr>
            <w:r>
              <w:rPr>
                <w:noProof/>
                <w:szCs w:val="20"/>
              </w:rPr>
              <w:t>0</w:t>
            </w:r>
          </w:p>
        </w:tc>
        <w:tc>
          <w:tcPr>
            <w:tcW w:w="994" w:type="dxa"/>
          </w:tcPr>
          <w:p w14:paraId="1EF383D9" w14:textId="77777777" w:rsidR="00DF5E69" w:rsidRDefault="00837E07" w:rsidP="00830463">
            <w:pPr>
              <w:jc w:val="center"/>
              <w:rPr>
                <w:noProof/>
                <w:szCs w:val="20"/>
              </w:rPr>
            </w:pPr>
            <w:r>
              <w:rPr>
                <w:noProof/>
                <w:szCs w:val="20"/>
              </w:rPr>
              <w:t>2</w:t>
            </w:r>
          </w:p>
          <w:p w14:paraId="7FE2C6BB" w14:textId="64F52C67" w:rsidR="00575DDD" w:rsidRPr="00575DDD" w:rsidRDefault="19CC881A" w:rsidP="6F00936E">
            <w:pPr>
              <w:jc w:val="center"/>
              <w:rPr>
                <w:rFonts w:cs="Arial"/>
                <w:noProof/>
              </w:rPr>
            </w:pPr>
            <w:r w:rsidRPr="6F00936E">
              <w:rPr>
                <w:rFonts w:cs="Arial"/>
                <w:noProof/>
              </w:rPr>
              <w:t>EUR</w:t>
            </w:r>
            <w:r w:rsidR="7AD74AE6" w:rsidRPr="6F00936E">
              <w:rPr>
                <w:rFonts w:cs="Arial"/>
                <w:noProof/>
              </w:rPr>
              <w:t xml:space="preserve"> </w:t>
            </w:r>
            <w:r w:rsidR="7368C100" w:rsidRPr="6F00936E">
              <w:rPr>
                <w:rFonts w:eastAsia="Times New Roman" w:cs="Calibri"/>
                <w:noProof/>
                <w:lang w:val="en-IE" w:eastAsia="en-IE"/>
              </w:rPr>
              <w:t>61</w:t>
            </w:r>
            <w:r w:rsidR="7AD74AE6" w:rsidRPr="6F00936E">
              <w:rPr>
                <w:rFonts w:eastAsia="Times New Roman" w:cs="Calibri"/>
                <w:noProof/>
                <w:lang w:val="en-IE" w:eastAsia="en-IE"/>
              </w:rPr>
              <w:t>,000,000</w:t>
            </w:r>
          </w:p>
          <w:p w14:paraId="724851DD" w14:textId="4F65B7C7" w:rsidR="00DF5E69" w:rsidRPr="0029649C" w:rsidDel="00073540" w:rsidRDefault="00E2486D" w:rsidP="00830463">
            <w:pPr>
              <w:jc w:val="center"/>
              <w:rPr>
                <w:noProof/>
                <w:szCs w:val="20"/>
              </w:rPr>
            </w:pPr>
            <w:r w:rsidRPr="007562E2">
              <w:rPr>
                <w:rFonts w:eastAsia="Times New Roman" w:cs="Calibri"/>
                <w:noProof/>
                <w:color w:val="000000"/>
                <w:sz w:val="16"/>
                <w:szCs w:val="16"/>
                <w:lang w:val="en-IE" w:eastAsia="en-IE"/>
              </w:rPr>
              <w:t xml:space="preserve">Total </w:t>
            </w:r>
            <w:r w:rsidR="00922ACF">
              <w:rPr>
                <w:rFonts w:eastAsia="Times New Roman" w:cs="Calibri"/>
                <w:noProof/>
                <w:color w:val="000000"/>
                <w:sz w:val="16"/>
                <w:szCs w:val="16"/>
                <w:lang w:val="en-IE" w:eastAsia="en-IE"/>
              </w:rPr>
              <w:t>negative</w:t>
            </w:r>
            <w:r w:rsidR="00466015">
              <w:rPr>
                <w:rFonts w:eastAsia="Times New Roman" w:cs="Calibri"/>
                <w:noProof/>
                <w:color w:val="000000"/>
                <w:sz w:val="16"/>
                <w:szCs w:val="16"/>
                <w:lang w:val="en-IE" w:eastAsia="en-IE"/>
              </w:rPr>
              <w:t xml:space="preserve"> liquidity</w:t>
            </w:r>
            <w:r w:rsidR="00922ACF">
              <w:rPr>
                <w:rFonts w:eastAsia="Times New Roman" w:cs="Calibri"/>
                <w:noProof/>
                <w:color w:val="000000"/>
                <w:sz w:val="16"/>
                <w:szCs w:val="16"/>
                <w:lang w:val="en-IE" w:eastAsia="en-IE"/>
              </w:rPr>
              <w:t xml:space="preserve"> impact on tax revenues</w:t>
            </w:r>
            <w:r w:rsidR="004C2C79">
              <w:rPr>
                <w:rFonts w:eastAsia="Times New Roman" w:cs="Calibri"/>
                <w:noProof/>
                <w:color w:val="000000"/>
                <w:sz w:val="16"/>
                <w:szCs w:val="16"/>
                <w:lang w:val="en-IE" w:eastAsia="en-IE"/>
              </w:rPr>
              <w:t xml:space="preserve"> over the first 10 years</w:t>
            </w:r>
            <w:r>
              <w:rPr>
                <w:rFonts w:eastAsia="Times New Roman" w:cs="Calibri"/>
                <w:noProof/>
                <w:color w:val="000000"/>
                <w:sz w:val="16"/>
                <w:szCs w:val="16"/>
                <w:lang w:val="en-IE" w:eastAsia="en-IE"/>
              </w:rPr>
              <w:t xml:space="preserve"> </w:t>
            </w:r>
          </w:p>
        </w:tc>
        <w:tc>
          <w:tcPr>
            <w:tcW w:w="7508" w:type="dxa"/>
          </w:tcPr>
          <w:p w14:paraId="5B798963" w14:textId="6F9D9A6E" w:rsidR="00DF5E69" w:rsidRPr="00EA1B20" w:rsidRDefault="00344678" w:rsidP="00830463">
            <w:pPr>
              <w:jc w:val="both"/>
              <w:rPr>
                <w:noProof/>
                <w:szCs w:val="20"/>
                <w:lang w:val="en-IE"/>
              </w:rPr>
            </w:pPr>
            <w:r>
              <w:rPr>
                <w:noProof/>
                <w:szCs w:val="20"/>
              </w:rPr>
              <w:t>PO</w:t>
            </w:r>
            <w:r w:rsidR="00F65FF2">
              <w:rPr>
                <w:noProof/>
                <w:szCs w:val="20"/>
              </w:rPr>
              <w:t xml:space="preserve">5a and PO5b do not </w:t>
            </w:r>
            <w:r w:rsidR="00F8637F">
              <w:rPr>
                <w:noProof/>
                <w:szCs w:val="20"/>
              </w:rPr>
              <w:t>affect</w:t>
            </w:r>
            <w:r w:rsidR="00043A29">
              <w:rPr>
                <w:noProof/>
                <w:szCs w:val="20"/>
              </w:rPr>
              <w:t xml:space="preserve"> the</w:t>
            </w:r>
            <w:r w:rsidR="00F8637F">
              <w:rPr>
                <w:noProof/>
                <w:szCs w:val="20"/>
              </w:rPr>
              <w:t xml:space="preserve"> treatment of employee </w:t>
            </w:r>
            <w:r w:rsidR="00832525" w:rsidRPr="004F41F4">
              <w:rPr>
                <w:noProof/>
                <w:szCs w:val="20"/>
                <w:lang w:val="en-IE"/>
              </w:rPr>
              <w:t xml:space="preserve">stock ownership schemes </w:t>
            </w:r>
            <w:r w:rsidR="00925230" w:rsidRPr="004F41F4">
              <w:rPr>
                <w:noProof/>
                <w:szCs w:val="20"/>
                <w:lang w:val="en-IE"/>
              </w:rPr>
              <w:t xml:space="preserve">by </w:t>
            </w:r>
            <w:r w:rsidR="009F7903">
              <w:rPr>
                <w:noProof/>
                <w:szCs w:val="20"/>
                <w:lang w:val="en-IE"/>
              </w:rPr>
              <w:t>tax</w:t>
            </w:r>
            <w:r w:rsidR="009F7903" w:rsidRPr="004F41F4">
              <w:rPr>
                <w:noProof/>
                <w:szCs w:val="20"/>
                <w:lang w:val="en-IE"/>
              </w:rPr>
              <w:t xml:space="preserve"> </w:t>
            </w:r>
            <w:r w:rsidR="00925230" w:rsidRPr="004F41F4">
              <w:rPr>
                <w:noProof/>
                <w:szCs w:val="20"/>
                <w:lang w:val="en-IE"/>
              </w:rPr>
              <w:t xml:space="preserve">authorities. </w:t>
            </w:r>
            <w:r w:rsidR="00262C67" w:rsidRPr="004F41F4">
              <w:rPr>
                <w:noProof/>
                <w:szCs w:val="20"/>
                <w:lang w:val="en-IE"/>
              </w:rPr>
              <w:t>O</w:t>
            </w:r>
            <w:r w:rsidR="00FC1F07" w:rsidRPr="004F41F4">
              <w:rPr>
                <w:noProof/>
                <w:szCs w:val="20"/>
                <w:lang w:val="en-IE"/>
              </w:rPr>
              <w:t xml:space="preserve">wnership schemes </w:t>
            </w:r>
            <w:r w:rsidR="001C640C" w:rsidRPr="004F41F4">
              <w:rPr>
                <w:noProof/>
                <w:szCs w:val="20"/>
                <w:lang w:val="en-IE"/>
              </w:rPr>
              <w:t>offered by</w:t>
            </w:r>
            <w:r w:rsidR="00A84FC5" w:rsidRPr="004F41F4">
              <w:rPr>
                <w:noProof/>
                <w:szCs w:val="20"/>
                <w:lang w:val="en-IE"/>
              </w:rPr>
              <w:t xml:space="preserve"> 28th regime companies would </w:t>
            </w:r>
            <w:r w:rsidR="00E92193" w:rsidRPr="004F41F4">
              <w:rPr>
                <w:noProof/>
                <w:szCs w:val="20"/>
                <w:lang w:val="en-IE"/>
              </w:rPr>
              <w:t xml:space="preserve">follow the same </w:t>
            </w:r>
            <w:r w:rsidR="00BF7BDC" w:rsidRPr="004F41F4">
              <w:rPr>
                <w:noProof/>
                <w:szCs w:val="20"/>
                <w:lang w:val="en-IE"/>
              </w:rPr>
              <w:t xml:space="preserve">national taxation </w:t>
            </w:r>
            <w:r w:rsidR="00E92193" w:rsidRPr="004F41F4">
              <w:rPr>
                <w:noProof/>
                <w:szCs w:val="20"/>
                <w:lang w:val="en-IE"/>
              </w:rPr>
              <w:t>rules</w:t>
            </w:r>
            <w:r w:rsidR="00BF7BDC" w:rsidRPr="004F41F4">
              <w:rPr>
                <w:noProof/>
                <w:szCs w:val="20"/>
                <w:lang w:val="en-IE"/>
              </w:rPr>
              <w:t xml:space="preserve"> as</w:t>
            </w:r>
            <w:r w:rsidR="001C640C" w:rsidRPr="004F41F4">
              <w:rPr>
                <w:noProof/>
                <w:szCs w:val="20"/>
                <w:lang w:val="en-IE"/>
              </w:rPr>
              <w:t xml:space="preserve"> </w:t>
            </w:r>
            <w:r w:rsidR="00CA5A3B" w:rsidRPr="004F41F4">
              <w:rPr>
                <w:noProof/>
                <w:szCs w:val="20"/>
                <w:lang w:val="en-IE"/>
              </w:rPr>
              <w:t>schemes set up by other companies, and the</w:t>
            </w:r>
            <w:r w:rsidR="00682FE8" w:rsidRPr="004F41F4">
              <w:rPr>
                <w:noProof/>
                <w:szCs w:val="20"/>
                <w:lang w:val="en-IE"/>
              </w:rPr>
              <w:t xml:space="preserve"> taxation treatment of</w:t>
            </w:r>
            <w:r w:rsidR="001136FE" w:rsidRPr="004F41F4">
              <w:rPr>
                <w:noProof/>
                <w:szCs w:val="20"/>
                <w:lang w:val="en-IE"/>
              </w:rPr>
              <w:t xml:space="preserve"> stock option schemes </w:t>
            </w:r>
            <w:r w:rsidR="00AD665C" w:rsidRPr="004F41F4">
              <w:rPr>
                <w:noProof/>
                <w:szCs w:val="20"/>
                <w:lang w:val="en-IE"/>
              </w:rPr>
              <w:t>set up by such other companies could also be applied to</w:t>
            </w:r>
            <w:r w:rsidR="00CA5A3B" w:rsidRPr="004F41F4">
              <w:rPr>
                <w:noProof/>
                <w:szCs w:val="20"/>
                <w:lang w:val="en-IE"/>
              </w:rPr>
              <w:t xml:space="preserve"> EU-ESO</w:t>
            </w:r>
            <w:r w:rsidR="00682FE8" w:rsidRPr="004F41F4">
              <w:rPr>
                <w:noProof/>
                <w:szCs w:val="20"/>
                <w:lang w:val="en-IE"/>
              </w:rPr>
              <w:t>s</w:t>
            </w:r>
            <w:r w:rsidR="00AD665C" w:rsidRPr="004F41F4">
              <w:rPr>
                <w:noProof/>
                <w:szCs w:val="20"/>
                <w:lang w:val="en-IE"/>
              </w:rPr>
              <w:t xml:space="preserve"> set up by 28th regime companies, leading to no significant </w:t>
            </w:r>
            <w:r w:rsidR="0051525F" w:rsidRPr="004F41F4">
              <w:rPr>
                <w:noProof/>
                <w:szCs w:val="20"/>
                <w:lang w:val="en-IE"/>
              </w:rPr>
              <w:t xml:space="preserve">costs – in particular no tax losses – for </w:t>
            </w:r>
            <w:r w:rsidR="002B25FC">
              <w:rPr>
                <w:noProof/>
                <w:szCs w:val="20"/>
                <w:lang w:val="en-IE"/>
              </w:rPr>
              <w:t>tax</w:t>
            </w:r>
            <w:r w:rsidR="0051525F" w:rsidRPr="004F41F4">
              <w:rPr>
                <w:noProof/>
                <w:szCs w:val="20"/>
                <w:lang w:val="en-IE"/>
              </w:rPr>
              <w:t xml:space="preserve"> authorities.</w:t>
            </w:r>
            <w:r w:rsidR="00682FE8" w:rsidRPr="004F41F4">
              <w:rPr>
                <w:noProof/>
                <w:szCs w:val="20"/>
                <w:lang w:val="en-IE"/>
              </w:rPr>
              <w:t xml:space="preserve"> </w:t>
            </w:r>
            <w:r w:rsidR="00862907" w:rsidRPr="006E5091">
              <w:rPr>
                <w:noProof/>
                <w:szCs w:val="20"/>
                <w:lang w:val="en-IE"/>
              </w:rPr>
              <w:t>PO5</w:t>
            </w:r>
            <w:r w:rsidR="00862907">
              <w:rPr>
                <w:noProof/>
                <w:szCs w:val="20"/>
                <w:lang w:val="en-IE"/>
              </w:rPr>
              <w:t>c</w:t>
            </w:r>
            <w:r w:rsidR="00862907" w:rsidRPr="006E5091">
              <w:rPr>
                <w:noProof/>
                <w:szCs w:val="20"/>
                <w:lang w:val="en-IE"/>
              </w:rPr>
              <w:t xml:space="preserve"> affect</w:t>
            </w:r>
            <w:r w:rsidR="00862907">
              <w:rPr>
                <w:noProof/>
                <w:szCs w:val="20"/>
                <w:lang w:val="en-IE"/>
              </w:rPr>
              <w:t>s</w:t>
            </w:r>
            <w:r w:rsidR="00862907" w:rsidRPr="006E5091">
              <w:rPr>
                <w:noProof/>
                <w:szCs w:val="20"/>
                <w:lang w:val="en-IE"/>
              </w:rPr>
              <w:t xml:space="preserve"> the treatment of employee stock ownership schemes by public authorities</w:t>
            </w:r>
            <w:r w:rsidR="00862907">
              <w:rPr>
                <w:noProof/>
                <w:szCs w:val="20"/>
                <w:lang w:val="en-IE"/>
              </w:rPr>
              <w:t>, because it foresees the deferral of taxation to the moment of disposal of the underlying shares</w:t>
            </w:r>
            <w:r w:rsidR="00A94E7D">
              <w:rPr>
                <w:noProof/>
                <w:szCs w:val="20"/>
                <w:lang w:val="en-IE"/>
              </w:rPr>
              <w:t xml:space="preserve"> where 28</w:t>
            </w:r>
            <w:r w:rsidR="00A94E7D" w:rsidRPr="00830463">
              <w:rPr>
                <w:noProof/>
                <w:szCs w:val="20"/>
                <w:vertAlign w:val="superscript"/>
                <w:lang w:val="en-IE"/>
              </w:rPr>
              <w:t>th</w:t>
            </w:r>
            <w:r w:rsidR="00A94E7D">
              <w:rPr>
                <w:noProof/>
                <w:szCs w:val="20"/>
                <w:lang w:val="en-IE"/>
              </w:rPr>
              <w:t xml:space="preserve"> regime companies </w:t>
            </w:r>
            <w:r w:rsidR="008C6FED">
              <w:rPr>
                <w:noProof/>
                <w:szCs w:val="20"/>
                <w:lang w:val="en-IE"/>
              </w:rPr>
              <w:t>use the EU-ESO</w:t>
            </w:r>
            <w:r w:rsidR="00862907">
              <w:rPr>
                <w:noProof/>
                <w:szCs w:val="20"/>
                <w:lang w:val="en-IE"/>
              </w:rPr>
              <w:t>. Therefore, the treatment</w:t>
            </w:r>
            <w:r w:rsidR="00A233CE">
              <w:rPr>
                <w:noProof/>
                <w:szCs w:val="20"/>
                <w:lang w:val="en-IE"/>
              </w:rPr>
              <w:t xml:space="preserve"> may</w:t>
            </w:r>
            <w:r w:rsidR="00862907">
              <w:rPr>
                <w:noProof/>
                <w:szCs w:val="20"/>
                <w:lang w:val="en-IE"/>
              </w:rPr>
              <w:t xml:space="preserve"> </w:t>
            </w:r>
            <w:r w:rsidR="00AA7BC6">
              <w:rPr>
                <w:noProof/>
                <w:szCs w:val="20"/>
                <w:lang w:val="en-IE"/>
              </w:rPr>
              <w:t>be different from</w:t>
            </w:r>
            <w:r w:rsidR="00862907">
              <w:rPr>
                <w:noProof/>
                <w:szCs w:val="20"/>
                <w:lang w:val="en-IE"/>
              </w:rPr>
              <w:t xml:space="preserve"> national legislation </w:t>
            </w:r>
            <w:r w:rsidR="00AA7BC6">
              <w:rPr>
                <w:noProof/>
                <w:szCs w:val="20"/>
                <w:lang w:val="en-IE"/>
              </w:rPr>
              <w:t>on the taxation of employee stock options</w:t>
            </w:r>
            <w:r w:rsidR="00862907">
              <w:rPr>
                <w:noProof/>
                <w:szCs w:val="20"/>
                <w:lang w:val="en-IE"/>
              </w:rPr>
              <w:t>, not considering that the taxable event has accrued until the moment of the sale</w:t>
            </w:r>
            <w:r w:rsidR="00862907" w:rsidRPr="006E5091">
              <w:rPr>
                <w:noProof/>
                <w:szCs w:val="20"/>
                <w:lang w:val="en-IE"/>
              </w:rPr>
              <w:t>.</w:t>
            </w:r>
            <w:r w:rsidR="00862907">
              <w:rPr>
                <w:noProof/>
                <w:szCs w:val="20"/>
                <w:lang w:val="en-IE"/>
              </w:rPr>
              <w:t xml:space="preserve"> </w:t>
            </w:r>
            <w:r w:rsidR="00862907">
              <w:rPr>
                <w:noProof/>
                <w:lang w:val="en-US"/>
              </w:rPr>
              <w:t xml:space="preserve">PO5c </w:t>
            </w:r>
            <w:r w:rsidR="00FE7BD2">
              <w:rPr>
                <w:noProof/>
                <w:lang w:val="en-US"/>
              </w:rPr>
              <w:t>thus</w:t>
            </w:r>
            <w:r w:rsidR="00862907">
              <w:rPr>
                <w:noProof/>
                <w:lang w:val="en-US"/>
              </w:rPr>
              <w:t xml:space="preserve"> comes with negative liquidity effects for EU tax authorities </w:t>
            </w:r>
            <w:r w:rsidR="00A65B10" w:rsidRPr="009C6C65">
              <w:rPr>
                <w:noProof/>
                <w:lang w:val="en-IE"/>
              </w:rPr>
              <w:t xml:space="preserve">(with corresponding </w:t>
            </w:r>
            <w:r w:rsidR="008D0CC8" w:rsidRPr="009C6C65">
              <w:rPr>
                <w:noProof/>
                <w:lang w:val="en-IE"/>
              </w:rPr>
              <w:t xml:space="preserve">positive liquidity effects </w:t>
            </w:r>
            <w:r w:rsidR="001A39A6" w:rsidRPr="009C6C65">
              <w:rPr>
                <w:noProof/>
                <w:lang w:val="en-IE"/>
              </w:rPr>
              <w:t>for employees)</w:t>
            </w:r>
            <w:r w:rsidR="008D0CC8" w:rsidRPr="009C6C65">
              <w:rPr>
                <w:noProof/>
                <w:lang w:val="en-IE"/>
              </w:rPr>
              <w:t xml:space="preserve"> </w:t>
            </w:r>
            <w:r w:rsidR="00862907">
              <w:rPr>
                <w:noProof/>
                <w:lang w:val="en-US"/>
              </w:rPr>
              <w:t xml:space="preserve">due to the tax deferral that occurs in the context of the common EU-ESO. The effect is not expected to have </w:t>
            </w:r>
            <w:r w:rsidR="00CB6026">
              <w:rPr>
                <w:noProof/>
                <w:lang w:val="en-US"/>
              </w:rPr>
              <w:t xml:space="preserve">a </w:t>
            </w:r>
            <w:r w:rsidR="00862907">
              <w:rPr>
                <w:noProof/>
                <w:lang w:val="en-US"/>
              </w:rPr>
              <w:t>great impact</w:t>
            </w:r>
            <w:r w:rsidR="00443FBD">
              <w:rPr>
                <w:noProof/>
                <w:lang w:val="en-US"/>
              </w:rPr>
              <w:t xml:space="preserve"> on</w:t>
            </w:r>
            <w:r w:rsidR="00514BDD">
              <w:rPr>
                <w:noProof/>
                <w:lang w:val="en-US"/>
              </w:rPr>
              <w:t xml:space="preserve"> the </w:t>
            </w:r>
            <w:r w:rsidR="00D142C8">
              <w:rPr>
                <w:noProof/>
                <w:lang w:val="en-US"/>
              </w:rPr>
              <w:t>overall tax revenues</w:t>
            </w:r>
            <w:r w:rsidR="00514BDD">
              <w:rPr>
                <w:noProof/>
                <w:lang w:val="en-US"/>
              </w:rPr>
              <w:t xml:space="preserve"> of</w:t>
            </w:r>
            <w:r w:rsidR="00A27A1B">
              <w:rPr>
                <w:noProof/>
                <w:lang w:val="en-US"/>
              </w:rPr>
              <w:t xml:space="preserve"> </w:t>
            </w:r>
            <w:r w:rsidR="002A366B">
              <w:rPr>
                <w:noProof/>
                <w:lang w:val="en-US"/>
              </w:rPr>
              <w:t xml:space="preserve">Member </w:t>
            </w:r>
            <w:r w:rsidR="00D142C8">
              <w:rPr>
                <w:noProof/>
                <w:lang w:val="en-US"/>
              </w:rPr>
              <w:t>States</w:t>
            </w:r>
            <w:r w:rsidR="00862907">
              <w:rPr>
                <w:noProof/>
                <w:lang w:val="en-US"/>
              </w:rPr>
              <w:t xml:space="preserve">, as the measure does not propose any modification of the characterization of the income or the tax applied. </w:t>
            </w:r>
            <w:r w:rsidR="00F04693">
              <w:rPr>
                <w:noProof/>
                <w:lang w:val="en-US"/>
              </w:rPr>
              <w:t>In addition, some</w:t>
            </w:r>
            <w:r w:rsidR="000C615A">
              <w:rPr>
                <w:noProof/>
                <w:lang w:val="en-US"/>
              </w:rPr>
              <w:t xml:space="preserve"> </w:t>
            </w:r>
            <w:r w:rsidR="00862907">
              <w:rPr>
                <w:noProof/>
                <w:lang w:val="en-US"/>
              </w:rPr>
              <w:t xml:space="preserve">Member States </w:t>
            </w:r>
            <w:r w:rsidR="00862907" w:rsidRPr="00EA6BAA">
              <w:rPr>
                <w:noProof/>
                <w:lang w:val="en-US"/>
              </w:rPr>
              <w:t xml:space="preserve">already </w:t>
            </w:r>
            <w:r w:rsidR="00862907">
              <w:rPr>
                <w:noProof/>
                <w:lang w:val="en-US"/>
              </w:rPr>
              <w:t>offer</w:t>
            </w:r>
            <w:r w:rsidR="00862907" w:rsidRPr="00EA6BAA">
              <w:rPr>
                <w:noProof/>
                <w:lang w:val="en-US"/>
              </w:rPr>
              <w:t xml:space="preserve"> schemes</w:t>
            </w:r>
            <w:r w:rsidR="00424583">
              <w:rPr>
                <w:noProof/>
                <w:lang w:val="en-US"/>
              </w:rPr>
              <w:t xml:space="preserve"> </w:t>
            </w:r>
            <w:r w:rsidR="003D3E3B">
              <w:rPr>
                <w:noProof/>
                <w:lang w:val="en-US"/>
              </w:rPr>
              <w:t>on</w:t>
            </w:r>
            <w:r w:rsidR="00424583">
              <w:rPr>
                <w:noProof/>
                <w:lang w:val="en-US"/>
              </w:rPr>
              <w:t xml:space="preserve"> employee stock </w:t>
            </w:r>
            <w:r w:rsidR="00C672C5">
              <w:rPr>
                <w:noProof/>
                <w:lang w:val="en-US"/>
              </w:rPr>
              <w:t>options</w:t>
            </w:r>
            <w:r w:rsidR="00862907" w:rsidRPr="00EA6BAA">
              <w:rPr>
                <w:noProof/>
                <w:lang w:val="en-US"/>
              </w:rPr>
              <w:t xml:space="preserve"> </w:t>
            </w:r>
            <w:r w:rsidR="007D7006">
              <w:rPr>
                <w:noProof/>
                <w:lang w:val="en-US"/>
              </w:rPr>
              <w:t>where</w:t>
            </w:r>
            <w:r w:rsidR="00862907">
              <w:rPr>
                <w:noProof/>
                <w:lang w:val="en-US"/>
              </w:rPr>
              <w:t xml:space="preserve"> taxation </w:t>
            </w:r>
            <w:r w:rsidR="007D7006">
              <w:rPr>
                <w:noProof/>
                <w:lang w:val="en-US"/>
              </w:rPr>
              <w:t>is deferred</w:t>
            </w:r>
            <w:r w:rsidR="00862907">
              <w:rPr>
                <w:noProof/>
                <w:lang w:val="en-US"/>
              </w:rPr>
              <w:t xml:space="preserve"> to</w:t>
            </w:r>
            <w:r w:rsidR="007D7006">
              <w:rPr>
                <w:noProof/>
                <w:lang w:val="en-US"/>
              </w:rPr>
              <w:t xml:space="preserve"> the point of</w:t>
            </w:r>
            <w:r w:rsidR="00862907">
              <w:rPr>
                <w:noProof/>
                <w:lang w:val="en-US"/>
              </w:rPr>
              <w:t xml:space="preserve"> sale, as it is proposed in PO5c, in which case this option will not </w:t>
            </w:r>
            <w:r w:rsidR="007B4666">
              <w:rPr>
                <w:noProof/>
                <w:lang w:val="en-US"/>
              </w:rPr>
              <w:t>introduce a different t</w:t>
            </w:r>
            <w:r w:rsidR="005541CD">
              <w:rPr>
                <w:noProof/>
                <w:lang w:val="en-US"/>
              </w:rPr>
              <w:t>iming of taxation.</w:t>
            </w:r>
            <w:r w:rsidR="00B15CFD">
              <w:rPr>
                <w:noProof/>
                <w:lang w:val="en-US"/>
              </w:rPr>
              <w:t xml:space="preserve"> </w:t>
            </w:r>
            <w:r w:rsidR="004A31E9">
              <w:rPr>
                <w:noProof/>
                <w:lang w:val="en-US"/>
              </w:rPr>
              <w:t>Under the estimated take-up rate</w:t>
            </w:r>
            <w:r w:rsidR="00EB62D9">
              <w:rPr>
                <w:noProof/>
                <w:lang w:val="en-US"/>
              </w:rPr>
              <w:t xml:space="preserve"> for the EU-ESO</w:t>
            </w:r>
            <w:r w:rsidR="004A31E9">
              <w:rPr>
                <w:noProof/>
                <w:lang w:val="en-US"/>
              </w:rPr>
              <w:t xml:space="preserve"> of 10% of 28</w:t>
            </w:r>
            <w:r w:rsidR="004A31E9" w:rsidRPr="00E57C3A">
              <w:rPr>
                <w:noProof/>
                <w:vertAlign w:val="superscript"/>
                <w:lang w:val="en-US"/>
              </w:rPr>
              <w:t>th</w:t>
            </w:r>
            <w:r w:rsidR="004A31E9">
              <w:rPr>
                <w:noProof/>
                <w:lang w:val="en-US"/>
              </w:rPr>
              <w:t xml:space="preserve"> regime companies</w:t>
            </w:r>
            <w:r w:rsidR="00B36A15">
              <w:rPr>
                <w:noProof/>
                <w:lang w:val="en-US"/>
              </w:rPr>
              <w:t xml:space="preserve"> an</w:t>
            </w:r>
            <w:r w:rsidR="00D84035">
              <w:rPr>
                <w:noProof/>
                <w:lang w:val="en-US"/>
              </w:rPr>
              <w:t xml:space="preserve">d the assumption </w:t>
            </w:r>
            <w:r w:rsidR="00B36A15">
              <w:rPr>
                <w:noProof/>
                <w:lang w:val="en-US"/>
              </w:rPr>
              <w:t xml:space="preserve">that 20% of those companies’ employees actually exercise </w:t>
            </w:r>
            <w:r w:rsidR="00D84035">
              <w:rPr>
                <w:noProof/>
                <w:lang w:val="en-US"/>
              </w:rPr>
              <w:t>their options</w:t>
            </w:r>
            <w:r w:rsidR="00EB62D9">
              <w:rPr>
                <w:noProof/>
                <w:lang w:val="en-US"/>
              </w:rPr>
              <w:t>, r</w:t>
            </w:r>
            <w:r w:rsidR="00EB62D9" w:rsidRPr="00566876">
              <w:rPr>
                <w:rFonts w:eastAsia="Times New Roman"/>
                <w:noProof/>
                <w:szCs w:val="20"/>
                <w:lang w:val="en-US"/>
              </w:rPr>
              <w:t>eceiv</w:t>
            </w:r>
            <w:r w:rsidR="00EB62D9">
              <w:rPr>
                <w:rFonts w:eastAsia="Times New Roman"/>
                <w:noProof/>
                <w:szCs w:val="20"/>
                <w:lang w:val="en-US"/>
              </w:rPr>
              <w:t>ing</w:t>
            </w:r>
            <w:r w:rsidR="00EB62D9" w:rsidRPr="00566876">
              <w:rPr>
                <w:rFonts w:eastAsia="Times New Roman"/>
                <w:noProof/>
                <w:szCs w:val="20"/>
                <w:lang w:val="en-US"/>
              </w:rPr>
              <w:t xml:space="preserve"> an equivalent of 10%  of their compensation </w:t>
            </w:r>
            <w:r w:rsidR="00EB62D9">
              <w:rPr>
                <w:rFonts w:eastAsia="Times New Roman"/>
                <w:noProof/>
                <w:szCs w:val="20"/>
                <w:lang w:val="en-US"/>
              </w:rPr>
              <w:t>through the EU-ESO,</w:t>
            </w:r>
            <w:r w:rsidR="00D84035">
              <w:rPr>
                <w:noProof/>
                <w:lang w:val="en-US"/>
              </w:rPr>
              <w:t xml:space="preserve"> </w:t>
            </w:r>
            <w:r w:rsidR="00E702EA">
              <w:rPr>
                <w:noProof/>
                <w:lang w:val="en-US"/>
              </w:rPr>
              <w:t xml:space="preserve">the total negative </w:t>
            </w:r>
            <w:r w:rsidR="00671D6B">
              <w:rPr>
                <w:noProof/>
                <w:lang w:val="en-US"/>
              </w:rPr>
              <w:t>liquidity effect for tax authorities within the first 10 years would be EUR 61</w:t>
            </w:r>
            <w:r w:rsidR="00E053B8">
              <w:rPr>
                <w:noProof/>
                <w:lang w:val="en-US"/>
              </w:rPr>
              <w:t> </w:t>
            </w:r>
            <w:r w:rsidR="00671D6B">
              <w:rPr>
                <w:noProof/>
                <w:lang w:val="en-US"/>
              </w:rPr>
              <w:t>000</w:t>
            </w:r>
            <w:r w:rsidR="00E053B8">
              <w:rPr>
                <w:noProof/>
                <w:lang w:val="en-US"/>
              </w:rPr>
              <w:t> </w:t>
            </w:r>
            <w:r w:rsidR="00671D6B">
              <w:rPr>
                <w:noProof/>
                <w:lang w:val="en-US"/>
              </w:rPr>
              <w:t>000</w:t>
            </w:r>
            <w:r w:rsidR="00B30BEF">
              <w:rPr>
                <w:noProof/>
                <w:lang w:val="en-US"/>
              </w:rPr>
              <w:t>.</w:t>
            </w:r>
          </w:p>
        </w:tc>
      </w:tr>
      <w:tr w:rsidR="00DF5E69" w:rsidRPr="00DC6DD8" w14:paraId="458E405D" w14:textId="77777777" w:rsidTr="6F00936E">
        <w:tc>
          <w:tcPr>
            <w:tcW w:w="2122" w:type="dxa"/>
          </w:tcPr>
          <w:p w14:paraId="57D0A5F3" w14:textId="77777777" w:rsidR="00DF5E69" w:rsidRDefault="00DF5E69" w:rsidP="00DF5E69">
            <w:pPr>
              <w:rPr>
                <w:b/>
                <w:noProof/>
                <w:szCs w:val="20"/>
              </w:rPr>
            </w:pPr>
            <w:r>
              <w:rPr>
                <w:b/>
                <w:noProof/>
                <w:szCs w:val="20"/>
              </w:rPr>
              <w:t>Benefits</w:t>
            </w:r>
          </w:p>
        </w:tc>
        <w:tc>
          <w:tcPr>
            <w:tcW w:w="1508" w:type="dxa"/>
          </w:tcPr>
          <w:p w14:paraId="7A7B4140" w14:textId="77777777" w:rsidR="00DF5E69" w:rsidRPr="00170FBB" w:rsidRDefault="00DF5E69" w:rsidP="00DF5E69">
            <w:pPr>
              <w:rPr>
                <w:noProof/>
                <w:sz w:val="18"/>
                <w:szCs w:val="18"/>
              </w:rPr>
            </w:pPr>
            <w:r w:rsidRPr="00170FBB">
              <w:rPr>
                <w:noProof/>
                <w:sz w:val="18"/>
                <w:szCs w:val="18"/>
              </w:rPr>
              <w:t>Score 0-5</w:t>
            </w:r>
          </w:p>
        </w:tc>
        <w:tc>
          <w:tcPr>
            <w:tcW w:w="1042" w:type="dxa"/>
          </w:tcPr>
          <w:p w14:paraId="65833C9E" w14:textId="57DD81E5" w:rsidR="00DF5E69" w:rsidRPr="0029649C" w:rsidRDefault="00C85011" w:rsidP="00EA1B20">
            <w:pPr>
              <w:jc w:val="center"/>
              <w:rPr>
                <w:noProof/>
                <w:szCs w:val="20"/>
              </w:rPr>
            </w:pPr>
            <w:r>
              <w:rPr>
                <w:noProof/>
                <w:szCs w:val="20"/>
              </w:rPr>
              <w:t>0</w:t>
            </w:r>
          </w:p>
        </w:tc>
        <w:tc>
          <w:tcPr>
            <w:tcW w:w="996" w:type="dxa"/>
          </w:tcPr>
          <w:p w14:paraId="76B969B7" w14:textId="7A1725A7" w:rsidR="00DF5E69" w:rsidRPr="0029649C" w:rsidRDefault="00C85011" w:rsidP="00EA1B20">
            <w:pPr>
              <w:jc w:val="center"/>
              <w:rPr>
                <w:noProof/>
                <w:szCs w:val="20"/>
              </w:rPr>
            </w:pPr>
            <w:r>
              <w:rPr>
                <w:noProof/>
                <w:szCs w:val="20"/>
              </w:rPr>
              <w:t>0</w:t>
            </w:r>
          </w:p>
        </w:tc>
        <w:tc>
          <w:tcPr>
            <w:tcW w:w="994" w:type="dxa"/>
          </w:tcPr>
          <w:p w14:paraId="42197609" w14:textId="4E8FD7A1" w:rsidR="00DF5E69" w:rsidRPr="0029649C" w:rsidDel="00073540" w:rsidRDefault="00C85011" w:rsidP="00EA1B20">
            <w:pPr>
              <w:jc w:val="center"/>
              <w:rPr>
                <w:noProof/>
                <w:szCs w:val="20"/>
              </w:rPr>
            </w:pPr>
            <w:r>
              <w:rPr>
                <w:noProof/>
                <w:szCs w:val="20"/>
              </w:rPr>
              <w:t>0</w:t>
            </w:r>
          </w:p>
        </w:tc>
        <w:tc>
          <w:tcPr>
            <w:tcW w:w="7508" w:type="dxa"/>
          </w:tcPr>
          <w:p w14:paraId="65D2081D" w14:textId="6D9B9C3E" w:rsidR="00DF5E69" w:rsidRDefault="00D46876" w:rsidP="00EA1B20">
            <w:pPr>
              <w:jc w:val="both"/>
              <w:rPr>
                <w:noProof/>
                <w:szCs w:val="20"/>
              </w:rPr>
            </w:pPr>
            <w:r>
              <w:rPr>
                <w:noProof/>
                <w:szCs w:val="20"/>
              </w:rPr>
              <w:t xml:space="preserve">As for the costs, PO5a and PO5b </w:t>
            </w:r>
            <w:r w:rsidR="00B264CE">
              <w:rPr>
                <w:noProof/>
                <w:szCs w:val="20"/>
              </w:rPr>
              <w:t>wo</w:t>
            </w:r>
            <w:r w:rsidR="00F06710">
              <w:rPr>
                <w:noProof/>
                <w:szCs w:val="20"/>
              </w:rPr>
              <w:t xml:space="preserve">uld not </w:t>
            </w:r>
            <w:r w:rsidR="00B255CC">
              <w:rPr>
                <w:noProof/>
                <w:szCs w:val="20"/>
              </w:rPr>
              <w:t xml:space="preserve">affect </w:t>
            </w:r>
            <w:r w:rsidR="002B25FC">
              <w:rPr>
                <w:noProof/>
                <w:szCs w:val="20"/>
              </w:rPr>
              <w:t>tax</w:t>
            </w:r>
            <w:r w:rsidR="00B255CC">
              <w:rPr>
                <w:noProof/>
                <w:szCs w:val="20"/>
              </w:rPr>
              <w:t xml:space="preserve"> authorities in </w:t>
            </w:r>
            <w:r w:rsidR="00572D1C">
              <w:rPr>
                <w:noProof/>
                <w:szCs w:val="20"/>
              </w:rPr>
              <w:t>a beneficial</w:t>
            </w:r>
            <w:r w:rsidR="00B255CC">
              <w:rPr>
                <w:noProof/>
                <w:szCs w:val="20"/>
              </w:rPr>
              <w:t xml:space="preserve"> </w:t>
            </w:r>
            <w:r w:rsidR="00572D1C">
              <w:rPr>
                <w:noProof/>
                <w:szCs w:val="20"/>
              </w:rPr>
              <w:t xml:space="preserve">way, given that these options </w:t>
            </w:r>
            <w:r w:rsidR="00552193">
              <w:rPr>
                <w:noProof/>
                <w:szCs w:val="20"/>
              </w:rPr>
              <w:t xml:space="preserve">do not require any change in the treatment of employee ownership schemes </w:t>
            </w:r>
            <w:r w:rsidR="00955FA9">
              <w:rPr>
                <w:noProof/>
                <w:szCs w:val="20"/>
              </w:rPr>
              <w:t>compared with the status quo.</w:t>
            </w:r>
            <w:r w:rsidR="00580FF8">
              <w:rPr>
                <w:noProof/>
                <w:szCs w:val="20"/>
              </w:rPr>
              <w:t xml:space="preserve"> PO5c, </w:t>
            </w:r>
            <w:r w:rsidR="002535AD">
              <w:rPr>
                <w:noProof/>
                <w:szCs w:val="20"/>
              </w:rPr>
              <w:t>apart from the</w:t>
            </w:r>
            <w:r w:rsidR="00515DD3">
              <w:rPr>
                <w:noProof/>
                <w:szCs w:val="20"/>
              </w:rPr>
              <w:t xml:space="preserve"> negative liquidity effect </w:t>
            </w:r>
            <w:r w:rsidR="00150033">
              <w:rPr>
                <w:noProof/>
                <w:szCs w:val="20"/>
              </w:rPr>
              <w:t xml:space="preserve">described above, is also not expected </w:t>
            </w:r>
            <w:r w:rsidR="009A509B">
              <w:rPr>
                <w:noProof/>
                <w:szCs w:val="20"/>
              </w:rPr>
              <w:t xml:space="preserve">to have any </w:t>
            </w:r>
            <w:r w:rsidR="00E40B1B">
              <w:rPr>
                <w:noProof/>
                <w:szCs w:val="20"/>
              </w:rPr>
              <w:t xml:space="preserve">further </w:t>
            </w:r>
            <w:r w:rsidR="00FC6577">
              <w:rPr>
                <w:noProof/>
                <w:szCs w:val="20"/>
              </w:rPr>
              <w:t>cost</w:t>
            </w:r>
            <w:r w:rsidR="00A46288">
              <w:rPr>
                <w:noProof/>
                <w:szCs w:val="20"/>
              </w:rPr>
              <w:t>-</w:t>
            </w:r>
            <w:r w:rsidR="00FC6577">
              <w:rPr>
                <w:noProof/>
                <w:szCs w:val="20"/>
              </w:rPr>
              <w:t xml:space="preserve">benefit </w:t>
            </w:r>
            <w:r w:rsidR="00E40B1B">
              <w:rPr>
                <w:noProof/>
                <w:szCs w:val="20"/>
              </w:rPr>
              <w:t>impact</w:t>
            </w:r>
            <w:r w:rsidR="00A46288">
              <w:rPr>
                <w:noProof/>
                <w:szCs w:val="20"/>
              </w:rPr>
              <w:t xml:space="preserve"> on public authorities and budgets</w:t>
            </w:r>
            <w:r w:rsidR="00E40B1B">
              <w:rPr>
                <w:noProof/>
                <w:szCs w:val="20"/>
              </w:rPr>
              <w:t>.</w:t>
            </w:r>
          </w:p>
        </w:tc>
      </w:tr>
      <w:tr w:rsidR="00DF5E69" w:rsidRPr="00DC6DD8" w14:paraId="4EF3D8D1" w14:textId="77777777" w:rsidTr="6F00936E">
        <w:tc>
          <w:tcPr>
            <w:tcW w:w="14170" w:type="dxa"/>
            <w:gridSpan w:val="6"/>
            <w:shd w:val="clear" w:color="auto" w:fill="92D050"/>
          </w:tcPr>
          <w:p w14:paraId="7D4804FA" w14:textId="77777777" w:rsidR="00DF5E69" w:rsidRPr="006E78FA" w:rsidRDefault="00DF5E69" w:rsidP="00DF5E69">
            <w:pPr>
              <w:rPr>
                <w:b/>
                <w:bCs/>
                <w:noProof/>
                <w:szCs w:val="20"/>
              </w:rPr>
            </w:pPr>
            <w:r w:rsidRPr="00D345EC">
              <w:rPr>
                <w:b/>
                <w:noProof/>
                <w:sz w:val="24"/>
                <w:szCs w:val="24"/>
              </w:rPr>
              <w:t>Economy and society at large</w:t>
            </w:r>
          </w:p>
        </w:tc>
      </w:tr>
      <w:tr w:rsidR="00DF5E69" w:rsidRPr="00DC6DD8" w14:paraId="5FD9D952" w14:textId="77777777" w:rsidTr="6F00936E">
        <w:tc>
          <w:tcPr>
            <w:tcW w:w="2122" w:type="dxa"/>
          </w:tcPr>
          <w:p w14:paraId="7BD19646" w14:textId="77777777" w:rsidR="00DF5E69" w:rsidRPr="0074616C" w:rsidRDefault="00DF5E69" w:rsidP="00DF5E69">
            <w:pPr>
              <w:rPr>
                <w:b/>
                <w:noProof/>
                <w:szCs w:val="20"/>
              </w:rPr>
            </w:pPr>
            <w:r>
              <w:rPr>
                <w:b/>
                <w:noProof/>
                <w:szCs w:val="20"/>
              </w:rPr>
              <w:t>Functioning of the internal market and competitiveness</w:t>
            </w:r>
          </w:p>
        </w:tc>
        <w:tc>
          <w:tcPr>
            <w:tcW w:w="1508" w:type="dxa"/>
          </w:tcPr>
          <w:p w14:paraId="327EFF28" w14:textId="77777777" w:rsidR="00DF5E69" w:rsidRPr="00DC6DD8" w:rsidRDefault="00DF5E69" w:rsidP="00DF5E69">
            <w:pPr>
              <w:rPr>
                <w:noProof/>
                <w:szCs w:val="20"/>
              </w:rPr>
            </w:pPr>
            <w:r w:rsidRPr="00170FBB">
              <w:rPr>
                <w:noProof/>
                <w:sz w:val="18"/>
                <w:szCs w:val="18"/>
              </w:rPr>
              <w:t>Score 0-5</w:t>
            </w:r>
          </w:p>
        </w:tc>
        <w:tc>
          <w:tcPr>
            <w:tcW w:w="1042" w:type="dxa"/>
          </w:tcPr>
          <w:p w14:paraId="4D0F6198" w14:textId="0F1E0A4A" w:rsidR="00DF5E69" w:rsidRPr="0029649C" w:rsidRDefault="00F16668" w:rsidP="00F95382">
            <w:pPr>
              <w:jc w:val="center"/>
              <w:rPr>
                <w:noProof/>
                <w:szCs w:val="20"/>
              </w:rPr>
            </w:pPr>
            <w:r>
              <w:rPr>
                <w:noProof/>
                <w:szCs w:val="20"/>
              </w:rPr>
              <w:t>2</w:t>
            </w:r>
          </w:p>
        </w:tc>
        <w:tc>
          <w:tcPr>
            <w:tcW w:w="996" w:type="dxa"/>
          </w:tcPr>
          <w:p w14:paraId="621FE9AB" w14:textId="091B7CB8" w:rsidR="00DF5E69" w:rsidRPr="0029649C" w:rsidRDefault="00F16668" w:rsidP="00F95382">
            <w:pPr>
              <w:jc w:val="center"/>
              <w:rPr>
                <w:noProof/>
                <w:szCs w:val="20"/>
              </w:rPr>
            </w:pPr>
            <w:r>
              <w:rPr>
                <w:noProof/>
                <w:szCs w:val="20"/>
              </w:rPr>
              <w:t>3</w:t>
            </w:r>
          </w:p>
        </w:tc>
        <w:tc>
          <w:tcPr>
            <w:tcW w:w="994" w:type="dxa"/>
          </w:tcPr>
          <w:p w14:paraId="7D544312" w14:textId="112DF668" w:rsidR="00DF5E69" w:rsidRPr="0029649C" w:rsidDel="00073540" w:rsidRDefault="00F16668" w:rsidP="00F95382">
            <w:pPr>
              <w:jc w:val="center"/>
              <w:rPr>
                <w:noProof/>
                <w:szCs w:val="20"/>
              </w:rPr>
            </w:pPr>
            <w:r>
              <w:rPr>
                <w:noProof/>
                <w:szCs w:val="20"/>
              </w:rPr>
              <w:t>4</w:t>
            </w:r>
          </w:p>
        </w:tc>
        <w:tc>
          <w:tcPr>
            <w:tcW w:w="7508" w:type="dxa"/>
          </w:tcPr>
          <w:p w14:paraId="249E16B5" w14:textId="65F3D92C" w:rsidR="00DF5E69" w:rsidRDefault="00AE22BF" w:rsidP="0081060B">
            <w:pPr>
              <w:jc w:val="both"/>
              <w:rPr>
                <w:noProof/>
                <w:szCs w:val="20"/>
              </w:rPr>
            </w:pPr>
            <w:r>
              <w:rPr>
                <w:noProof/>
                <w:szCs w:val="20"/>
              </w:rPr>
              <w:t>All these options would have a positive impact on the internal market</w:t>
            </w:r>
            <w:r w:rsidR="007F7CCC">
              <w:rPr>
                <w:noProof/>
                <w:szCs w:val="20"/>
              </w:rPr>
              <w:t>,</w:t>
            </w:r>
            <w:r w:rsidR="00F64B86">
              <w:rPr>
                <w:noProof/>
                <w:szCs w:val="20"/>
              </w:rPr>
              <w:t xml:space="preserve"> in particular PO5b</w:t>
            </w:r>
            <w:r w:rsidR="00F57242">
              <w:rPr>
                <w:noProof/>
                <w:szCs w:val="20"/>
              </w:rPr>
              <w:t>,</w:t>
            </w:r>
            <w:r w:rsidR="00F64B86">
              <w:rPr>
                <w:noProof/>
                <w:szCs w:val="20"/>
              </w:rPr>
              <w:t xml:space="preserve"> which would </w:t>
            </w:r>
            <w:r w:rsidR="00C9425C">
              <w:rPr>
                <w:noProof/>
                <w:szCs w:val="20"/>
              </w:rPr>
              <w:t>create</w:t>
            </w:r>
            <w:r w:rsidR="00456BFC">
              <w:rPr>
                <w:noProof/>
                <w:szCs w:val="20"/>
              </w:rPr>
              <w:t xml:space="preserve"> a</w:t>
            </w:r>
            <w:r w:rsidR="00F64B86">
              <w:rPr>
                <w:noProof/>
                <w:szCs w:val="20"/>
              </w:rPr>
              <w:t xml:space="preserve"> common ESOP </w:t>
            </w:r>
            <w:r>
              <w:rPr>
                <w:noProof/>
                <w:szCs w:val="20"/>
              </w:rPr>
              <w:t xml:space="preserve">scheme </w:t>
            </w:r>
            <w:r w:rsidR="00F64B86">
              <w:rPr>
                <w:noProof/>
                <w:szCs w:val="20"/>
              </w:rPr>
              <w:t>for 28</w:t>
            </w:r>
            <w:r w:rsidR="00F64B86" w:rsidRPr="00F64B86">
              <w:rPr>
                <w:noProof/>
                <w:szCs w:val="20"/>
                <w:vertAlign w:val="superscript"/>
              </w:rPr>
              <w:t>th</w:t>
            </w:r>
            <w:r w:rsidR="00F64B86">
              <w:rPr>
                <w:noProof/>
                <w:szCs w:val="20"/>
              </w:rPr>
              <w:t xml:space="preserve"> regime companies</w:t>
            </w:r>
            <w:r w:rsidR="00C56B47">
              <w:rPr>
                <w:noProof/>
                <w:szCs w:val="20"/>
                <w:lang w:val="en-IE"/>
              </w:rPr>
              <w:t xml:space="preserve"> </w:t>
            </w:r>
            <w:r w:rsidR="009952FD">
              <w:rPr>
                <w:noProof/>
                <w:szCs w:val="20"/>
                <w:lang w:val="en-IE"/>
              </w:rPr>
              <w:t xml:space="preserve">that is </w:t>
            </w:r>
            <w:r w:rsidR="00E0087B">
              <w:rPr>
                <w:noProof/>
                <w:szCs w:val="20"/>
                <w:lang w:val="en-IE"/>
              </w:rPr>
              <w:t>recognisable to employees and investors,</w:t>
            </w:r>
            <w:r w:rsidR="00F64B86">
              <w:rPr>
                <w:noProof/>
                <w:szCs w:val="20"/>
                <w:lang w:val="en-IE"/>
              </w:rPr>
              <w:t xml:space="preserve"> and</w:t>
            </w:r>
            <w:r w:rsidR="009952FD">
              <w:rPr>
                <w:noProof/>
                <w:szCs w:val="20"/>
                <w:lang w:val="en-IE"/>
              </w:rPr>
              <w:t xml:space="preserve"> even more so</w:t>
            </w:r>
            <w:r w:rsidR="00F64B86">
              <w:rPr>
                <w:noProof/>
                <w:szCs w:val="20"/>
                <w:lang w:val="en-IE"/>
              </w:rPr>
              <w:t xml:space="preserve"> </w:t>
            </w:r>
            <w:r w:rsidR="00F64B86">
              <w:rPr>
                <w:noProof/>
                <w:szCs w:val="20"/>
              </w:rPr>
              <w:t>PO</w:t>
            </w:r>
            <w:r w:rsidR="00750C99">
              <w:rPr>
                <w:noProof/>
                <w:szCs w:val="20"/>
              </w:rPr>
              <w:t>5c</w:t>
            </w:r>
            <w:r w:rsidR="007F7CCC">
              <w:rPr>
                <w:noProof/>
                <w:szCs w:val="20"/>
              </w:rPr>
              <w:t>,</w:t>
            </w:r>
            <w:r w:rsidR="00750C99">
              <w:rPr>
                <w:noProof/>
                <w:szCs w:val="20"/>
              </w:rPr>
              <w:t xml:space="preserve"> which would also harmonise the timing of taxation</w:t>
            </w:r>
            <w:r w:rsidR="007F7CCC">
              <w:rPr>
                <w:noProof/>
                <w:szCs w:val="20"/>
              </w:rPr>
              <w:t xml:space="preserve"> for employees participating in </w:t>
            </w:r>
            <w:r w:rsidR="00456BFC">
              <w:rPr>
                <w:noProof/>
                <w:szCs w:val="20"/>
              </w:rPr>
              <w:t>the</w:t>
            </w:r>
            <w:r w:rsidR="007F7CCC">
              <w:rPr>
                <w:noProof/>
                <w:szCs w:val="20"/>
              </w:rPr>
              <w:t xml:space="preserve"> EU-ESO</w:t>
            </w:r>
            <w:r w:rsidR="00750C99">
              <w:rPr>
                <w:noProof/>
                <w:szCs w:val="20"/>
              </w:rPr>
              <w:t>.</w:t>
            </w:r>
            <w:r w:rsidR="007F7CCC">
              <w:rPr>
                <w:noProof/>
                <w:szCs w:val="20"/>
              </w:rPr>
              <w:t xml:space="preserve"> </w:t>
            </w:r>
            <w:r w:rsidR="00981756">
              <w:rPr>
                <w:noProof/>
                <w:szCs w:val="20"/>
              </w:rPr>
              <w:t xml:space="preserve">This should improve </w:t>
            </w:r>
            <w:r w:rsidR="00981756" w:rsidRPr="00981756">
              <w:rPr>
                <w:noProof/>
                <w:szCs w:val="20"/>
              </w:rPr>
              <w:t xml:space="preserve">the practical feasibility and scalability of ESOPs </w:t>
            </w:r>
            <w:r w:rsidR="00981756">
              <w:rPr>
                <w:noProof/>
                <w:szCs w:val="20"/>
              </w:rPr>
              <w:t>used by 28</w:t>
            </w:r>
            <w:r w:rsidR="00981756" w:rsidRPr="00981756">
              <w:rPr>
                <w:noProof/>
                <w:szCs w:val="20"/>
                <w:vertAlign w:val="superscript"/>
              </w:rPr>
              <w:t>th</w:t>
            </w:r>
            <w:r w:rsidR="00981756">
              <w:rPr>
                <w:noProof/>
                <w:szCs w:val="20"/>
              </w:rPr>
              <w:t xml:space="preserve"> regime companies </w:t>
            </w:r>
            <w:r w:rsidR="00981756" w:rsidRPr="00981756">
              <w:rPr>
                <w:noProof/>
                <w:szCs w:val="20"/>
              </w:rPr>
              <w:t>within the single market.</w:t>
            </w:r>
            <w:r w:rsidR="00981756">
              <w:rPr>
                <w:noProof/>
                <w:szCs w:val="20"/>
              </w:rPr>
              <w:t xml:space="preserve"> </w:t>
            </w:r>
            <w:r w:rsidR="00A62414">
              <w:rPr>
                <w:noProof/>
                <w:szCs w:val="20"/>
              </w:rPr>
              <w:t xml:space="preserve">The improvement would be in particular noticeable given the current fragmentation of national rules on ESOPs and </w:t>
            </w:r>
            <w:r w:rsidR="00FD536B">
              <w:rPr>
                <w:noProof/>
                <w:szCs w:val="20"/>
              </w:rPr>
              <w:t xml:space="preserve">on </w:t>
            </w:r>
            <w:r w:rsidR="00A62414">
              <w:rPr>
                <w:noProof/>
                <w:szCs w:val="20"/>
              </w:rPr>
              <w:t>their taxation</w:t>
            </w:r>
            <w:r w:rsidR="00EF052B">
              <w:rPr>
                <w:noProof/>
                <w:szCs w:val="20"/>
              </w:rPr>
              <w:t xml:space="preserve">, and </w:t>
            </w:r>
            <w:r w:rsidR="006C673C">
              <w:rPr>
                <w:noProof/>
                <w:szCs w:val="20"/>
              </w:rPr>
              <w:t xml:space="preserve">the </w:t>
            </w:r>
            <w:r w:rsidR="00EF052B">
              <w:rPr>
                <w:noProof/>
                <w:szCs w:val="20"/>
              </w:rPr>
              <w:t xml:space="preserve">lack of </w:t>
            </w:r>
            <w:r w:rsidR="006C673C">
              <w:rPr>
                <w:noProof/>
                <w:szCs w:val="20"/>
              </w:rPr>
              <w:t>harmonisation</w:t>
            </w:r>
            <w:r w:rsidR="00EF052B">
              <w:rPr>
                <w:noProof/>
                <w:szCs w:val="20"/>
              </w:rPr>
              <w:t xml:space="preserve"> related to ESOPs at EU level</w:t>
            </w:r>
            <w:r w:rsidR="00B15F8C">
              <w:rPr>
                <w:noProof/>
                <w:szCs w:val="20"/>
              </w:rPr>
              <w:t xml:space="preserve">, </w:t>
            </w:r>
            <w:r w:rsidR="00A6308F">
              <w:rPr>
                <w:noProof/>
                <w:szCs w:val="20"/>
              </w:rPr>
              <w:t>forcing</w:t>
            </w:r>
            <w:r w:rsidR="00B15F8C">
              <w:rPr>
                <w:noProof/>
                <w:szCs w:val="20"/>
              </w:rPr>
              <w:t xml:space="preserve"> </w:t>
            </w:r>
            <w:r w:rsidR="004B5B6D">
              <w:rPr>
                <w:noProof/>
                <w:szCs w:val="20"/>
              </w:rPr>
              <w:t xml:space="preserve">companies to adopt </w:t>
            </w:r>
            <w:r w:rsidR="00981756" w:rsidRPr="00981756">
              <w:rPr>
                <w:noProof/>
                <w:szCs w:val="20"/>
              </w:rPr>
              <w:t>different ESOP designs per country</w:t>
            </w:r>
            <w:r w:rsidR="00981756">
              <w:rPr>
                <w:noProof/>
                <w:szCs w:val="20"/>
              </w:rPr>
              <w:t>.</w:t>
            </w:r>
            <w:r w:rsidR="00EF052B">
              <w:rPr>
                <w:noProof/>
                <w:szCs w:val="20"/>
              </w:rPr>
              <w:t xml:space="preserve"> </w:t>
            </w:r>
            <w:r w:rsidR="00C67964">
              <w:rPr>
                <w:noProof/>
                <w:szCs w:val="20"/>
              </w:rPr>
              <w:t xml:space="preserve">The policy options and in particular </w:t>
            </w:r>
            <w:r w:rsidR="000D3940">
              <w:rPr>
                <w:noProof/>
                <w:szCs w:val="20"/>
              </w:rPr>
              <w:t xml:space="preserve">PO5b and PO5c would also have a positive impact on </w:t>
            </w:r>
            <w:r w:rsidR="0089452D">
              <w:rPr>
                <w:noProof/>
                <w:szCs w:val="20"/>
              </w:rPr>
              <w:t xml:space="preserve">the </w:t>
            </w:r>
            <w:r w:rsidR="009358F9">
              <w:rPr>
                <w:noProof/>
                <w:szCs w:val="20"/>
              </w:rPr>
              <w:t>competitiveness of EU</w:t>
            </w:r>
            <w:r w:rsidR="00462D3D">
              <w:rPr>
                <w:noProof/>
                <w:szCs w:val="20"/>
              </w:rPr>
              <w:t xml:space="preserve"> businesses</w:t>
            </w:r>
            <w:r w:rsidR="009358F9">
              <w:rPr>
                <w:noProof/>
                <w:szCs w:val="20"/>
              </w:rPr>
              <w:t xml:space="preserve"> </w:t>
            </w:r>
            <w:r w:rsidR="00E45AEF">
              <w:rPr>
                <w:noProof/>
                <w:szCs w:val="20"/>
              </w:rPr>
              <w:t xml:space="preserve">as </w:t>
            </w:r>
            <w:r w:rsidR="00BD42BE">
              <w:rPr>
                <w:noProof/>
                <w:szCs w:val="20"/>
              </w:rPr>
              <w:t>having a harmonised system for 28</w:t>
            </w:r>
            <w:r w:rsidR="00BD42BE" w:rsidRPr="00BD42BE">
              <w:rPr>
                <w:noProof/>
                <w:szCs w:val="20"/>
                <w:vertAlign w:val="superscript"/>
              </w:rPr>
              <w:t>th</w:t>
            </w:r>
            <w:r w:rsidR="00BD42BE">
              <w:rPr>
                <w:noProof/>
                <w:szCs w:val="20"/>
              </w:rPr>
              <w:t xml:space="preserve"> regime companies would allow those companies to better compete for </w:t>
            </w:r>
            <w:r w:rsidR="00423873">
              <w:rPr>
                <w:noProof/>
                <w:szCs w:val="20"/>
              </w:rPr>
              <w:t>top talent</w:t>
            </w:r>
            <w:r w:rsidR="006A2A01">
              <w:rPr>
                <w:noProof/>
                <w:szCs w:val="20"/>
              </w:rPr>
              <w:t xml:space="preserve"> with other jurisdictions</w:t>
            </w:r>
            <w:r w:rsidR="00066398">
              <w:rPr>
                <w:noProof/>
                <w:szCs w:val="20"/>
              </w:rPr>
              <w:t xml:space="preserve"> such as the US</w:t>
            </w:r>
            <w:r w:rsidR="0026698D">
              <w:rPr>
                <w:noProof/>
                <w:szCs w:val="20"/>
              </w:rPr>
              <w:t>.</w:t>
            </w:r>
            <w:r w:rsidR="006A2A01">
              <w:rPr>
                <w:noProof/>
                <w:szCs w:val="20"/>
              </w:rPr>
              <w:t xml:space="preserve"> </w:t>
            </w:r>
            <w:r w:rsidR="00741931">
              <w:rPr>
                <w:noProof/>
                <w:szCs w:val="20"/>
              </w:rPr>
              <w:t xml:space="preserve">The </w:t>
            </w:r>
            <w:r w:rsidR="00DF3898">
              <w:rPr>
                <w:noProof/>
                <w:szCs w:val="20"/>
              </w:rPr>
              <w:t xml:space="preserve">current ease of setting </w:t>
            </w:r>
            <w:r w:rsidR="00696CF2">
              <w:rPr>
                <w:noProof/>
                <w:szCs w:val="20"/>
              </w:rPr>
              <w:t>up</w:t>
            </w:r>
            <w:r w:rsidR="00DF3898">
              <w:rPr>
                <w:noProof/>
                <w:szCs w:val="20"/>
              </w:rPr>
              <w:t xml:space="preserve"> </w:t>
            </w:r>
            <w:r w:rsidR="006B511E">
              <w:rPr>
                <w:noProof/>
                <w:szCs w:val="20"/>
              </w:rPr>
              <w:t xml:space="preserve">stock option-based </w:t>
            </w:r>
            <w:r w:rsidR="00DF3898">
              <w:rPr>
                <w:noProof/>
                <w:szCs w:val="20"/>
              </w:rPr>
              <w:t>ESOPs in the US</w:t>
            </w:r>
            <w:r w:rsidR="00C82EAA">
              <w:rPr>
                <w:noProof/>
                <w:szCs w:val="20"/>
              </w:rPr>
              <w:t xml:space="preserve"> and the favourable </w:t>
            </w:r>
            <w:r w:rsidR="00A925A1">
              <w:rPr>
                <w:noProof/>
                <w:szCs w:val="20"/>
              </w:rPr>
              <w:t xml:space="preserve">treatment </w:t>
            </w:r>
            <w:r w:rsidR="007A61E7">
              <w:rPr>
                <w:noProof/>
                <w:szCs w:val="20"/>
              </w:rPr>
              <w:t>of</w:t>
            </w:r>
            <w:r w:rsidR="00CC4685">
              <w:rPr>
                <w:noProof/>
                <w:szCs w:val="20"/>
              </w:rPr>
              <w:t xml:space="preserve"> stock options</w:t>
            </w:r>
            <w:r w:rsidR="007A61E7">
              <w:rPr>
                <w:noProof/>
                <w:szCs w:val="20"/>
              </w:rPr>
              <w:t xml:space="preserve"> qualifying as ‘incentive stock options’</w:t>
            </w:r>
            <w:r w:rsidR="00AF6001">
              <w:rPr>
                <w:noProof/>
                <w:szCs w:val="20"/>
              </w:rPr>
              <w:t xml:space="preserve"> under federal tax laws</w:t>
            </w:r>
            <w:r w:rsidR="00CC4685">
              <w:rPr>
                <w:noProof/>
                <w:szCs w:val="20"/>
              </w:rPr>
              <w:t xml:space="preserve"> </w:t>
            </w:r>
            <w:r w:rsidR="00DF3898">
              <w:rPr>
                <w:noProof/>
                <w:szCs w:val="20"/>
              </w:rPr>
              <w:t xml:space="preserve">is one of the important reasons for </w:t>
            </w:r>
            <w:r w:rsidR="0010130F">
              <w:rPr>
                <w:noProof/>
                <w:szCs w:val="20"/>
              </w:rPr>
              <w:t>founders to set up or move their companies there.</w:t>
            </w:r>
          </w:p>
        </w:tc>
      </w:tr>
    </w:tbl>
    <w:p w14:paraId="76DBFDB1" w14:textId="77777777" w:rsidR="00DF5E69" w:rsidRDefault="00DF5E69" w:rsidP="00AE04B0">
      <w:pPr>
        <w:tabs>
          <w:tab w:val="left" w:pos="170"/>
        </w:tabs>
        <w:rPr>
          <w:noProof/>
        </w:rPr>
      </w:pPr>
    </w:p>
    <w:p w14:paraId="1A483121" w14:textId="600FF207" w:rsidR="008B4D3F" w:rsidRPr="00E871E0" w:rsidRDefault="00AE2718" w:rsidP="00801532">
      <w:pPr>
        <w:pStyle w:val="Heading2"/>
        <w:numPr>
          <w:ilvl w:val="0"/>
          <w:numId w:val="0"/>
        </w:numPr>
        <w:ind w:left="680"/>
        <w:rPr>
          <w:rFonts w:eastAsia="Courier New"/>
          <w:noProof/>
          <w:u w:val="single"/>
        </w:rPr>
      </w:pPr>
      <w:r>
        <w:rPr>
          <w:noProof/>
        </w:rPr>
        <w:br w:type="page"/>
      </w:r>
      <w:r>
        <w:rPr>
          <w:rFonts w:eastAsia="Courier New"/>
          <w:noProof/>
          <w:u w:val="single"/>
        </w:rPr>
        <w:t>P</w:t>
      </w:r>
      <w:r w:rsidRPr="002F072B">
        <w:rPr>
          <w:rFonts w:eastAsia="Courier New"/>
          <w:noProof/>
          <w:u w:val="single"/>
        </w:rPr>
        <w:t xml:space="preserve">olicy options </w:t>
      </w:r>
      <w:r>
        <w:rPr>
          <w:rFonts w:eastAsia="Courier New"/>
          <w:noProof/>
          <w:u w:val="single"/>
        </w:rPr>
        <w:t>6</w:t>
      </w:r>
      <w:r w:rsidRPr="002F072B">
        <w:rPr>
          <w:rFonts w:eastAsia="Courier New"/>
          <w:noProof/>
          <w:u w:val="single"/>
        </w:rPr>
        <w:t xml:space="preserve"> </w:t>
      </w:r>
      <w:r w:rsidR="008B4D3F" w:rsidRPr="00E871E0">
        <w:rPr>
          <w:rFonts w:eastAsia="Courier New"/>
          <w:noProof/>
          <w:u w:val="single"/>
        </w:rPr>
        <w:t xml:space="preserve">to provide a flexible governance and capital regime for founders and investors </w:t>
      </w:r>
    </w:p>
    <w:p w14:paraId="5555DF9A" w14:textId="72CE40C3" w:rsidR="008B4D3F" w:rsidRDefault="008B4D3F" w:rsidP="00C4288E">
      <w:pPr>
        <w:pStyle w:val="ListParagraph"/>
        <w:numPr>
          <w:ilvl w:val="0"/>
          <w:numId w:val="15"/>
        </w:numPr>
        <w:tabs>
          <w:tab w:val="left" w:pos="170"/>
        </w:tabs>
        <w:jc w:val="both"/>
        <w:rPr>
          <w:noProof/>
        </w:rPr>
      </w:pPr>
      <w:r>
        <w:rPr>
          <w:noProof/>
        </w:rPr>
        <w:t>Policy option 6a - Create a flexible governance system</w:t>
      </w:r>
      <w:r w:rsidR="00097FB7">
        <w:rPr>
          <w:noProof/>
        </w:rPr>
        <w:t>,</w:t>
      </w:r>
      <w:r>
        <w:rPr>
          <w:noProof/>
        </w:rPr>
        <w:t xml:space="preserve"> </w:t>
      </w:r>
      <w:r w:rsidR="00AE436C">
        <w:rPr>
          <w:noProof/>
        </w:rPr>
        <w:t>provide</w:t>
      </w:r>
      <w:r w:rsidR="004671CE">
        <w:rPr>
          <w:noProof/>
        </w:rPr>
        <w:t xml:space="preserve"> </w:t>
      </w:r>
      <w:r>
        <w:rPr>
          <w:noProof/>
        </w:rPr>
        <w:t>simple and fully digital procedures for increasing capital and issuing shares and enable the use of modern early-stage financing instruments like SAFEs</w:t>
      </w:r>
      <w:r w:rsidRPr="004C599B">
        <w:rPr>
          <w:noProof/>
        </w:rPr>
        <w:t>.</w:t>
      </w:r>
    </w:p>
    <w:p w14:paraId="5A6FF428" w14:textId="17D2CADC" w:rsidR="008B4D3F" w:rsidRDefault="008B4D3F" w:rsidP="00C4288E">
      <w:pPr>
        <w:pStyle w:val="ListParagraph"/>
        <w:numPr>
          <w:ilvl w:val="0"/>
          <w:numId w:val="15"/>
        </w:numPr>
        <w:tabs>
          <w:tab w:val="left" w:pos="170"/>
        </w:tabs>
        <w:jc w:val="both"/>
        <w:rPr>
          <w:noProof/>
        </w:rPr>
      </w:pPr>
      <w:r>
        <w:rPr>
          <w:noProof/>
        </w:rPr>
        <w:t xml:space="preserve">Policy option 6b - Option 6a + </w:t>
      </w:r>
      <w:r w:rsidR="00C74F71">
        <w:rPr>
          <w:noProof/>
        </w:rPr>
        <w:t xml:space="preserve">0 or </w:t>
      </w:r>
      <w:r w:rsidR="2FF2AA21">
        <w:rPr>
          <w:noProof/>
        </w:rPr>
        <w:t xml:space="preserve">EUR </w:t>
      </w:r>
      <w:r w:rsidR="00281329">
        <w:rPr>
          <w:noProof/>
        </w:rPr>
        <w:t>1</w:t>
      </w:r>
      <w:r w:rsidR="00C74F71">
        <w:rPr>
          <w:noProof/>
        </w:rPr>
        <w:t xml:space="preserve"> </w:t>
      </w:r>
      <w:r>
        <w:rPr>
          <w:noProof/>
        </w:rPr>
        <w:t xml:space="preserve">minimum </w:t>
      </w:r>
      <w:r w:rsidR="00281329">
        <w:rPr>
          <w:noProof/>
        </w:rPr>
        <w:t xml:space="preserve">capital but no </w:t>
      </w:r>
      <w:r>
        <w:rPr>
          <w:noProof/>
        </w:rPr>
        <w:t>paid-in share capital for incorporation of 28</w:t>
      </w:r>
      <w:r w:rsidRPr="00E57C3A">
        <w:rPr>
          <w:noProof/>
          <w:vertAlign w:val="superscript"/>
        </w:rPr>
        <w:t>th</w:t>
      </w:r>
      <w:r>
        <w:rPr>
          <w:noProof/>
        </w:rPr>
        <w:t xml:space="preserve"> regime companies </w:t>
      </w:r>
      <w:r w:rsidR="00027EA8">
        <w:rPr>
          <w:noProof/>
        </w:rPr>
        <w:t xml:space="preserve">and </w:t>
      </w:r>
      <w:r>
        <w:rPr>
          <w:noProof/>
        </w:rPr>
        <w:t xml:space="preserve">harmonised creditor </w:t>
      </w:r>
      <w:r w:rsidR="00400090">
        <w:rPr>
          <w:noProof/>
        </w:rPr>
        <w:t xml:space="preserve">protection </w:t>
      </w:r>
      <w:r>
        <w:rPr>
          <w:noProof/>
        </w:rPr>
        <w:t>safeguards in addition to capital maintenance rules.</w:t>
      </w:r>
    </w:p>
    <w:p w14:paraId="13F67AE0" w14:textId="0CE41990" w:rsidR="008B4D3F" w:rsidRDefault="008B4D3F" w:rsidP="00C4288E">
      <w:pPr>
        <w:pStyle w:val="ListParagraph"/>
        <w:numPr>
          <w:ilvl w:val="0"/>
          <w:numId w:val="15"/>
        </w:numPr>
        <w:tabs>
          <w:tab w:val="left" w:pos="170"/>
        </w:tabs>
        <w:spacing w:before="0" w:after="0"/>
        <w:jc w:val="both"/>
        <w:rPr>
          <w:noProof/>
        </w:rPr>
      </w:pPr>
      <w:r>
        <w:rPr>
          <w:noProof/>
        </w:rPr>
        <w:t>Policy option 6c - O</w:t>
      </w:r>
      <w:r w:rsidRPr="004C599B">
        <w:rPr>
          <w:noProof/>
        </w:rPr>
        <w:t xml:space="preserve">ption </w:t>
      </w:r>
      <w:r>
        <w:rPr>
          <w:noProof/>
        </w:rPr>
        <w:t>6</w:t>
      </w:r>
      <w:r w:rsidRPr="004C599B">
        <w:rPr>
          <w:noProof/>
        </w:rPr>
        <w:t xml:space="preserve">b </w:t>
      </w:r>
      <w:r>
        <w:rPr>
          <w:noProof/>
        </w:rPr>
        <w:t>+</w:t>
      </w:r>
      <w:r w:rsidRPr="004C599B">
        <w:rPr>
          <w:noProof/>
        </w:rPr>
        <w:t xml:space="preserve"> </w:t>
      </w:r>
      <w:r>
        <w:rPr>
          <w:noProof/>
        </w:rPr>
        <w:t xml:space="preserve">common minimum share capital of EUR </w:t>
      </w:r>
      <w:r w:rsidR="00496501">
        <w:rPr>
          <w:noProof/>
        </w:rPr>
        <w:t>5</w:t>
      </w:r>
      <w:r>
        <w:rPr>
          <w:noProof/>
        </w:rPr>
        <w:t>.</w:t>
      </w:r>
      <w:r w:rsidR="00496501">
        <w:rPr>
          <w:noProof/>
        </w:rPr>
        <w:t>0</w:t>
      </w:r>
      <w:r>
        <w:rPr>
          <w:noProof/>
        </w:rPr>
        <w:t>00 for incorporation of 28</w:t>
      </w:r>
      <w:r w:rsidRPr="00E57C3A">
        <w:rPr>
          <w:noProof/>
          <w:vertAlign w:val="superscript"/>
        </w:rPr>
        <w:t>th</w:t>
      </w:r>
      <w:r>
        <w:rPr>
          <w:noProof/>
        </w:rPr>
        <w:t xml:space="preserve"> regime companies with harmonised creditor </w:t>
      </w:r>
      <w:r w:rsidR="00400090">
        <w:rPr>
          <w:noProof/>
        </w:rPr>
        <w:t xml:space="preserve">protection </w:t>
      </w:r>
      <w:r>
        <w:rPr>
          <w:noProof/>
        </w:rPr>
        <w:t>safeguards based primarily on capital maintenance.</w:t>
      </w:r>
    </w:p>
    <w:p w14:paraId="680E128B" w14:textId="77777777" w:rsidR="00DF5E69" w:rsidRDefault="00DF5E69" w:rsidP="00ED24FF">
      <w:pPr>
        <w:tabs>
          <w:tab w:val="left" w:pos="170"/>
        </w:tabs>
        <w:spacing w:before="0" w:after="0"/>
        <w:rPr>
          <w:noProof/>
        </w:rPr>
      </w:pPr>
    </w:p>
    <w:tbl>
      <w:tblPr>
        <w:tblStyle w:val="TableGrid"/>
        <w:tblW w:w="14170" w:type="dxa"/>
        <w:tblLayout w:type="fixed"/>
        <w:tblLook w:val="04A0" w:firstRow="1" w:lastRow="0" w:firstColumn="1" w:lastColumn="0" w:noHBand="0" w:noVBand="1"/>
      </w:tblPr>
      <w:tblGrid>
        <w:gridCol w:w="2122"/>
        <w:gridCol w:w="1508"/>
        <w:gridCol w:w="1042"/>
        <w:gridCol w:w="996"/>
        <w:gridCol w:w="994"/>
        <w:gridCol w:w="7508"/>
      </w:tblGrid>
      <w:tr w:rsidR="00DF5E69" w:rsidRPr="00DC6DD8" w14:paraId="54032E75" w14:textId="77777777" w:rsidTr="6F00936E">
        <w:tc>
          <w:tcPr>
            <w:tcW w:w="2122" w:type="dxa"/>
            <w:shd w:val="clear" w:color="auto" w:fill="95B3D7" w:themeFill="accent1" w:themeFillTint="99"/>
          </w:tcPr>
          <w:p w14:paraId="0CB1DE92" w14:textId="77777777" w:rsidR="00DF5E69" w:rsidRPr="00DC6DD8" w:rsidRDefault="00DF5E69" w:rsidP="00DF5E69">
            <w:pPr>
              <w:rPr>
                <w:b/>
                <w:noProof/>
                <w:szCs w:val="20"/>
              </w:rPr>
            </w:pPr>
            <w:r w:rsidRPr="00DC6DD8">
              <w:rPr>
                <w:b/>
                <w:noProof/>
                <w:szCs w:val="20"/>
              </w:rPr>
              <w:br w:type="page"/>
            </w:r>
          </w:p>
        </w:tc>
        <w:tc>
          <w:tcPr>
            <w:tcW w:w="1508" w:type="dxa"/>
            <w:shd w:val="clear" w:color="auto" w:fill="95B3D7" w:themeFill="accent1" w:themeFillTint="99"/>
          </w:tcPr>
          <w:p w14:paraId="1EB42DEE" w14:textId="77777777" w:rsidR="00DF5E69" w:rsidRPr="00864F5C" w:rsidRDefault="00DF5E69" w:rsidP="00DF5E69">
            <w:pPr>
              <w:rPr>
                <w:b/>
                <w:noProof/>
                <w:sz w:val="18"/>
                <w:szCs w:val="18"/>
              </w:rPr>
            </w:pPr>
            <w:r w:rsidRPr="00864F5C">
              <w:rPr>
                <w:b/>
                <w:noProof/>
                <w:sz w:val="18"/>
                <w:szCs w:val="18"/>
              </w:rPr>
              <w:t>Unit of measurement</w:t>
            </w:r>
          </w:p>
        </w:tc>
        <w:tc>
          <w:tcPr>
            <w:tcW w:w="1042" w:type="dxa"/>
            <w:shd w:val="clear" w:color="auto" w:fill="95B3D7" w:themeFill="accent1" w:themeFillTint="99"/>
          </w:tcPr>
          <w:p w14:paraId="0152C15B" w14:textId="2153C7BC"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6</w:t>
            </w:r>
            <w:r w:rsidRPr="00DC6DD8">
              <w:rPr>
                <w:b/>
                <w:noProof/>
                <w:szCs w:val="20"/>
              </w:rPr>
              <w:t xml:space="preserve">a </w:t>
            </w:r>
          </w:p>
        </w:tc>
        <w:tc>
          <w:tcPr>
            <w:tcW w:w="996" w:type="dxa"/>
            <w:shd w:val="clear" w:color="auto" w:fill="95B3D7" w:themeFill="accent1" w:themeFillTint="99"/>
          </w:tcPr>
          <w:p w14:paraId="5ED074E2" w14:textId="475F7D18"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6</w:t>
            </w:r>
            <w:r w:rsidRPr="00DC6DD8">
              <w:rPr>
                <w:b/>
                <w:noProof/>
                <w:szCs w:val="20"/>
              </w:rPr>
              <w:t>b</w:t>
            </w:r>
          </w:p>
        </w:tc>
        <w:tc>
          <w:tcPr>
            <w:tcW w:w="994" w:type="dxa"/>
            <w:shd w:val="clear" w:color="auto" w:fill="95B3D7" w:themeFill="accent1" w:themeFillTint="99"/>
          </w:tcPr>
          <w:p w14:paraId="7E20DE1C" w14:textId="2FF6A811"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6</w:t>
            </w:r>
            <w:r w:rsidRPr="00DC6DD8">
              <w:rPr>
                <w:b/>
                <w:noProof/>
                <w:szCs w:val="20"/>
              </w:rPr>
              <w:t>c</w:t>
            </w:r>
          </w:p>
          <w:p w14:paraId="4DF5E5F0" w14:textId="77777777" w:rsidR="00DF5E69" w:rsidRPr="00DC6DD8" w:rsidRDefault="00DF5E69" w:rsidP="00DF5E69">
            <w:pPr>
              <w:rPr>
                <w:b/>
                <w:noProof/>
                <w:szCs w:val="20"/>
              </w:rPr>
            </w:pPr>
          </w:p>
        </w:tc>
        <w:tc>
          <w:tcPr>
            <w:tcW w:w="7508" w:type="dxa"/>
            <w:shd w:val="clear" w:color="auto" w:fill="95B3D7" w:themeFill="accent1" w:themeFillTint="99"/>
          </w:tcPr>
          <w:p w14:paraId="6D82F523" w14:textId="77777777" w:rsidR="00DF5E69" w:rsidRPr="00DC6DD8" w:rsidRDefault="00DF5E69" w:rsidP="00DF5E69">
            <w:pPr>
              <w:rPr>
                <w:b/>
                <w:noProof/>
                <w:szCs w:val="20"/>
              </w:rPr>
            </w:pPr>
            <w:r w:rsidRPr="00DD0943">
              <w:rPr>
                <w:b/>
                <w:noProof/>
                <w:szCs w:val="20"/>
              </w:rPr>
              <w:t>Motivation</w:t>
            </w:r>
          </w:p>
        </w:tc>
      </w:tr>
      <w:tr w:rsidR="00DF5E69" w:rsidRPr="00DC6DD8" w14:paraId="1BD69A9B" w14:textId="77777777" w:rsidTr="6F00936E">
        <w:trPr>
          <w:trHeight w:val="702"/>
        </w:trPr>
        <w:tc>
          <w:tcPr>
            <w:tcW w:w="14170" w:type="dxa"/>
            <w:gridSpan w:val="6"/>
            <w:shd w:val="clear" w:color="auto" w:fill="92D050"/>
          </w:tcPr>
          <w:p w14:paraId="191A2A54" w14:textId="77777777" w:rsidR="00DF5E69" w:rsidRPr="00035E70" w:rsidRDefault="00DF5E69" w:rsidP="00DF5E69">
            <w:pPr>
              <w:rPr>
                <w:b/>
                <w:bCs/>
                <w:noProof/>
                <w:szCs w:val="20"/>
              </w:rPr>
            </w:pPr>
            <w:r w:rsidRPr="00D345EC">
              <w:rPr>
                <w:b/>
                <w:noProof/>
                <w:sz w:val="24"/>
                <w:szCs w:val="24"/>
              </w:rPr>
              <w:t>Companies and investors</w:t>
            </w:r>
          </w:p>
        </w:tc>
      </w:tr>
      <w:tr w:rsidR="00DF5E69" w:rsidRPr="00DC6DD8" w14:paraId="34FA1387" w14:textId="77777777" w:rsidTr="6F00936E">
        <w:trPr>
          <w:trHeight w:val="970"/>
        </w:trPr>
        <w:tc>
          <w:tcPr>
            <w:tcW w:w="2122" w:type="dxa"/>
          </w:tcPr>
          <w:p w14:paraId="12F5E7BB" w14:textId="77777777" w:rsidR="00DF5E69" w:rsidRPr="00DC6DD8" w:rsidRDefault="00DF5E69" w:rsidP="00DF5E69">
            <w:pPr>
              <w:rPr>
                <w:b/>
                <w:noProof/>
                <w:szCs w:val="20"/>
              </w:rPr>
            </w:pPr>
            <w:r>
              <w:rPr>
                <w:b/>
                <w:noProof/>
                <w:szCs w:val="20"/>
              </w:rPr>
              <w:t>Ease of doing business</w:t>
            </w:r>
          </w:p>
        </w:tc>
        <w:tc>
          <w:tcPr>
            <w:tcW w:w="1508" w:type="dxa"/>
          </w:tcPr>
          <w:p w14:paraId="7EC7A5FB" w14:textId="77777777" w:rsidR="00DF5E69" w:rsidRPr="00170FBB" w:rsidRDefault="00DF5E69" w:rsidP="00DF5E69">
            <w:pPr>
              <w:rPr>
                <w:b/>
                <w:noProof/>
                <w:sz w:val="18"/>
                <w:szCs w:val="18"/>
              </w:rPr>
            </w:pPr>
            <w:r w:rsidRPr="00170FBB">
              <w:rPr>
                <w:noProof/>
                <w:sz w:val="18"/>
                <w:szCs w:val="18"/>
              </w:rPr>
              <w:t>Score 0-5</w:t>
            </w:r>
          </w:p>
        </w:tc>
        <w:tc>
          <w:tcPr>
            <w:tcW w:w="1042" w:type="dxa"/>
          </w:tcPr>
          <w:p w14:paraId="4C377F1A" w14:textId="62722B2D" w:rsidR="00DF5E69" w:rsidRPr="00365EF4" w:rsidRDefault="000913BE" w:rsidP="00365EF4">
            <w:pPr>
              <w:jc w:val="center"/>
              <w:rPr>
                <w:noProof/>
                <w:szCs w:val="20"/>
              </w:rPr>
            </w:pPr>
            <w:r w:rsidRPr="00365EF4">
              <w:rPr>
                <w:noProof/>
                <w:szCs w:val="20"/>
              </w:rPr>
              <w:t>2</w:t>
            </w:r>
          </w:p>
        </w:tc>
        <w:tc>
          <w:tcPr>
            <w:tcW w:w="996" w:type="dxa"/>
          </w:tcPr>
          <w:p w14:paraId="0813D819" w14:textId="2D043910" w:rsidR="00DF5E69" w:rsidRPr="00365EF4" w:rsidRDefault="00321219" w:rsidP="00365EF4">
            <w:pPr>
              <w:jc w:val="center"/>
              <w:rPr>
                <w:noProof/>
                <w:szCs w:val="20"/>
              </w:rPr>
            </w:pPr>
            <w:r>
              <w:rPr>
                <w:bCs/>
                <w:noProof/>
                <w:szCs w:val="20"/>
              </w:rPr>
              <w:t>4</w:t>
            </w:r>
          </w:p>
        </w:tc>
        <w:tc>
          <w:tcPr>
            <w:tcW w:w="994" w:type="dxa"/>
          </w:tcPr>
          <w:p w14:paraId="7C55EDC7" w14:textId="0E549AD8" w:rsidR="00DF5E69" w:rsidRPr="00365EF4" w:rsidRDefault="00321219" w:rsidP="00365EF4">
            <w:pPr>
              <w:jc w:val="center"/>
              <w:rPr>
                <w:noProof/>
                <w:szCs w:val="20"/>
              </w:rPr>
            </w:pPr>
            <w:r>
              <w:rPr>
                <w:bCs/>
                <w:noProof/>
                <w:szCs w:val="20"/>
              </w:rPr>
              <w:t>3</w:t>
            </w:r>
          </w:p>
        </w:tc>
        <w:tc>
          <w:tcPr>
            <w:tcW w:w="7508" w:type="dxa"/>
          </w:tcPr>
          <w:p w14:paraId="0F2800AB" w14:textId="68C865C1" w:rsidR="00400090" w:rsidRDefault="00160EC1" w:rsidP="00400090">
            <w:pPr>
              <w:jc w:val="both"/>
              <w:rPr>
                <w:noProof/>
                <w:szCs w:val="20"/>
              </w:rPr>
            </w:pPr>
            <w:r>
              <w:rPr>
                <w:noProof/>
                <w:szCs w:val="20"/>
              </w:rPr>
              <w:t>All t</w:t>
            </w:r>
            <w:r w:rsidR="00DA523C" w:rsidRPr="005478C0">
              <w:rPr>
                <w:noProof/>
                <w:szCs w:val="20"/>
              </w:rPr>
              <w:t xml:space="preserve">hese options will </w:t>
            </w:r>
            <w:r w:rsidR="003711C8" w:rsidRPr="003711C8">
              <w:rPr>
                <w:noProof/>
                <w:szCs w:val="20"/>
              </w:rPr>
              <w:t xml:space="preserve">generate tangible efficiency gains by simplifying governance and </w:t>
            </w:r>
            <w:r w:rsidR="0029646A">
              <w:rPr>
                <w:noProof/>
                <w:szCs w:val="20"/>
              </w:rPr>
              <w:t xml:space="preserve">capital increase </w:t>
            </w:r>
            <w:r w:rsidR="008A1E9A">
              <w:rPr>
                <w:noProof/>
                <w:szCs w:val="20"/>
              </w:rPr>
              <w:t>procedure</w:t>
            </w:r>
            <w:r w:rsidR="00460A64">
              <w:rPr>
                <w:noProof/>
                <w:szCs w:val="20"/>
              </w:rPr>
              <w:t>s</w:t>
            </w:r>
            <w:r w:rsidR="008A1E9A">
              <w:rPr>
                <w:noProof/>
                <w:szCs w:val="20"/>
              </w:rPr>
              <w:t xml:space="preserve"> and</w:t>
            </w:r>
            <w:r w:rsidR="00460A64">
              <w:rPr>
                <w:noProof/>
                <w:szCs w:val="20"/>
              </w:rPr>
              <w:t xml:space="preserve"> b</w:t>
            </w:r>
            <w:r w:rsidR="00D97542">
              <w:rPr>
                <w:noProof/>
                <w:szCs w:val="20"/>
              </w:rPr>
              <w:t>y</w:t>
            </w:r>
            <w:r w:rsidR="008A1E9A">
              <w:rPr>
                <w:noProof/>
                <w:szCs w:val="20"/>
              </w:rPr>
              <w:t xml:space="preserve"> </w:t>
            </w:r>
            <w:r w:rsidR="00D56A8A">
              <w:rPr>
                <w:noProof/>
                <w:szCs w:val="20"/>
              </w:rPr>
              <w:t xml:space="preserve">introducing digital tools and procedures </w:t>
            </w:r>
            <w:r w:rsidR="00AD1408" w:rsidRPr="00705EF2">
              <w:rPr>
                <w:noProof/>
                <w:szCs w:val="20"/>
              </w:rPr>
              <w:t xml:space="preserve">throughout the operational phase of </w:t>
            </w:r>
            <w:r w:rsidR="003711C8" w:rsidRPr="00705EF2">
              <w:rPr>
                <w:noProof/>
                <w:szCs w:val="20"/>
              </w:rPr>
              <w:t xml:space="preserve">the </w:t>
            </w:r>
            <w:r w:rsidR="00160CC8" w:rsidRPr="00705EF2">
              <w:rPr>
                <w:noProof/>
                <w:szCs w:val="20"/>
              </w:rPr>
              <w:t>28</w:t>
            </w:r>
            <w:r w:rsidR="00160CC8" w:rsidRPr="00365EF4">
              <w:rPr>
                <w:noProof/>
                <w:szCs w:val="20"/>
                <w:vertAlign w:val="superscript"/>
              </w:rPr>
              <w:t>th</w:t>
            </w:r>
            <w:r w:rsidR="00160CC8" w:rsidRPr="00705EF2">
              <w:rPr>
                <w:noProof/>
                <w:szCs w:val="20"/>
              </w:rPr>
              <w:t xml:space="preserve"> regime </w:t>
            </w:r>
            <w:r w:rsidR="003711C8" w:rsidRPr="00705EF2">
              <w:rPr>
                <w:noProof/>
                <w:szCs w:val="20"/>
              </w:rPr>
              <w:t xml:space="preserve">company </w:t>
            </w:r>
            <w:r w:rsidR="00160CC8" w:rsidRPr="00705EF2">
              <w:rPr>
                <w:noProof/>
                <w:szCs w:val="20"/>
              </w:rPr>
              <w:t>and</w:t>
            </w:r>
            <w:r w:rsidR="00DA523C" w:rsidRPr="00705EF2">
              <w:rPr>
                <w:noProof/>
                <w:szCs w:val="20"/>
              </w:rPr>
              <w:t xml:space="preserve"> will </w:t>
            </w:r>
            <w:r w:rsidR="00160CC8" w:rsidRPr="00705EF2">
              <w:rPr>
                <w:noProof/>
                <w:szCs w:val="20"/>
              </w:rPr>
              <w:t xml:space="preserve">thus </w:t>
            </w:r>
            <w:r w:rsidR="00DA523C" w:rsidRPr="00705EF2">
              <w:rPr>
                <w:noProof/>
                <w:szCs w:val="20"/>
              </w:rPr>
              <w:t>have a strong positive impact on the ease of doing business</w:t>
            </w:r>
            <w:r w:rsidR="003711C8" w:rsidRPr="00705EF2">
              <w:rPr>
                <w:noProof/>
                <w:szCs w:val="20"/>
              </w:rPr>
              <w:t xml:space="preserve">. </w:t>
            </w:r>
            <w:r w:rsidR="00671F58">
              <w:rPr>
                <w:noProof/>
                <w:szCs w:val="20"/>
              </w:rPr>
              <w:t>In addition, p</w:t>
            </w:r>
            <w:r w:rsidR="003711C8" w:rsidRPr="003711C8">
              <w:rPr>
                <w:noProof/>
                <w:szCs w:val="20"/>
              </w:rPr>
              <w:t xml:space="preserve">olicy </w:t>
            </w:r>
            <w:r w:rsidR="00671F58">
              <w:rPr>
                <w:noProof/>
                <w:szCs w:val="20"/>
              </w:rPr>
              <w:t>o</w:t>
            </w:r>
            <w:r w:rsidR="003711C8" w:rsidRPr="003711C8">
              <w:rPr>
                <w:noProof/>
                <w:szCs w:val="20"/>
              </w:rPr>
              <w:t xml:space="preserve">ption 6b </w:t>
            </w:r>
            <w:r>
              <w:rPr>
                <w:noProof/>
                <w:szCs w:val="20"/>
              </w:rPr>
              <w:t xml:space="preserve">will </w:t>
            </w:r>
            <w:r w:rsidR="003711C8" w:rsidRPr="003711C8">
              <w:rPr>
                <w:noProof/>
                <w:szCs w:val="20"/>
              </w:rPr>
              <w:t>combin</w:t>
            </w:r>
            <w:r>
              <w:rPr>
                <w:noProof/>
                <w:szCs w:val="20"/>
              </w:rPr>
              <w:t>e</w:t>
            </w:r>
            <w:r w:rsidR="003711C8" w:rsidRPr="003711C8">
              <w:rPr>
                <w:noProof/>
                <w:szCs w:val="20"/>
              </w:rPr>
              <w:t xml:space="preserve"> the procedural simplifications </w:t>
            </w:r>
            <w:r>
              <w:rPr>
                <w:noProof/>
                <w:szCs w:val="20"/>
              </w:rPr>
              <w:t xml:space="preserve">and digitalisation under </w:t>
            </w:r>
            <w:r w:rsidR="003711C8" w:rsidRPr="003711C8">
              <w:rPr>
                <w:noProof/>
                <w:szCs w:val="20"/>
              </w:rPr>
              <w:t>PO6a with the abolition of mandatory paid-in minimum share capital</w:t>
            </w:r>
            <w:r w:rsidR="00A20B4D">
              <w:rPr>
                <w:noProof/>
                <w:szCs w:val="20"/>
              </w:rPr>
              <w:t>,</w:t>
            </w:r>
            <w:r w:rsidR="00A37EC5">
              <w:rPr>
                <w:noProof/>
                <w:szCs w:val="20"/>
              </w:rPr>
              <w:t xml:space="preserve"> having therefore a stronger impact than</w:t>
            </w:r>
            <w:r w:rsidR="00400090">
              <w:rPr>
                <w:noProof/>
                <w:szCs w:val="20"/>
              </w:rPr>
              <w:t xml:space="preserve"> o</w:t>
            </w:r>
            <w:r w:rsidR="00400090" w:rsidRPr="003711C8">
              <w:rPr>
                <w:noProof/>
                <w:szCs w:val="20"/>
              </w:rPr>
              <w:t>ption 6c</w:t>
            </w:r>
            <w:r w:rsidR="00A37EC5">
              <w:rPr>
                <w:noProof/>
                <w:szCs w:val="20"/>
              </w:rPr>
              <w:t>, which</w:t>
            </w:r>
            <w:r w:rsidR="00400090">
              <w:rPr>
                <w:noProof/>
                <w:szCs w:val="20"/>
              </w:rPr>
              <w:t xml:space="preserve"> </w:t>
            </w:r>
            <w:r w:rsidR="00400090" w:rsidRPr="003711C8">
              <w:rPr>
                <w:noProof/>
                <w:szCs w:val="20"/>
              </w:rPr>
              <w:t xml:space="preserve">improves legal clarity through harmonisation of minimum capital requirements but </w:t>
            </w:r>
            <w:r w:rsidR="006540CF">
              <w:rPr>
                <w:noProof/>
                <w:szCs w:val="20"/>
              </w:rPr>
              <w:t>requires</w:t>
            </w:r>
            <w:r w:rsidR="006540CF" w:rsidRPr="003711C8">
              <w:rPr>
                <w:noProof/>
                <w:szCs w:val="20"/>
              </w:rPr>
              <w:t xml:space="preserve"> </w:t>
            </w:r>
            <w:r w:rsidR="00400090" w:rsidRPr="003711C8">
              <w:rPr>
                <w:noProof/>
                <w:szCs w:val="20"/>
              </w:rPr>
              <w:t>a</w:t>
            </w:r>
            <w:r w:rsidR="002A6C0F">
              <w:rPr>
                <w:noProof/>
                <w:szCs w:val="20"/>
              </w:rPr>
              <w:t xml:space="preserve"> significant</w:t>
            </w:r>
            <w:r w:rsidR="00400090" w:rsidRPr="003711C8">
              <w:rPr>
                <w:noProof/>
                <w:szCs w:val="20"/>
              </w:rPr>
              <w:t xml:space="preserve"> upfront capital commitment</w:t>
            </w:r>
            <w:r w:rsidR="007560E5">
              <w:rPr>
                <w:noProof/>
                <w:szCs w:val="20"/>
              </w:rPr>
              <w:t xml:space="preserve"> of EUR 5</w:t>
            </w:r>
            <w:r w:rsidR="002F0D00">
              <w:rPr>
                <w:noProof/>
                <w:szCs w:val="20"/>
              </w:rPr>
              <w:t> </w:t>
            </w:r>
            <w:r w:rsidR="007560E5">
              <w:rPr>
                <w:noProof/>
                <w:szCs w:val="20"/>
              </w:rPr>
              <w:t>000</w:t>
            </w:r>
            <w:r w:rsidR="00400090">
              <w:rPr>
                <w:noProof/>
                <w:szCs w:val="20"/>
              </w:rPr>
              <w:t xml:space="preserve">. </w:t>
            </w:r>
          </w:p>
          <w:p w14:paraId="1F99334F" w14:textId="652436E3" w:rsidR="0004033A" w:rsidRDefault="00AF7401" w:rsidP="00233D04">
            <w:pPr>
              <w:jc w:val="both"/>
              <w:rPr>
                <w:noProof/>
                <w:szCs w:val="20"/>
              </w:rPr>
            </w:pPr>
            <w:r>
              <w:rPr>
                <w:noProof/>
                <w:szCs w:val="20"/>
              </w:rPr>
              <w:t xml:space="preserve">As to the </w:t>
            </w:r>
            <w:r w:rsidR="00F95B63">
              <w:rPr>
                <w:noProof/>
                <w:szCs w:val="20"/>
              </w:rPr>
              <w:t>m</w:t>
            </w:r>
            <w:r w:rsidR="00AC77D9" w:rsidRPr="003072F1">
              <w:rPr>
                <w:noProof/>
                <w:szCs w:val="20"/>
              </w:rPr>
              <w:t>inimum share capital rules</w:t>
            </w:r>
            <w:r w:rsidR="00F95B63">
              <w:rPr>
                <w:noProof/>
                <w:szCs w:val="20"/>
              </w:rPr>
              <w:t>, they</w:t>
            </w:r>
            <w:r w:rsidR="00AC77D9" w:rsidRPr="003072F1">
              <w:rPr>
                <w:noProof/>
                <w:szCs w:val="20"/>
              </w:rPr>
              <w:t xml:space="preserve"> </w:t>
            </w:r>
            <w:r w:rsidR="00AC77D9" w:rsidRPr="00365EF4">
              <w:rPr>
                <w:noProof/>
                <w:szCs w:val="20"/>
              </w:rPr>
              <w:t>create indirect economic and opportunity costs</w:t>
            </w:r>
            <w:r w:rsidR="00AC77D9" w:rsidRPr="003072F1">
              <w:rPr>
                <w:noProof/>
                <w:szCs w:val="20"/>
              </w:rPr>
              <w:t xml:space="preserve"> that are particularly relevant for early-stage founders.</w:t>
            </w:r>
            <w:r w:rsidR="00AC77D9">
              <w:rPr>
                <w:noProof/>
                <w:szCs w:val="20"/>
              </w:rPr>
              <w:t xml:space="preserve"> </w:t>
            </w:r>
            <w:r w:rsidR="00824558">
              <w:rPr>
                <w:noProof/>
                <w:szCs w:val="20"/>
              </w:rPr>
              <w:t>While f</w:t>
            </w:r>
            <w:r w:rsidR="00AC77D9" w:rsidRPr="002F45CE">
              <w:rPr>
                <w:noProof/>
                <w:szCs w:val="20"/>
              </w:rPr>
              <w:t>rom a strict accounting perspective, minimum capital requirements do not constitute a direct economic cost, as founders receive shares of equivalent value in exchange for the capital contributed</w:t>
            </w:r>
            <w:r w:rsidR="00824558">
              <w:rPr>
                <w:noProof/>
                <w:szCs w:val="20"/>
              </w:rPr>
              <w:t xml:space="preserve">, </w:t>
            </w:r>
            <w:r w:rsidR="00AC77D9" w:rsidRPr="002F45CE">
              <w:rPr>
                <w:noProof/>
                <w:szCs w:val="20"/>
              </w:rPr>
              <w:t>for early-stage companies, minimum capital requirements operate as a binding liquidity constraint rather than a neutral transfer. Evidence from stakeholder consultations indicates that at the moment of incorporation mandatory minimum capital is often temporarily immobilised and cannot be freely allocated</w:t>
            </w:r>
            <w:r w:rsidR="00723474">
              <w:rPr>
                <w:noProof/>
                <w:szCs w:val="20"/>
              </w:rPr>
              <w:t xml:space="preserve">; it is </w:t>
            </w:r>
            <w:r w:rsidR="00AC77D9" w:rsidRPr="000806EC">
              <w:rPr>
                <w:noProof/>
                <w:szCs w:val="20"/>
              </w:rPr>
              <w:t>therefore treat</w:t>
            </w:r>
            <w:r w:rsidR="00355260">
              <w:rPr>
                <w:noProof/>
                <w:szCs w:val="20"/>
              </w:rPr>
              <w:t>ed</w:t>
            </w:r>
            <w:r w:rsidR="00AC77D9" w:rsidRPr="000806EC">
              <w:rPr>
                <w:noProof/>
                <w:szCs w:val="20"/>
              </w:rPr>
              <w:t xml:space="preserve"> as an indirect cost (opportunity cost) for founders, reflecting foregone alternative uses of funds, delayed market entry and potential deterrence effects on entrepreneurship. </w:t>
            </w:r>
          </w:p>
          <w:p w14:paraId="078FDC10" w14:textId="3B1876B7" w:rsidR="00BC5214" w:rsidRPr="003711C8" w:rsidRDefault="00671F58" w:rsidP="00310AD0">
            <w:pPr>
              <w:jc w:val="both"/>
              <w:rPr>
                <w:noProof/>
                <w:szCs w:val="20"/>
              </w:rPr>
            </w:pPr>
            <w:r>
              <w:rPr>
                <w:noProof/>
                <w:szCs w:val="20"/>
              </w:rPr>
              <w:t xml:space="preserve">The results of the public consultation (52% of the respondents </w:t>
            </w:r>
            <w:r w:rsidR="00FB2F35">
              <w:rPr>
                <w:noProof/>
                <w:szCs w:val="20"/>
              </w:rPr>
              <w:t>thought</w:t>
            </w:r>
            <w:r w:rsidR="000F2E71" w:rsidRPr="000F2E71">
              <w:rPr>
                <w:noProof/>
                <w:szCs w:val="20"/>
              </w:rPr>
              <w:t xml:space="preserve"> that minimum capital is not a necessary protection for creditors</w:t>
            </w:r>
            <w:r>
              <w:rPr>
                <w:noProof/>
                <w:szCs w:val="20"/>
              </w:rPr>
              <w:t>) and academic research</w:t>
            </w:r>
            <w:r>
              <w:rPr>
                <w:rStyle w:val="FootnoteReference"/>
                <w:noProof/>
                <w:szCs w:val="20"/>
              </w:rPr>
              <w:footnoteReference w:id="41"/>
            </w:r>
            <w:r>
              <w:rPr>
                <w:noProof/>
                <w:szCs w:val="20"/>
              </w:rPr>
              <w:t xml:space="preserve"> </w:t>
            </w:r>
            <w:r w:rsidRPr="003711C8">
              <w:rPr>
                <w:noProof/>
                <w:szCs w:val="20"/>
              </w:rPr>
              <w:t>suggest</w:t>
            </w:r>
            <w:r>
              <w:rPr>
                <w:noProof/>
                <w:szCs w:val="20"/>
              </w:rPr>
              <w:t xml:space="preserve"> that minimum capital</w:t>
            </w:r>
            <w:r w:rsidRPr="003711C8">
              <w:rPr>
                <w:noProof/>
                <w:szCs w:val="20"/>
              </w:rPr>
              <w:t xml:space="preserve"> is increasingly viewed as </w:t>
            </w:r>
            <w:r w:rsidR="006146C2">
              <w:rPr>
                <w:noProof/>
                <w:szCs w:val="20"/>
              </w:rPr>
              <w:t xml:space="preserve">an </w:t>
            </w:r>
            <w:r w:rsidR="008E2AED">
              <w:rPr>
                <w:noProof/>
                <w:szCs w:val="20"/>
              </w:rPr>
              <w:t>i</w:t>
            </w:r>
            <w:r w:rsidR="006146C2">
              <w:rPr>
                <w:noProof/>
                <w:szCs w:val="20"/>
              </w:rPr>
              <w:t>nadequate</w:t>
            </w:r>
            <w:r w:rsidRPr="003711C8">
              <w:rPr>
                <w:noProof/>
                <w:szCs w:val="20"/>
              </w:rPr>
              <w:t xml:space="preserve"> creditor protection </w:t>
            </w:r>
            <w:r>
              <w:rPr>
                <w:noProof/>
                <w:szCs w:val="20"/>
              </w:rPr>
              <w:t xml:space="preserve">mechanism </w:t>
            </w:r>
            <w:r w:rsidRPr="003711C8">
              <w:rPr>
                <w:noProof/>
                <w:szCs w:val="20"/>
              </w:rPr>
              <w:t>in early-stage companies.</w:t>
            </w:r>
            <w:r>
              <w:rPr>
                <w:noProof/>
                <w:szCs w:val="20"/>
              </w:rPr>
              <w:t xml:space="preserve"> </w:t>
            </w:r>
            <w:r w:rsidR="001615B7">
              <w:rPr>
                <w:noProof/>
                <w:szCs w:val="20"/>
              </w:rPr>
              <w:t>Still</w:t>
            </w:r>
            <w:r>
              <w:rPr>
                <w:noProof/>
                <w:szCs w:val="20"/>
              </w:rPr>
              <w:t xml:space="preserve">, some stakeholders </w:t>
            </w:r>
            <w:r w:rsidR="00585CC7">
              <w:rPr>
                <w:noProof/>
                <w:szCs w:val="20"/>
              </w:rPr>
              <w:t>(e.g. notaries, some trade unions)</w:t>
            </w:r>
            <w:r>
              <w:rPr>
                <w:noProof/>
                <w:szCs w:val="20"/>
              </w:rPr>
              <w:t xml:space="preserve"> consider that a minimum capital requirement is necessary to ensure the seriousness of </w:t>
            </w:r>
            <w:r w:rsidR="00763C21">
              <w:rPr>
                <w:noProof/>
                <w:szCs w:val="20"/>
              </w:rPr>
              <w:t xml:space="preserve">a </w:t>
            </w:r>
            <w:r>
              <w:rPr>
                <w:noProof/>
                <w:szCs w:val="20"/>
              </w:rPr>
              <w:t xml:space="preserve">business and to avoid non-viable companies being set up. Both options 6b and 6c provide </w:t>
            </w:r>
            <w:r w:rsidR="00310AD0">
              <w:rPr>
                <w:noProof/>
                <w:szCs w:val="20"/>
              </w:rPr>
              <w:t xml:space="preserve">therefore </w:t>
            </w:r>
            <w:r>
              <w:rPr>
                <w:noProof/>
                <w:szCs w:val="20"/>
              </w:rPr>
              <w:t>for creditor protection</w:t>
            </w:r>
            <w:r w:rsidR="00DD3BA6">
              <w:rPr>
                <w:noProof/>
                <w:szCs w:val="20"/>
              </w:rPr>
              <w:t xml:space="preserve"> </w:t>
            </w:r>
            <w:r w:rsidR="00310AD0">
              <w:rPr>
                <w:noProof/>
                <w:szCs w:val="20"/>
              </w:rPr>
              <w:t>but</w:t>
            </w:r>
            <w:r>
              <w:rPr>
                <w:noProof/>
                <w:szCs w:val="20"/>
              </w:rPr>
              <w:t xml:space="preserve"> </w:t>
            </w:r>
            <w:r w:rsidR="00F067AD">
              <w:rPr>
                <w:noProof/>
                <w:szCs w:val="20"/>
              </w:rPr>
              <w:t>PO</w:t>
            </w:r>
            <w:r>
              <w:rPr>
                <w:noProof/>
                <w:szCs w:val="20"/>
              </w:rPr>
              <w:t>6b</w:t>
            </w:r>
            <w:r w:rsidR="00E96AB8">
              <w:rPr>
                <w:noProof/>
                <w:szCs w:val="20"/>
              </w:rPr>
              <w:t xml:space="preserve">, </w:t>
            </w:r>
            <w:r w:rsidR="00E96AB8" w:rsidRPr="003711C8">
              <w:rPr>
                <w:noProof/>
                <w:szCs w:val="20"/>
              </w:rPr>
              <w:t>with the abolition of mandatory paid-in minimum share capital</w:t>
            </w:r>
            <w:r w:rsidR="00E96AB8">
              <w:rPr>
                <w:noProof/>
                <w:szCs w:val="20"/>
              </w:rPr>
              <w:t xml:space="preserve">, </w:t>
            </w:r>
            <w:r w:rsidR="00DD3BA6">
              <w:rPr>
                <w:noProof/>
                <w:szCs w:val="20"/>
              </w:rPr>
              <w:t>would be the most efficien</w:t>
            </w:r>
            <w:r w:rsidR="00E96AB8">
              <w:rPr>
                <w:noProof/>
                <w:szCs w:val="20"/>
              </w:rPr>
              <w:t xml:space="preserve">t in terms of contributing </w:t>
            </w:r>
            <w:r w:rsidR="00990144">
              <w:rPr>
                <w:noProof/>
                <w:szCs w:val="20"/>
              </w:rPr>
              <w:t xml:space="preserve">to </w:t>
            </w:r>
            <w:r w:rsidR="00E96AB8">
              <w:rPr>
                <w:noProof/>
                <w:szCs w:val="20"/>
              </w:rPr>
              <w:t>the eas</w:t>
            </w:r>
            <w:r w:rsidR="00990144">
              <w:rPr>
                <w:noProof/>
                <w:szCs w:val="20"/>
              </w:rPr>
              <w:t>e</w:t>
            </w:r>
            <w:r w:rsidR="00E96AB8">
              <w:rPr>
                <w:noProof/>
                <w:szCs w:val="20"/>
              </w:rPr>
              <w:t xml:space="preserve"> of doing business.</w:t>
            </w:r>
            <w:r w:rsidR="00501F41">
              <w:rPr>
                <w:noProof/>
                <w:szCs w:val="20"/>
              </w:rPr>
              <w:t xml:space="preserve"> </w:t>
            </w:r>
            <w:r w:rsidR="003711C8" w:rsidRPr="003711C8">
              <w:rPr>
                <w:noProof/>
                <w:szCs w:val="20"/>
              </w:rPr>
              <w:t xml:space="preserve">While a single EU-wide </w:t>
            </w:r>
            <w:r w:rsidR="000D51C7">
              <w:rPr>
                <w:noProof/>
                <w:szCs w:val="20"/>
              </w:rPr>
              <w:t>minimum capital</w:t>
            </w:r>
            <w:r w:rsidR="00885F8F">
              <w:rPr>
                <w:noProof/>
                <w:szCs w:val="20"/>
              </w:rPr>
              <w:t xml:space="preserve"> requirement for all 28</w:t>
            </w:r>
            <w:r w:rsidR="00885F8F" w:rsidRPr="006604B6">
              <w:rPr>
                <w:noProof/>
                <w:szCs w:val="20"/>
                <w:vertAlign w:val="superscript"/>
              </w:rPr>
              <w:t>th</w:t>
            </w:r>
            <w:r w:rsidR="00885F8F">
              <w:rPr>
                <w:noProof/>
                <w:szCs w:val="20"/>
              </w:rPr>
              <w:t xml:space="preserve"> regime companies</w:t>
            </w:r>
            <w:r w:rsidR="003711C8" w:rsidRPr="003711C8">
              <w:rPr>
                <w:noProof/>
                <w:szCs w:val="20"/>
              </w:rPr>
              <w:t xml:space="preserve"> </w:t>
            </w:r>
            <w:r w:rsidR="00E96AB8">
              <w:rPr>
                <w:noProof/>
                <w:szCs w:val="20"/>
              </w:rPr>
              <w:t xml:space="preserve">under option 6c would </w:t>
            </w:r>
            <w:r w:rsidR="003711C8" w:rsidRPr="003711C8">
              <w:rPr>
                <w:noProof/>
                <w:szCs w:val="20"/>
              </w:rPr>
              <w:t xml:space="preserve">reduce legal complexity compared to the </w:t>
            </w:r>
            <w:r w:rsidR="00E96AB8">
              <w:rPr>
                <w:noProof/>
                <w:szCs w:val="20"/>
              </w:rPr>
              <w:t>current situation</w:t>
            </w:r>
            <w:r w:rsidR="003711C8" w:rsidRPr="003711C8">
              <w:rPr>
                <w:noProof/>
                <w:szCs w:val="20"/>
              </w:rPr>
              <w:t xml:space="preserve">, </w:t>
            </w:r>
            <w:r w:rsidR="00A17DFC">
              <w:rPr>
                <w:noProof/>
                <w:szCs w:val="20"/>
              </w:rPr>
              <w:t xml:space="preserve">it </w:t>
            </w:r>
            <w:r w:rsidR="00DD3BA6" w:rsidRPr="009F7BBF">
              <w:rPr>
                <w:noProof/>
                <w:szCs w:val="20"/>
              </w:rPr>
              <w:t xml:space="preserve">may generate </w:t>
            </w:r>
            <w:r w:rsidR="00DD3BA6" w:rsidRPr="00365EF4">
              <w:rPr>
                <w:noProof/>
                <w:szCs w:val="20"/>
              </w:rPr>
              <w:t>indirect or opportunity costs</w:t>
            </w:r>
            <w:r w:rsidR="00DD3BA6" w:rsidRPr="009F7BBF">
              <w:rPr>
                <w:noProof/>
                <w:szCs w:val="20"/>
              </w:rPr>
              <w:t xml:space="preserve"> in those Member States where existing national private limited company forms require a lower minimum capital than the EUR </w:t>
            </w:r>
            <w:r w:rsidR="00885F8F">
              <w:rPr>
                <w:noProof/>
                <w:szCs w:val="20"/>
              </w:rPr>
              <w:t>5</w:t>
            </w:r>
            <w:r w:rsidR="006F32D6">
              <w:rPr>
                <w:noProof/>
                <w:szCs w:val="20"/>
              </w:rPr>
              <w:t> </w:t>
            </w:r>
            <w:r w:rsidR="00885F8F">
              <w:rPr>
                <w:noProof/>
                <w:szCs w:val="20"/>
              </w:rPr>
              <w:t>000</w:t>
            </w:r>
            <w:r w:rsidR="00DD3BA6" w:rsidRPr="009F7BBF">
              <w:rPr>
                <w:noProof/>
                <w:szCs w:val="20"/>
              </w:rPr>
              <w:t xml:space="preserve"> set under this policy option</w:t>
            </w:r>
            <w:r w:rsidR="00DD3BA6" w:rsidRPr="00B00F1F">
              <w:rPr>
                <w:noProof/>
                <w:szCs w:val="20"/>
              </w:rPr>
              <w:t>.</w:t>
            </w:r>
            <w:r w:rsidR="00DD3BA6" w:rsidRPr="009F7BBF">
              <w:rPr>
                <w:noProof/>
                <w:szCs w:val="20"/>
              </w:rPr>
              <w:t xml:space="preserve"> In these</w:t>
            </w:r>
            <w:r w:rsidR="00DD3BA6">
              <w:rPr>
                <w:noProof/>
                <w:szCs w:val="20"/>
              </w:rPr>
              <w:t xml:space="preserve"> Member States</w:t>
            </w:r>
            <w:r w:rsidR="00DD3BA6" w:rsidRPr="009F7BBF">
              <w:rPr>
                <w:noProof/>
                <w:szCs w:val="20"/>
              </w:rPr>
              <w:t>, founders opting for the 28</w:t>
            </w:r>
            <w:r w:rsidR="00DD3BA6" w:rsidRPr="00E57C3A">
              <w:rPr>
                <w:noProof/>
                <w:szCs w:val="20"/>
                <w:vertAlign w:val="superscript"/>
              </w:rPr>
              <w:t>th</w:t>
            </w:r>
            <w:r w:rsidR="00DD3BA6" w:rsidRPr="009F7BBF">
              <w:rPr>
                <w:noProof/>
                <w:szCs w:val="20"/>
              </w:rPr>
              <w:t xml:space="preserve"> regime would be required to commit a higher amount of capital upfront than under comparable national forms, potentially increasing liquidity constraints at incorporation</w:t>
            </w:r>
            <w:r w:rsidR="000A271F">
              <w:rPr>
                <w:noProof/>
                <w:szCs w:val="20"/>
              </w:rPr>
              <w:t xml:space="preserve"> or </w:t>
            </w:r>
            <w:r w:rsidR="00D402DE">
              <w:rPr>
                <w:noProof/>
                <w:szCs w:val="20"/>
              </w:rPr>
              <w:t xml:space="preserve">disincentivising them from </w:t>
            </w:r>
            <w:r w:rsidR="009063A1">
              <w:rPr>
                <w:noProof/>
                <w:szCs w:val="20"/>
              </w:rPr>
              <w:t>opting for the 28</w:t>
            </w:r>
            <w:r w:rsidR="009063A1" w:rsidRPr="006604B6">
              <w:rPr>
                <w:noProof/>
                <w:szCs w:val="20"/>
                <w:vertAlign w:val="superscript"/>
              </w:rPr>
              <w:t>th</w:t>
            </w:r>
            <w:r w:rsidR="009063A1">
              <w:rPr>
                <w:noProof/>
                <w:szCs w:val="20"/>
              </w:rPr>
              <w:t xml:space="preserve"> regime</w:t>
            </w:r>
            <w:r w:rsidR="00DD3BA6" w:rsidRPr="009F7BBF">
              <w:rPr>
                <w:noProof/>
                <w:szCs w:val="20"/>
              </w:rPr>
              <w:t xml:space="preserve">. </w:t>
            </w:r>
          </w:p>
        </w:tc>
      </w:tr>
      <w:tr w:rsidR="00DF5E69" w:rsidRPr="00DC6DD8" w14:paraId="507D0B07" w14:textId="77777777" w:rsidTr="6F00936E">
        <w:trPr>
          <w:trHeight w:val="980"/>
        </w:trPr>
        <w:tc>
          <w:tcPr>
            <w:tcW w:w="2122" w:type="dxa"/>
            <w:vAlign w:val="center"/>
          </w:tcPr>
          <w:p w14:paraId="78CBE0FB" w14:textId="77777777" w:rsidR="00DF5E69" w:rsidRDefault="00DF5E69" w:rsidP="00DF5E69">
            <w:pPr>
              <w:rPr>
                <w:b/>
                <w:noProof/>
                <w:szCs w:val="20"/>
              </w:rPr>
            </w:pPr>
            <w:r w:rsidRPr="00154739">
              <w:rPr>
                <w:b/>
                <w:noProof/>
                <w:szCs w:val="20"/>
              </w:rPr>
              <w:t>Ease of attracting investment</w:t>
            </w:r>
          </w:p>
        </w:tc>
        <w:tc>
          <w:tcPr>
            <w:tcW w:w="1508" w:type="dxa"/>
          </w:tcPr>
          <w:p w14:paraId="4082ED34" w14:textId="77777777" w:rsidR="00DF5E69" w:rsidRPr="00170FBB" w:rsidRDefault="00DF5E69" w:rsidP="00DF5E69">
            <w:pPr>
              <w:rPr>
                <w:noProof/>
                <w:sz w:val="18"/>
                <w:szCs w:val="18"/>
              </w:rPr>
            </w:pPr>
            <w:r w:rsidRPr="00170FBB">
              <w:rPr>
                <w:noProof/>
                <w:sz w:val="18"/>
                <w:szCs w:val="18"/>
              </w:rPr>
              <w:t>Score 0-5</w:t>
            </w:r>
          </w:p>
          <w:p w14:paraId="79D2ACA5" w14:textId="77777777" w:rsidR="00DF5E69" w:rsidRPr="00170FBB" w:rsidRDefault="00DF5E69" w:rsidP="00DF5E69">
            <w:pPr>
              <w:rPr>
                <w:noProof/>
                <w:sz w:val="18"/>
                <w:szCs w:val="18"/>
              </w:rPr>
            </w:pPr>
          </w:p>
          <w:p w14:paraId="22361E18" w14:textId="77777777" w:rsidR="00DF5E69" w:rsidRPr="00170FBB" w:rsidRDefault="00DF5E69" w:rsidP="00DF5E69">
            <w:pPr>
              <w:rPr>
                <w:noProof/>
                <w:sz w:val="18"/>
                <w:szCs w:val="18"/>
              </w:rPr>
            </w:pPr>
          </w:p>
        </w:tc>
        <w:tc>
          <w:tcPr>
            <w:tcW w:w="1042" w:type="dxa"/>
          </w:tcPr>
          <w:p w14:paraId="112D44C8" w14:textId="716B03D3" w:rsidR="00DF5E69" w:rsidRPr="00365EF4" w:rsidRDefault="00734A7D" w:rsidP="00365EF4">
            <w:pPr>
              <w:jc w:val="center"/>
              <w:rPr>
                <w:noProof/>
                <w:szCs w:val="20"/>
              </w:rPr>
            </w:pPr>
            <w:r w:rsidRPr="00365EF4">
              <w:rPr>
                <w:noProof/>
                <w:szCs w:val="20"/>
              </w:rPr>
              <w:t>2</w:t>
            </w:r>
          </w:p>
        </w:tc>
        <w:tc>
          <w:tcPr>
            <w:tcW w:w="996" w:type="dxa"/>
          </w:tcPr>
          <w:p w14:paraId="10B459C4" w14:textId="60D1F53E" w:rsidR="00DF5E69" w:rsidRPr="00365EF4" w:rsidRDefault="00734A7D" w:rsidP="00365EF4">
            <w:pPr>
              <w:jc w:val="center"/>
              <w:rPr>
                <w:noProof/>
                <w:szCs w:val="20"/>
              </w:rPr>
            </w:pPr>
            <w:r w:rsidRPr="00365EF4">
              <w:rPr>
                <w:noProof/>
                <w:szCs w:val="20"/>
              </w:rPr>
              <w:t>3</w:t>
            </w:r>
          </w:p>
        </w:tc>
        <w:tc>
          <w:tcPr>
            <w:tcW w:w="994" w:type="dxa"/>
          </w:tcPr>
          <w:p w14:paraId="71E47503" w14:textId="0A0EFF34" w:rsidR="00DF5E69" w:rsidRPr="00365EF4" w:rsidRDefault="008B7674" w:rsidP="00365EF4">
            <w:pPr>
              <w:jc w:val="center"/>
              <w:rPr>
                <w:noProof/>
                <w:szCs w:val="20"/>
              </w:rPr>
            </w:pPr>
            <w:r>
              <w:rPr>
                <w:noProof/>
                <w:szCs w:val="20"/>
              </w:rPr>
              <w:t>2</w:t>
            </w:r>
          </w:p>
        </w:tc>
        <w:tc>
          <w:tcPr>
            <w:tcW w:w="7508" w:type="dxa"/>
          </w:tcPr>
          <w:p w14:paraId="25AD8EC1" w14:textId="6D7F242F" w:rsidR="00C419CA" w:rsidRDefault="000775C0" w:rsidP="00575D26">
            <w:pPr>
              <w:spacing w:before="0"/>
              <w:jc w:val="both"/>
              <w:rPr>
                <w:rFonts w:cs="Times New Roman"/>
                <w:noProof/>
                <w:szCs w:val="20"/>
                <w:lang w:val="en-IE"/>
              </w:rPr>
            </w:pPr>
            <w:r w:rsidRPr="00FC5EA1">
              <w:rPr>
                <w:noProof/>
                <w:szCs w:val="20"/>
              </w:rPr>
              <w:t xml:space="preserve">All the policy options will </w:t>
            </w:r>
            <w:r w:rsidR="00F75883">
              <w:rPr>
                <w:noProof/>
                <w:szCs w:val="20"/>
              </w:rPr>
              <w:t xml:space="preserve">make it </w:t>
            </w:r>
            <w:r w:rsidRPr="00FC5EA1">
              <w:rPr>
                <w:noProof/>
                <w:szCs w:val="20"/>
              </w:rPr>
              <w:t>eas</w:t>
            </w:r>
            <w:r w:rsidR="00F75883">
              <w:rPr>
                <w:noProof/>
                <w:szCs w:val="20"/>
              </w:rPr>
              <w:t>ier</w:t>
            </w:r>
            <w:r w:rsidRPr="00FC5EA1">
              <w:rPr>
                <w:noProof/>
                <w:szCs w:val="20"/>
              </w:rPr>
              <w:t xml:space="preserve"> </w:t>
            </w:r>
            <w:r w:rsidR="00F75883">
              <w:rPr>
                <w:noProof/>
                <w:szCs w:val="20"/>
              </w:rPr>
              <w:t>to</w:t>
            </w:r>
            <w:r w:rsidRPr="00FC5EA1">
              <w:rPr>
                <w:noProof/>
                <w:szCs w:val="20"/>
              </w:rPr>
              <w:t xml:space="preserve"> attract </w:t>
            </w:r>
            <w:r w:rsidR="00F75883">
              <w:rPr>
                <w:noProof/>
                <w:szCs w:val="20"/>
              </w:rPr>
              <w:t xml:space="preserve">investment </w:t>
            </w:r>
            <w:r w:rsidR="00FC5EA1">
              <w:rPr>
                <w:noProof/>
                <w:szCs w:val="20"/>
              </w:rPr>
              <w:t>by addressing the important barriers identified by stakeh</w:t>
            </w:r>
            <w:r w:rsidR="00575D26">
              <w:rPr>
                <w:noProof/>
                <w:szCs w:val="20"/>
              </w:rPr>
              <w:t>olders</w:t>
            </w:r>
            <w:r w:rsidRPr="00FC5EA1">
              <w:rPr>
                <w:noProof/>
                <w:szCs w:val="20"/>
              </w:rPr>
              <w:t xml:space="preserve">. </w:t>
            </w:r>
            <w:r w:rsidR="00575D26">
              <w:rPr>
                <w:noProof/>
                <w:szCs w:val="20"/>
              </w:rPr>
              <w:t xml:space="preserve">In this respect, </w:t>
            </w:r>
            <w:r w:rsidRPr="00FC5EA1">
              <w:rPr>
                <w:noProof/>
                <w:szCs w:val="20"/>
              </w:rPr>
              <w:t>84% of the respondents to the public consultation considered that c</w:t>
            </w:r>
            <w:r w:rsidRPr="00D45F3D">
              <w:rPr>
                <w:rFonts w:cs="Times New Roman"/>
                <w:noProof/>
                <w:szCs w:val="20"/>
                <w:lang w:val="en-IE"/>
              </w:rPr>
              <w:t>omplex and non-flexible rules e.g. governing capital increases</w:t>
            </w:r>
            <w:r w:rsidR="0093214A">
              <w:rPr>
                <w:rFonts w:cs="Times New Roman"/>
                <w:noProof/>
                <w:szCs w:val="20"/>
                <w:lang w:val="en-IE"/>
              </w:rPr>
              <w:t xml:space="preserve"> </w:t>
            </w:r>
            <w:r w:rsidRPr="00D45F3D">
              <w:rPr>
                <w:rFonts w:cs="Times New Roman"/>
                <w:noProof/>
                <w:szCs w:val="20"/>
                <w:lang w:val="en-IE"/>
              </w:rPr>
              <w:t xml:space="preserve">create significant barriers and around 73% </w:t>
            </w:r>
            <w:r w:rsidR="00FC5EA1" w:rsidRPr="00D45F3D">
              <w:rPr>
                <w:rFonts w:cs="Times New Roman"/>
                <w:noProof/>
                <w:szCs w:val="20"/>
                <w:lang w:val="en-IE"/>
              </w:rPr>
              <w:t>considered that i</w:t>
            </w:r>
            <w:r w:rsidRPr="00D45F3D">
              <w:rPr>
                <w:rFonts w:cs="Times New Roman"/>
                <w:noProof/>
                <w:szCs w:val="20"/>
                <w:lang w:val="en-IE"/>
              </w:rPr>
              <w:t xml:space="preserve">nsufficient availability of digital tools and procedures to invest in companies </w:t>
            </w:r>
            <w:r w:rsidR="00FC5EA1" w:rsidRPr="00D45F3D">
              <w:rPr>
                <w:rFonts w:cs="Times New Roman"/>
                <w:noProof/>
                <w:szCs w:val="20"/>
                <w:lang w:val="en-IE"/>
              </w:rPr>
              <w:t xml:space="preserve">was a problem. </w:t>
            </w:r>
            <w:r w:rsidR="002C1591">
              <w:rPr>
                <w:rFonts w:cs="Times New Roman"/>
                <w:noProof/>
                <w:szCs w:val="20"/>
                <w:lang w:val="en-IE"/>
              </w:rPr>
              <w:t>Furthermore, r</w:t>
            </w:r>
            <w:r w:rsidR="00C419CA" w:rsidRPr="00481330">
              <w:rPr>
                <w:noProof/>
                <w:szCs w:val="20"/>
              </w:rPr>
              <w:t>espon</w:t>
            </w:r>
            <w:r w:rsidR="002C1591">
              <w:rPr>
                <w:noProof/>
                <w:szCs w:val="20"/>
              </w:rPr>
              <w:t>dents to the public consultation</w:t>
            </w:r>
            <w:r w:rsidR="00C419CA" w:rsidRPr="00481330">
              <w:rPr>
                <w:noProof/>
                <w:szCs w:val="20"/>
              </w:rPr>
              <w:t xml:space="preserve"> and </w:t>
            </w:r>
            <w:r w:rsidR="002C1591">
              <w:rPr>
                <w:noProof/>
                <w:szCs w:val="20"/>
              </w:rPr>
              <w:t xml:space="preserve">participants in the </w:t>
            </w:r>
            <w:r w:rsidR="00C419CA" w:rsidRPr="00481330">
              <w:rPr>
                <w:noProof/>
                <w:szCs w:val="20"/>
              </w:rPr>
              <w:t>workshops highlighted that investors value legal simplicity, speed of execution and predictability, particularly in early-stage and cross-border investments</w:t>
            </w:r>
            <w:r w:rsidR="00C419CA">
              <w:rPr>
                <w:noProof/>
                <w:szCs w:val="20"/>
              </w:rPr>
              <w:t xml:space="preserve">. </w:t>
            </w:r>
          </w:p>
          <w:p w14:paraId="6469F8DC" w14:textId="3F2FF771" w:rsidR="005F7C6E" w:rsidRPr="00DC6DD8" w:rsidRDefault="00784638" w:rsidP="006068F2">
            <w:pPr>
              <w:jc w:val="both"/>
              <w:rPr>
                <w:noProof/>
                <w:szCs w:val="20"/>
              </w:rPr>
            </w:pPr>
            <w:r w:rsidRPr="00784638">
              <w:rPr>
                <w:noProof/>
                <w:szCs w:val="20"/>
              </w:rPr>
              <w:t>P</w:t>
            </w:r>
            <w:r w:rsidR="006B28C0">
              <w:rPr>
                <w:noProof/>
                <w:szCs w:val="20"/>
              </w:rPr>
              <w:t>olicy option 6a</w:t>
            </w:r>
            <w:r w:rsidRPr="00784638" w:rsidDel="006B28C0">
              <w:rPr>
                <w:noProof/>
                <w:szCs w:val="20"/>
              </w:rPr>
              <w:t xml:space="preserve"> </w:t>
            </w:r>
            <w:r w:rsidRPr="00784638">
              <w:rPr>
                <w:noProof/>
                <w:szCs w:val="20"/>
              </w:rPr>
              <w:t>improves investment efficiency by simplifying capital increases, enabling fully digital governance, and allowing the use of modern early-stage instruments (such as SAFEs)</w:t>
            </w:r>
            <w:r w:rsidR="006B28C0">
              <w:rPr>
                <w:noProof/>
                <w:szCs w:val="20"/>
              </w:rPr>
              <w:t>. It</w:t>
            </w:r>
            <w:r w:rsidRPr="00784638" w:rsidDel="006B28C0">
              <w:rPr>
                <w:noProof/>
                <w:szCs w:val="20"/>
              </w:rPr>
              <w:t xml:space="preserve"> </w:t>
            </w:r>
            <w:r w:rsidR="006B28C0" w:rsidRPr="00481330">
              <w:rPr>
                <w:noProof/>
                <w:szCs w:val="20"/>
              </w:rPr>
              <w:t xml:space="preserve">reduces transaction friction </w:t>
            </w:r>
            <w:r w:rsidR="001027F4">
              <w:rPr>
                <w:noProof/>
                <w:szCs w:val="20"/>
              </w:rPr>
              <w:t xml:space="preserve">and </w:t>
            </w:r>
            <w:r w:rsidR="006B28C0" w:rsidRPr="00481330">
              <w:rPr>
                <w:noProof/>
                <w:szCs w:val="20"/>
              </w:rPr>
              <w:t>thereby lower</w:t>
            </w:r>
            <w:r w:rsidR="00CF77C6">
              <w:rPr>
                <w:noProof/>
                <w:szCs w:val="20"/>
              </w:rPr>
              <w:t>s</w:t>
            </w:r>
            <w:r w:rsidR="006B28C0" w:rsidRPr="00481330">
              <w:rPr>
                <w:noProof/>
                <w:szCs w:val="20"/>
              </w:rPr>
              <w:t xml:space="preserve"> legal and coordination costs for investors. </w:t>
            </w:r>
            <w:r w:rsidR="001027F4">
              <w:rPr>
                <w:noProof/>
                <w:szCs w:val="20"/>
              </w:rPr>
              <w:t>However,</w:t>
            </w:r>
            <w:r w:rsidRPr="00784638" w:rsidDel="006A7BAA">
              <w:rPr>
                <w:noProof/>
                <w:szCs w:val="20"/>
              </w:rPr>
              <w:t xml:space="preserve"> </w:t>
            </w:r>
            <w:r w:rsidR="006A7BAA">
              <w:rPr>
                <w:noProof/>
                <w:szCs w:val="20"/>
              </w:rPr>
              <w:t xml:space="preserve">the </w:t>
            </w:r>
            <w:r w:rsidR="00684422">
              <w:rPr>
                <w:noProof/>
                <w:szCs w:val="20"/>
              </w:rPr>
              <w:t xml:space="preserve">stakeholder </w:t>
            </w:r>
            <w:r w:rsidRPr="00784638">
              <w:rPr>
                <w:noProof/>
                <w:szCs w:val="20"/>
              </w:rPr>
              <w:t xml:space="preserve">feedback indicates that companies continue to face significant frictions at the incorporation stage where minimum capital and </w:t>
            </w:r>
            <w:r w:rsidR="00F34C43">
              <w:rPr>
                <w:noProof/>
                <w:szCs w:val="20"/>
              </w:rPr>
              <w:t xml:space="preserve">the need </w:t>
            </w:r>
            <w:r w:rsidR="0098784F">
              <w:rPr>
                <w:noProof/>
                <w:szCs w:val="20"/>
              </w:rPr>
              <w:t>to pay it into a bank account opened before incorporation</w:t>
            </w:r>
            <w:r w:rsidRPr="00784638">
              <w:rPr>
                <w:noProof/>
                <w:szCs w:val="20"/>
              </w:rPr>
              <w:t xml:space="preserve"> apply. Under </w:t>
            </w:r>
            <w:r w:rsidR="00684422">
              <w:rPr>
                <w:noProof/>
                <w:szCs w:val="20"/>
              </w:rPr>
              <w:t>option 6b</w:t>
            </w:r>
            <w:r w:rsidRPr="00784638">
              <w:rPr>
                <w:noProof/>
                <w:szCs w:val="20"/>
              </w:rPr>
              <w:t>, the removal of mandatory paid-in capital</w:t>
            </w:r>
            <w:r w:rsidRPr="00784638" w:rsidDel="007963BD">
              <w:rPr>
                <w:noProof/>
                <w:szCs w:val="20"/>
              </w:rPr>
              <w:t xml:space="preserve"> </w:t>
            </w:r>
            <w:r w:rsidRPr="00784638">
              <w:rPr>
                <w:noProof/>
                <w:szCs w:val="20"/>
              </w:rPr>
              <w:t>directly improves companies’ ability to engage investors quickly and flexibly</w:t>
            </w:r>
            <w:r w:rsidR="00992C4E">
              <w:rPr>
                <w:noProof/>
                <w:szCs w:val="20"/>
              </w:rPr>
              <w:t xml:space="preserve">, avoiding </w:t>
            </w:r>
            <w:r w:rsidR="00992C4E" w:rsidRPr="00481330">
              <w:rPr>
                <w:noProof/>
                <w:szCs w:val="20"/>
              </w:rPr>
              <w:t>delay</w:t>
            </w:r>
            <w:r w:rsidR="00992C4E">
              <w:rPr>
                <w:noProof/>
                <w:szCs w:val="20"/>
              </w:rPr>
              <w:t>s to</w:t>
            </w:r>
            <w:r w:rsidR="00992C4E" w:rsidRPr="00481330">
              <w:rPr>
                <w:noProof/>
                <w:szCs w:val="20"/>
              </w:rPr>
              <w:t xml:space="preserve"> deal execution, complicate</w:t>
            </w:r>
            <w:r w:rsidR="00992C4E">
              <w:rPr>
                <w:noProof/>
                <w:szCs w:val="20"/>
              </w:rPr>
              <w:t>d</w:t>
            </w:r>
            <w:r w:rsidR="00992C4E" w:rsidRPr="00481330">
              <w:rPr>
                <w:noProof/>
                <w:szCs w:val="20"/>
              </w:rPr>
              <w:t xml:space="preserve"> onboarding or </w:t>
            </w:r>
            <w:r w:rsidR="00992C4E">
              <w:rPr>
                <w:noProof/>
                <w:szCs w:val="20"/>
              </w:rPr>
              <w:t>the need for</w:t>
            </w:r>
            <w:r w:rsidR="00992C4E" w:rsidRPr="00481330">
              <w:rPr>
                <w:noProof/>
                <w:szCs w:val="20"/>
              </w:rPr>
              <w:t xml:space="preserve"> interim structures</w:t>
            </w:r>
            <w:r w:rsidR="00992C4E">
              <w:rPr>
                <w:noProof/>
                <w:szCs w:val="20"/>
              </w:rPr>
              <w:t xml:space="preserve"> until incorporation</w:t>
            </w:r>
            <w:r w:rsidRPr="00784638">
              <w:rPr>
                <w:noProof/>
                <w:szCs w:val="20"/>
              </w:rPr>
              <w:t xml:space="preserve">. By contrast, </w:t>
            </w:r>
            <w:r w:rsidR="007E6D99">
              <w:rPr>
                <w:noProof/>
                <w:szCs w:val="20"/>
              </w:rPr>
              <w:t>option 6c</w:t>
            </w:r>
            <w:r w:rsidR="00E97CAC">
              <w:rPr>
                <w:noProof/>
                <w:szCs w:val="20"/>
              </w:rPr>
              <w:t>,</w:t>
            </w:r>
            <w:r w:rsidRPr="00784638">
              <w:rPr>
                <w:noProof/>
                <w:szCs w:val="20"/>
              </w:rPr>
              <w:t xml:space="preserve"> </w:t>
            </w:r>
            <w:r w:rsidR="0021488A" w:rsidRPr="00481330">
              <w:rPr>
                <w:noProof/>
                <w:szCs w:val="20"/>
              </w:rPr>
              <w:t>while offering harmonisation benefits, introduces a uniform capital threshold that may be perceived as misaligned with risk-based, milestone-driven investment models, particularly at seed stage.</w:t>
            </w:r>
            <w:r w:rsidR="0021488A">
              <w:rPr>
                <w:noProof/>
              </w:rPr>
              <w:t xml:space="preserve"> </w:t>
            </w:r>
            <w:r w:rsidR="00E97CAC">
              <w:rPr>
                <w:noProof/>
              </w:rPr>
              <w:t>A</w:t>
            </w:r>
            <w:r w:rsidR="0021488A" w:rsidRPr="00764578">
              <w:rPr>
                <w:noProof/>
                <w:szCs w:val="20"/>
              </w:rPr>
              <w:t xml:space="preserve"> large majority of companies, founders and investors </w:t>
            </w:r>
            <w:r w:rsidR="00D5392C">
              <w:rPr>
                <w:noProof/>
                <w:szCs w:val="20"/>
              </w:rPr>
              <w:t xml:space="preserve">who replied to the </w:t>
            </w:r>
            <w:r w:rsidR="00E97CAC">
              <w:rPr>
                <w:noProof/>
                <w:szCs w:val="20"/>
              </w:rPr>
              <w:t xml:space="preserve">open </w:t>
            </w:r>
            <w:r w:rsidR="00D5392C">
              <w:rPr>
                <w:noProof/>
                <w:szCs w:val="20"/>
              </w:rPr>
              <w:t>public consultation</w:t>
            </w:r>
            <w:r w:rsidR="00D5392C" w:rsidRPr="00764578">
              <w:rPr>
                <w:noProof/>
                <w:szCs w:val="20"/>
              </w:rPr>
              <w:t xml:space="preserve"> </w:t>
            </w:r>
            <w:r w:rsidR="0021488A" w:rsidRPr="00764578">
              <w:rPr>
                <w:noProof/>
                <w:szCs w:val="20"/>
              </w:rPr>
              <w:t>(almost 70%) favour</w:t>
            </w:r>
            <w:r w:rsidR="00D5392C">
              <w:rPr>
                <w:noProof/>
                <w:szCs w:val="20"/>
              </w:rPr>
              <w:t>ed</w:t>
            </w:r>
            <w:r w:rsidR="0021488A" w:rsidRPr="00764578">
              <w:rPr>
                <w:noProof/>
                <w:szCs w:val="20"/>
              </w:rPr>
              <w:t xml:space="preserve"> no minimum capital or a symbolic </w:t>
            </w:r>
            <w:r w:rsidR="00E97CAC">
              <w:rPr>
                <w:noProof/>
                <w:szCs w:val="20"/>
              </w:rPr>
              <w:t xml:space="preserve">(e.g. </w:t>
            </w:r>
            <w:r w:rsidR="004C0A9D">
              <w:rPr>
                <w:noProof/>
                <w:szCs w:val="20"/>
              </w:rPr>
              <w:t>EUR </w:t>
            </w:r>
            <w:r w:rsidR="00E97CAC">
              <w:rPr>
                <w:noProof/>
                <w:szCs w:val="20"/>
              </w:rPr>
              <w:t>1) minimum capital</w:t>
            </w:r>
            <w:r w:rsidR="0021488A" w:rsidRPr="00764578">
              <w:rPr>
                <w:noProof/>
                <w:szCs w:val="20"/>
              </w:rPr>
              <w:t xml:space="preserve"> amount</w:t>
            </w:r>
            <w:r w:rsidR="0021488A" w:rsidRPr="00481330">
              <w:rPr>
                <w:noProof/>
                <w:szCs w:val="20"/>
              </w:rPr>
              <w:t>.</w:t>
            </w:r>
          </w:p>
        </w:tc>
      </w:tr>
      <w:tr w:rsidR="00DF5E69" w:rsidRPr="00DC6DD8" w14:paraId="4C083100" w14:textId="77777777" w:rsidTr="6F00936E">
        <w:tc>
          <w:tcPr>
            <w:tcW w:w="2122" w:type="dxa"/>
            <w:vAlign w:val="center"/>
          </w:tcPr>
          <w:p w14:paraId="681CF617" w14:textId="77777777" w:rsidR="00DF5E69" w:rsidRPr="00DC6DD8" w:rsidRDefault="00DF5E69" w:rsidP="00DF5E69">
            <w:pPr>
              <w:rPr>
                <w:b/>
                <w:noProof/>
                <w:szCs w:val="20"/>
              </w:rPr>
            </w:pPr>
            <w:r w:rsidRPr="00154739">
              <w:rPr>
                <w:b/>
                <w:noProof/>
                <w:szCs w:val="20"/>
              </w:rPr>
              <w:t>Administrative burden reduction (benefit)</w:t>
            </w:r>
          </w:p>
        </w:tc>
        <w:tc>
          <w:tcPr>
            <w:tcW w:w="1508" w:type="dxa"/>
          </w:tcPr>
          <w:p w14:paraId="3A19B56F" w14:textId="77777777" w:rsidR="00DF5E69" w:rsidRPr="00170FBB" w:rsidRDefault="00DF5E69" w:rsidP="00DF5E69">
            <w:pPr>
              <w:rPr>
                <w:noProof/>
                <w:sz w:val="18"/>
                <w:szCs w:val="18"/>
              </w:rPr>
            </w:pPr>
            <w:r w:rsidRPr="00170FBB">
              <w:rPr>
                <w:noProof/>
                <w:sz w:val="18"/>
                <w:szCs w:val="18"/>
              </w:rPr>
              <w:t>Standard Cost Model calculations or n/a</w:t>
            </w:r>
          </w:p>
        </w:tc>
        <w:tc>
          <w:tcPr>
            <w:tcW w:w="1042" w:type="dxa"/>
          </w:tcPr>
          <w:p w14:paraId="07523E71" w14:textId="391BAF0C" w:rsidR="00DF5E69" w:rsidRPr="005E06E2" w:rsidRDefault="00CB502C" w:rsidP="005E06E2">
            <w:pPr>
              <w:jc w:val="center"/>
              <w:rPr>
                <w:noProof/>
                <w:szCs w:val="20"/>
              </w:rPr>
            </w:pPr>
            <w:r w:rsidRPr="005E06E2">
              <w:rPr>
                <w:noProof/>
                <w:szCs w:val="20"/>
              </w:rPr>
              <w:t>2</w:t>
            </w:r>
          </w:p>
        </w:tc>
        <w:tc>
          <w:tcPr>
            <w:tcW w:w="996" w:type="dxa"/>
          </w:tcPr>
          <w:p w14:paraId="793223BA" w14:textId="676CEFCD" w:rsidR="00DF5E69" w:rsidRPr="005E06E2" w:rsidRDefault="00C0746C" w:rsidP="005E06E2">
            <w:pPr>
              <w:jc w:val="center"/>
              <w:rPr>
                <w:noProof/>
                <w:szCs w:val="20"/>
              </w:rPr>
            </w:pPr>
            <w:r w:rsidRPr="005E06E2">
              <w:rPr>
                <w:noProof/>
                <w:szCs w:val="20"/>
              </w:rPr>
              <w:t>4</w:t>
            </w:r>
          </w:p>
        </w:tc>
        <w:tc>
          <w:tcPr>
            <w:tcW w:w="994" w:type="dxa"/>
          </w:tcPr>
          <w:p w14:paraId="13919CFF" w14:textId="72D44E76" w:rsidR="00DF5E69" w:rsidRPr="005E06E2" w:rsidRDefault="00C0746C" w:rsidP="005E06E2">
            <w:pPr>
              <w:jc w:val="center"/>
              <w:rPr>
                <w:noProof/>
                <w:szCs w:val="20"/>
              </w:rPr>
            </w:pPr>
            <w:r w:rsidRPr="005E06E2">
              <w:rPr>
                <w:noProof/>
                <w:szCs w:val="20"/>
              </w:rPr>
              <w:t>3</w:t>
            </w:r>
          </w:p>
        </w:tc>
        <w:tc>
          <w:tcPr>
            <w:tcW w:w="7508" w:type="dxa"/>
          </w:tcPr>
          <w:p w14:paraId="592688F9" w14:textId="66FD7FE5" w:rsidR="003A1C83" w:rsidRDefault="00002BE6" w:rsidP="003A1C83">
            <w:pPr>
              <w:spacing w:before="0" w:after="0"/>
              <w:jc w:val="both"/>
              <w:rPr>
                <w:noProof/>
                <w:szCs w:val="20"/>
              </w:rPr>
            </w:pPr>
            <w:r>
              <w:rPr>
                <w:noProof/>
                <w:szCs w:val="20"/>
              </w:rPr>
              <w:t xml:space="preserve">All the policy options would </w:t>
            </w:r>
            <w:r w:rsidR="0076746F" w:rsidRPr="006C34EB">
              <w:rPr>
                <w:noProof/>
                <w:szCs w:val="20"/>
              </w:rPr>
              <w:t xml:space="preserve">reduce the </w:t>
            </w:r>
            <w:r w:rsidR="0076746F" w:rsidRPr="00F21A2D">
              <w:rPr>
                <w:bCs/>
                <w:noProof/>
                <w:szCs w:val="20"/>
              </w:rPr>
              <w:t>time spent</w:t>
            </w:r>
            <w:r w:rsidR="0076746F">
              <w:rPr>
                <w:noProof/>
                <w:szCs w:val="20"/>
              </w:rPr>
              <w:t xml:space="preserve"> in </w:t>
            </w:r>
            <w:r w:rsidR="0076746F" w:rsidRPr="006C34EB">
              <w:rPr>
                <w:noProof/>
                <w:szCs w:val="20"/>
              </w:rPr>
              <w:t>preparation of physical meetings</w:t>
            </w:r>
            <w:r w:rsidR="00620984">
              <w:rPr>
                <w:noProof/>
                <w:szCs w:val="20"/>
              </w:rPr>
              <w:t xml:space="preserve"> and</w:t>
            </w:r>
            <w:r w:rsidR="0076746F" w:rsidRPr="006C34EB">
              <w:rPr>
                <w:noProof/>
                <w:szCs w:val="20"/>
              </w:rPr>
              <w:t xml:space="preserve"> documentation</w:t>
            </w:r>
            <w:r w:rsidR="0076746F" w:rsidRPr="00497570">
              <w:rPr>
                <w:noProof/>
                <w:szCs w:val="20"/>
              </w:rPr>
              <w:t xml:space="preserve"> </w:t>
            </w:r>
            <w:r w:rsidR="00620984">
              <w:rPr>
                <w:noProof/>
                <w:szCs w:val="20"/>
              </w:rPr>
              <w:t xml:space="preserve">and of </w:t>
            </w:r>
            <w:r w:rsidR="00620984" w:rsidRPr="006C34EB">
              <w:rPr>
                <w:noProof/>
                <w:szCs w:val="20"/>
              </w:rPr>
              <w:t>coordination with intermediaries</w:t>
            </w:r>
            <w:r w:rsidR="0076746F" w:rsidRPr="00497570">
              <w:rPr>
                <w:noProof/>
                <w:szCs w:val="20"/>
              </w:rPr>
              <w:t xml:space="preserve"> </w:t>
            </w:r>
            <w:r w:rsidR="0076746F" w:rsidRPr="006C34EB">
              <w:rPr>
                <w:noProof/>
                <w:szCs w:val="20"/>
              </w:rPr>
              <w:t>per financing or governance event for founders, directors, and investors</w:t>
            </w:r>
            <w:r w:rsidR="00EB3200">
              <w:rPr>
                <w:noProof/>
                <w:szCs w:val="20"/>
              </w:rPr>
              <w:t xml:space="preserve"> </w:t>
            </w:r>
            <w:r w:rsidR="00281F32" w:rsidRPr="006C34EB">
              <w:rPr>
                <w:noProof/>
                <w:szCs w:val="20"/>
              </w:rPr>
              <w:t>by enabling fully digital execution and streamlined identification procedures</w:t>
            </w:r>
            <w:r w:rsidR="00B81E09">
              <w:rPr>
                <w:noProof/>
                <w:szCs w:val="20"/>
              </w:rPr>
              <w:t xml:space="preserve"> under PO</w:t>
            </w:r>
            <w:r w:rsidR="00B81E09" w:rsidRPr="006C34EB">
              <w:rPr>
                <w:noProof/>
                <w:szCs w:val="20"/>
              </w:rPr>
              <w:t>6a</w:t>
            </w:r>
            <w:r w:rsidR="00281F32" w:rsidRPr="006C34EB">
              <w:rPr>
                <w:noProof/>
                <w:szCs w:val="20"/>
              </w:rPr>
              <w:t>.</w:t>
            </w:r>
            <w:r w:rsidR="00281F32">
              <w:rPr>
                <w:noProof/>
                <w:szCs w:val="20"/>
              </w:rPr>
              <w:t xml:space="preserve"> </w:t>
            </w:r>
            <w:r w:rsidR="00B81E09">
              <w:rPr>
                <w:noProof/>
                <w:szCs w:val="20"/>
              </w:rPr>
              <w:t>They would also</w:t>
            </w:r>
            <w:r w:rsidR="00EB3200">
              <w:rPr>
                <w:noProof/>
                <w:szCs w:val="20"/>
              </w:rPr>
              <w:t xml:space="preserve"> </w:t>
            </w:r>
            <w:r w:rsidR="0076746F" w:rsidRPr="00E5041E">
              <w:rPr>
                <w:noProof/>
                <w:szCs w:val="20"/>
              </w:rPr>
              <w:t xml:space="preserve">reduce or eliminate several recurring </w:t>
            </w:r>
            <w:r w:rsidR="0076746F" w:rsidRPr="00F21A2D">
              <w:rPr>
                <w:bCs/>
                <w:noProof/>
                <w:szCs w:val="20"/>
              </w:rPr>
              <w:t>costs</w:t>
            </w:r>
            <w:r w:rsidR="0076746F" w:rsidRPr="00E5041E">
              <w:rPr>
                <w:noProof/>
                <w:szCs w:val="20"/>
              </w:rPr>
              <w:t xml:space="preserve"> commonly associated with governance and capital operations, including</w:t>
            </w:r>
            <w:r w:rsidR="0076746F">
              <w:rPr>
                <w:noProof/>
                <w:szCs w:val="20"/>
              </w:rPr>
              <w:t xml:space="preserve"> </w:t>
            </w:r>
            <w:r w:rsidR="0076746F" w:rsidRPr="00E5041E">
              <w:rPr>
                <w:noProof/>
                <w:szCs w:val="20"/>
              </w:rPr>
              <w:t>costs linked to physical general meetings (travel, accommodation, venue or representation costs);</w:t>
            </w:r>
            <w:r w:rsidR="0076746F">
              <w:rPr>
                <w:noProof/>
                <w:szCs w:val="20"/>
              </w:rPr>
              <w:t xml:space="preserve"> </w:t>
            </w:r>
            <w:r w:rsidR="0076746F" w:rsidRPr="00E5041E">
              <w:rPr>
                <w:noProof/>
                <w:szCs w:val="20"/>
              </w:rPr>
              <w:t>repeated</w:t>
            </w:r>
            <w:r>
              <w:rPr>
                <w:noProof/>
                <w:szCs w:val="20"/>
              </w:rPr>
              <w:t xml:space="preserve"> need for</w:t>
            </w:r>
            <w:r w:rsidR="0076746F" w:rsidRPr="00E5041E">
              <w:rPr>
                <w:noProof/>
                <w:szCs w:val="20"/>
              </w:rPr>
              <w:t xml:space="preserve"> legal</w:t>
            </w:r>
            <w:r>
              <w:rPr>
                <w:noProof/>
                <w:szCs w:val="20"/>
              </w:rPr>
              <w:t xml:space="preserve"> advice</w:t>
            </w:r>
            <w:r w:rsidR="0076746F" w:rsidRPr="00E5041E">
              <w:rPr>
                <w:noProof/>
                <w:szCs w:val="20"/>
              </w:rPr>
              <w:t>or notarial involvement for routine capital increases;</w:t>
            </w:r>
            <w:r w:rsidR="0076746F">
              <w:rPr>
                <w:noProof/>
                <w:szCs w:val="20"/>
              </w:rPr>
              <w:t xml:space="preserve"> </w:t>
            </w:r>
            <w:r w:rsidR="0076746F" w:rsidRPr="00E5041E">
              <w:rPr>
                <w:noProof/>
                <w:szCs w:val="20"/>
              </w:rPr>
              <w:t>external advisory costs to adapt early-stage instruments (e.g. SAFEs or convertibles) to restrictive national capital regimes.</w:t>
            </w:r>
            <w:r w:rsidR="0076746F">
              <w:rPr>
                <w:noProof/>
                <w:szCs w:val="20"/>
              </w:rPr>
              <w:t xml:space="preserve"> </w:t>
            </w:r>
            <w:r w:rsidR="009B7153">
              <w:rPr>
                <w:noProof/>
                <w:szCs w:val="20"/>
              </w:rPr>
              <w:t xml:space="preserve">Currently, </w:t>
            </w:r>
            <w:r w:rsidR="0076746F">
              <w:rPr>
                <w:noProof/>
                <w:szCs w:val="20"/>
              </w:rPr>
              <w:t xml:space="preserve">the </w:t>
            </w:r>
            <w:r w:rsidR="0076746F" w:rsidRPr="006C34EB">
              <w:rPr>
                <w:noProof/>
                <w:szCs w:val="20"/>
              </w:rPr>
              <w:t xml:space="preserve">duration of </w:t>
            </w:r>
            <w:r w:rsidR="0076746F">
              <w:rPr>
                <w:noProof/>
                <w:szCs w:val="20"/>
              </w:rPr>
              <w:t xml:space="preserve">a financing transaction that includes a </w:t>
            </w:r>
            <w:r w:rsidR="0076746F" w:rsidRPr="006C34EB">
              <w:rPr>
                <w:noProof/>
                <w:szCs w:val="20"/>
              </w:rPr>
              <w:t xml:space="preserve">standard capital increase </w:t>
            </w:r>
            <w:r w:rsidR="00D61C5C" w:rsidRPr="006C34EB">
              <w:rPr>
                <w:noProof/>
                <w:szCs w:val="20"/>
              </w:rPr>
              <w:t xml:space="preserve">where procedures </w:t>
            </w:r>
            <w:r w:rsidR="00B03F86">
              <w:rPr>
                <w:noProof/>
                <w:szCs w:val="20"/>
              </w:rPr>
              <w:t xml:space="preserve">now </w:t>
            </w:r>
            <w:r w:rsidR="00D61C5C" w:rsidRPr="006C34EB">
              <w:rPr>
                <w:noProof/>
                <w:szCs w:val="20"/>
              </w:rPr>
              <w:t xml:space="preserve">require physical meetings, notarisation, </w:t>
            </w:r>
            <w:r w:rsidR="00D61C5C">
              <w:rPr>
                <w:noProof/>
                <w:szCs w:val="20"/>
              </w:rPr>
              <w:t>and</w:t>
            </w:r>
            <w:r w:rsidR="00D61C5C" w:rsidRPr="006C34EB">
              <w:rPr>
                <w:noProof/>
                <w:szCs w:val="20"/>
              </w:rPr>
              <w:t xml:space="preserve"> sequential filings</w:t>
            </w:r>
            <w:r w:rsidR="00D61C5C">
              <w:rPr>
                <w:noProof/>
                <w:szCs w:val="20"/>
              </w:rPr>
              <w:t xml:space="preserve"> </w:t>
            </w:r>
            <w:r w:rsidR="00C30E31">
              <w:rPr>
                <w:noProof/>
                <w:szCs w:val="20"/>
              </w:rPr>
              <w:t>can take</w:t>
            </w:r>
            <w:r w:rsidR="006D3B00">
              <w:rPr>
                <w:noProof/>
                <w:szCs w:val="20"/>
              </w:rPr>
              <w:t xml:space="preserve"> </w:t>
            </w:r>
            <w:r w:rsidR="0076746F" w:rsidRPr="00783F25">
              <w:rPr>
                <w:noProof/>
                <w:szCs w:val="20"/>
              </w:rPr>
              <w:t>30 calendar days,</w:t>
            </w:r>
            <w:r w:rsidR="0076746F" w:rsidRPr="006C34EB">
              <w:rPr>
                <w:noProof/>
                <w:szCs w:val="20"/>
              </w:rPr>
              <w:t xml:space="preserve"> particularly in cross-border situations. In more complex cases involving foreign investors (e.g. issuance of national TINs, physical identification, or notarial formalities), delays of several weeks are currently common</w:t>
            </w:r>
            <w:r w:rsidR="0076746F">
              <w:rPr>
                <w:noProof/>
                <w:szCs w:val="20"/>
              </w:rPr>
              <w:t>.</w:t>
            </w:r>
            <w:r w:rsidR="0076746F" w:rsidRPr="006C34EB">
              <w:rPr>
                <w:noProof/>
                <w:szCs w:val="20"/>
              </w:rPr>
              <w:t xml:space="preserve"> </w:t>
            </w:r>
          </w:p>
          <w:p w14:paraId="4D8A60D7" w14:textId="77777777" w:rsidR="003A1C83" w:rsidRDefault="003A1C83" w:rsidP="003A1C83">
            <w:pPr>
              <w:spacing w:before="0" w:after="0"/>
              <w:jc w:val="both"/>
              <w:rPr>
                <w:noProof/>
                <w:szCs w:val="20"/>
              </w:rPr>
            </w:pPr>
          </w:p>
          <w:p w14:paraId="1B10BDE7" w14:textId="0AE4E7A1" w:rsidR="00080EF1" w:rsidRDefault="1D74DECE" w:rsidP="00F21A2D">
            <w:pPr>
              <w:spacing w:before="0" w:after="0"/>
              <w:jc w:val="both"/>
              <w:rPr>
                <w:noProof/>
              </w:rPr>
            </w:pPr>
            <w:r>
              <w:rPr>
                <w:noProof/>
              </w:rPr>
              <w:t>The</w:t>
            </w:r>
            <w:r w:rsidR="259DA5F1">
              <w:rPr>
                <w:noProof/>
              </w:rPr>
              <w:t>se</w:t>
            </w:r>
            <w:r w:rsidR="24F82F2F">
              <w:rPr>
                <w:noProof/>
              </w:rPr>
              <w:t xml:space="preserve"> measures</w:t>
            </w:r>
            <w:r w:rsidR="259DA5F1">
              <w:rPr>
                <w:noProof/>
              </w:rPr>
              <w:t>,</w:t>
            </w:r>
            <w:r w:rsidR="24F82F2F">
              <w:rPr>
                <w:noProof/>
              </w:rPr>
              <w:t xml:space="preserve"> </w:t>
            </w:r>
            <w:r w:rsidR="686A83C4">
              <w:rPr>
                <w:noProof/>
              </w:rPr>
              <w:t xml:space="preserve">common to </w:t>
            </w:r>
            <w:r w:rsidR="24F82F2F">
              <w:rPr>
                <w:noProof/>
              </w:rPr>
              <w:t>all policy options</w:t>
            </w:r>
            <w:r w:rsidR="259DA5F1">
              <w:rPr>
                <w:noProof/>
              </w:rPr>
              <w:t>,</w:t>
            </w:r>
            <w:r w:rsidR="24F82F2F">
              <w:rPr>
                <w:noProof/>
              </w:rPr>
              <w:t xml:space="preserve"> are </w:t>
            </w:r>
            <w:r w:rsidR="00C23C8F">
              <w:rPr>
                <w:noProof/>
              </w:rPr>
              <w:t xml:space="preserve">estimated to generate per-operation/round efficiency gains of approximately </w:t>
            </w:r>
            <w:r w:rsidR="1A86BE81">
              <w:rPr>
                <w:noProof/>
              </w:rPr>
              <w:t>EUR</w:t>
            </w:r>
            <w:r w:rsidR="00A04B97">
              <w:rPr>
                <w:noProof/>
              </w:rPr>
              <w:t> </w:t>
            </w:r>
            <w:r w:rsidR="00C23C8F">
              <w:rPr>
                <w:noProof/>
              </w:rPr>
              <w:t>1</w:t>
            </w:r>
            <w:r w:rsidR="00A04B97">
              <w:rPr>
                <w:noProof/>
              </w:rPr>
              <w:t> </w:t>
            </w:r>
            <w:r w:rsidR="00C23C8F">
              <w:rPr>
                <w:noProof/>
              </w:rPr>
              <w:t>100, primarily through reduced time delays, lower administrative burdens, and improved legal certainty for founders and investors. These benefits are expected to be particularly significant for cross-border financings and early-stage investment rounds.</w:t>
            </w:r>
            <w:r w:rsidR="4319E9B5">
              <w:rPr>
                <w:noProof/>
              </w:rPr>
              <w:t xml:space="preserve"> </w:t>
            </w:r>
          </w:p>
          <w:p w14:paraId="0B5B6D80" w14:textId="16BC338C" w:rsidR="00080EF1" w:rsidRDefault="00ED0696" w:rsidP="00F21A2D">
            <w:pPr>
              <w:spacing w:after="0"/>
              <w:jc w:val="both"/>
              <w:rPr>
                <w:noProof/>
                <w:szCs w:val="20"/>
              </w:rPr>
            </w:pPr>
            <w:r>
              <w:rPr>
                <w:noProof/>
                <w:szCs w:val="20"/>
              </w:rPr>
              <w:t xml:space="preserve">In addition, </w:t>
            </w:r>
            <w:r w:rsidRPr="00F10501">
              <w:rPr>
                <w:noProof/>
                <w:szCs w:val="20"/>
              </w:rPr>
              <w:t xml:space="preserve">the removal of the obligation to pay in minimum share capital at the moment of incorporation </w:t>
            </w:r>
            <w:r>
              <w:rPr>
                <w:noProof/>
                <w:szCs w:val="20"/>
              </w:rPr>
              <w:t xml:space="preserve">under option 6b </w:t>
            </w:r>
            <w:r w:rsidR="004E74DE">
              <w:rPr>
                <w:noProof/>
                <w:szCs w:val="20"/>
              </w:rPr>
              <w:t xml:space="preserve">is </w:t>
            </w:r>
            <w:r>
              <w:rPr>
                <w:noProof/>
                <w:szCs w:val="20"/>
              </w:rPr>
              <w:t xml:space="preserve">estimated to create </w:t>
            </w:r>
            <w:r w:rsidR="00C30E31">
              <w:rPr>
                <w:noProof/>
                <w:szCs w:val="20"/>
              </w:rPr>
              <w:t xml:space="preserve">further </w:t>
            </w:r>
            <w:r>
              <w:rPr>
                <w:noProof/>
                <w:szCs w:val="20"/>
              </w:rPr>
              <w:t xml:space="preserve">cost savings. </w:t>
            </w:r>
            <w:r w:rsidR="00C217E3" w:rsidRPr="00E640BE">
              <w:rPr>
                <w:noProof/>
                <w:szCs w:val="20"/>
              </w:rPr>
              <w:t xml:space="preserve">In Member States where payment of minimum share capital requires proof of deposit prior to registration, founders are typically obliged to open a bank account in the company’s name before incorporation can be completed. </w:t>
            </w:r>
            <w:r w:rsidR="00080EF1" w:rsidRPr="003B5E04">
              <w:rPr>
                <w:noProof/>
                <w:szCs w:val="20"/>
              </w:rPr>
              <w:t>A significant share of respondents (70%)</w:t>
            </w:r>
            <w:r w:rsidR="00080EF1">
              <w:rPr>
                <w:noProof/>
                <w:szCs w:val="20"/>
              </w:rPr>
              <w:t xml:space="preserve"> </w:t>
            </w:r>
            <w:r w:rsidR="00080EF1" w:rsidRPr="003711C8">
              <w:rPr>
                <w:noProof/>
                <w:szCs w:val="20"/>
              </w:rPr>
              <w:t xml:space="preserve">assessed these requirements as causing substantial delays and unnecessary costs, especially where founders or investors are located in different Member States. </w:t>
            </w:r>
            <w:r w:rsidR="00037AA5" w:rsidRPr="00E640BE">
              <w:rPr>
                <w:noProof/>
                <w:szCs w:val="20"/>
              </w:rPr>
              <w:t xml:space="preserve">Stakeholder feedback from workshops and interviews </w:t>
            </w:r>
            <w:r w:rsidR="00037AA5">
              <w:rPr>
                <w:noProof/>
                <w:szCs w:val="20"/>
              </w:rPr>
              <w:t xml:space="preserve">also </w:t>
            </w:r>
            <w:r w:rsidR="00037AA5" w:rsidRPr="00E640BE">
              <w:rPr>
                <w:noProof/>
                <w:szCs w:val="20"/>
              </w:rPr>
              <w:t>confirms that this step is frequently one of the most time-consuming elements of the incorporation process, due to stringent AML/KYC requirements, extensive documentation requests, internal bank compliance reviews and, in cross-border cases, the need for physical presence, local representatives or certified translations.</w:t>
            </w:r>
            <w:r w:rsidR="00037AA5">
              <w:rPr>
                <w:noProof/>
                <w:szCs w:val="20"/>
              </w:rPr>
              <w:t xml:space="preserve"> </w:t>
            </w:r>
            <w:r w:rsidR="00080EF1" w:rsidRPr="003711C8">
              <w:rPr>
                <w:noProof/>
                <w:szCs w:val="20"/>
              </w:rPr>
              <w:t xml:space="preserve">By removing the need to pay in capital at incorporation, </w:t>
            </w:r>
            <w:r w:rsidR="00080EF1">
              <w:rPr>
                <w:noProof/>
                <w:szCs w:val="20"/>
              </w:rPr>
              <w:t xml:space="preserve">policy option </w:t>
            </w:r>
            <w:r w:rsidR="00080EF1" w:rsidRPr="003711C8">
              <w:rPr>
                <w:noProof/>
                <w:szCs w:val="20"/>
              </w:rPr>
              <w:t xml:space="preserve">6b directly addresses this bottleneck, generating both immediate time savings and direct cost reductions, while also alleviating liquidity constraints at the earliest stage of business activity. </w:t>
            </w:r>
          </w:p>
          <w:p w14:paraId="7BA1A434" w14:textId="56D9D872" w:rsidR="00DB051F" w:rsidRDefault="166D73A1" w:rsidP="6F00936E">
            <w:pPr>
              <w:spacing w:after="0"/>
              <w:jc w:val="both"/>
              <w:rPr>
                <w:noProof/>
              </w:rPr>
            </w:pPr>
            <w:r>
              <w:rPr>
                <w:noProof/>
              </w:rPr>
              <w:t xml:space="preserve">It </w:t>
            </w:r>
            <w:r w:rsidR="2F645C2B">
              <w:rPr>
                <w:noProof/>
              </w:rPr>
              <w:t>is estimated t</w:t>
            </w:r>
            <w:r>
              <w:rPr>
                <w:noProof/>
              </w:rPr>
              <w:t xml:space="preserve">hat </w:t>
            </w:r>
            <w:r w:rsidR="050E4463">
              <w:rPr>
                <w:noProof/>
              </w:rPr>
              <w:t>PO</w:t>
            </w:r>
            <w:r>
              <w:rPr>
                <w:noProof/>
              </w:rPr>
              <w:t>6b would</w:t>
            </w:r>
            <w:r w:rsidR="2F645C2B">
              <w:rPr>
                <w:noProof/>
              </w:rPr>
              <w:t xml:space="preserve"> generate </w:t>
            </w:r>
            <w:r w:rsidR="4319E9B5">
              <w:rPr>
                <w:noProof/>
              </w:rPr>
              <w:t xml:space="preserve">additional </w:t>
            </w:r>
            <w:r w:rsidR="2F645C2B">
              <w:rPr>
                <w:noProof/>
              </w:rPr>
              <w:t xml:space="preserve">direct efficiency gains of approximately </w:t>
            </w:r>
            <w:r w:rsidR="32C9530D">
              <w:rPr>
                <w:noProof/>
              </w:rPr>
              <w:t xml:space="preserve">EUR </w:t>
            </w:r>
            <w:r w:rsidR="00E857C9">
              <w:rPr>
                <w:noProof/>
              </w:rPr>
              <w:t>4</w:t>
            </w:r>
            <w:r w:rsidR="2F645C2B">
              <w:rPr>
                <w:noProof/>
              </w:rPr>
              <w:t xml:space="preserve">00 per company. These savings </w:t>
            </w:r>
            <w:r w:rsidR="56485711">
              <w:rPr>
                <w:noProof/>
              </w:rPr>
              <w:t xml:space="preserve">would </w:t>
            </w:r>
            <w:r w:rsidR="3FE013B9">
              <w:rPr>
                <w:noProof/>
              </w:rPr>
              <w:t xml:space="preserve">be </w:t>
            </w:r>
            <w:r w:rsidR="2F645C2B">
              <w:rPr>
                <w:noProof/>
              </w:rPr>
              <w:t xml:space="preserve">in Member States where paid-in minimum share capital is </w:t>
            </w:r>
            <w:r w:rsidR="088DD20D">
              <w:rPr>
                <w:noProof/>
              </w:rPr>
              <w:t>currently</w:t>
            </w:r>
            <w:r w:rsidR="2F645C2B">
              <w:rPr>
                <w:noProof/>
              </w:rPr>
              <w:t xml:space="preserve"> required at the moment of incorporation or registration. </w:t>
            </w:r>
          </w:p>
          <w:p w14:paraId="54409104" w14:textId="039D0E84" w:rsidR="00DF5E69" w:rsidRPr="00CB502C" w:rsidRDefault="00CB502C" w:rsidP="00F067AD">
            <w:pPr>
              <w:spacing w:after="0"/>
              <w:jc w:val="both"/>
              <w:rPr>
                <w:noProof/>
                <w:szCs w:val="20"/>
              </w:rPr>
            </w:pPr>
            <w:r w:rsidRPr="00CB502C">
              <w:rPr>
                <w:noProof/>
                <w:szCs w:val="20"/>
              </w:rPr>
              <w:t xml:space="preserve">By contrast, PO6c </w:t>
            </w:r>
            <w:r w:rsidR="00DB051F">
              <w:rPr>
                <w:noProof/>
                <w:szCs w:val="20"/>
              </w:rPr>
              <w:t xml:space="preserve">is not assessed to </w:t>
            </w:r>
            <w:r w:rsidRPr="00CB502C">
              <w:rPr>
                <w:noProof/>
                <w:szCs w:val="20"/>
              </w:rPr>
              <w:t>generate additional administrative burden reductions compared to PO6b. While it improves legal clarity through harmonisation, the introduction of a common minimum capital requirement maintains certain incorporation-related administrative steps and therefore limits further burden reduction. Accordingly, from a company perspective, PO6b delivers the highest administrative burden reduction.</w:t>
            </w:r>
          </w:p>
        </w:tc>
      </w:tr>
      <w:tr w:rsidR="00DF5E69" w:rsidRPr="00DC6DD8" w14:paraId="23BC7A48" w14:textId="77777777" w:rsidTr="6F00936E">
        <w:tc>
          <w:tcPr>
            <w:tcW w:w="2122" w:type="dxa"/>
            <w:vAlign w:val="center"/>
          </w:tcPr>
          <w:p w14:paraId="714CB213" w14:textId="77777777" w:rsidR="00DF5E69" w:rsidRPr="00154739" w:rsidRDefault="00DF5E69" w:rsidP="00DF5E69">
            <w:pPr>
              <w:rPr>
                <w:b/>
                <w:noProof/>
                <w:szCs w:val="20"/>
              </w:rPr>
            </w:pPr>
            <w:r w:rsidRPr="00154739">
              <w:rPr>
                <w:b/>
                <w:noProof/>
                <w:szCs w:val="20"/>
              </w:rPr>
              <w:t>Administrative and adjustment costs</w:t>
            </w:r>
          </w:p>
        </w:tc>
        <w:tc>
          <w:tcPr>
            <w:tcW w:w="1508" w:type="dxa"/>
          </w:tcPr>
          <w:p w14:paraId="26588461" w14:textId="6B29E907" w:rsidR="00DF5E69" w:rsidRPr="00170FBB" w:rsidRDefault="00DF5E69" w:rsidP="00DF5E69">
            <w:pPr>
              <w:rPr>
                <w:noProof/>
                <w:sz w:val="18"/>
                <w:szCs w:val="18"/>
              </w:rPr>
            </w:pPr>
            <w:r w:rsidRPr="00170FBB">
              <w:rPr>
                <w:noProof/>
                <w:sz w:val="18"/>
                <w:szCs w:val="18"/>
              </w:rPr>
              <w:t>Qualitative score 0-5</w:t>
            </w:r>
          </w:p>
        </w:tc>
        <w:tc>
          <w:tcPr>
            <w:tcW w:w="1042" w:type="dxa"/>
          </w:tcPr>
          <w:p w14:paraId="2CDB5249" w14:textId="35773744" w:rsidR="00DF5E69" w:rsidRPr="003B5E04" w:rsidRDefault="00950A48" w:rsidP="00A230E0">
            <w:pPr>
              <w:jc w:val="center"/>
              <w:rPr>
                <w:noProof/>
                <w:szCs w:val="20"/>
              </w:rPr>
            </w:pPr>
            <w:r w:rsidRPr="003B5E04">
              <w:rPr>
                <w:noProof/>
                <w:szCs w:val="20"/>
              </w:rPr>
              <w:t>1</w:t>
            </w:r>
          </w:p>
        </w:tc>
        <w:tc>
          <w:tcPr>
            <w:tcW w:w="996" w:type="dxa"/>
          </w:tcPr>
          <w:p w14:paraId="74F07436" w14:textId="21A8FF29" w:rsidR="00DF5E69" w:rsidRPr="003B5E04" w:rsidRDefault="009B658C" w:rsidP="00A230E0">
            <w:pPr>
              <w:jc w:val="center"/>
              <w:rPr>
                <w:noProof/>
                <w:szCs w:val="20"/>
              </w:rPr>
            </w:pPr>
            <w:r w:rsidRPr="003B5E04">
              <w:rPr>
                <w:noProof/>
                <w:szCs w:val="20"/>
              </w:rPr>
              <w:t>1</w:t>
            </w:r>
          </w:p>
        </w:tc>
        <w:tc>
          <w:tcPr>
            <w:tcW w:w="994" w:type="dxa"/>
          </w:tcPr>
          <w:p w14:paraId="47A73693" w14:textId="132C9F67" w:rsidR="00DF5E69" w:rsidRPr="003B5E04" w:rsidRDefault="00950A48" w:rsidP="00A230E0">
            <w:pPr>
              <w:jc w:val="center"/>
              <w:rPr>
                <w:noProof/>
                <w:szCs w:val="20"/>
              </w:rPr>
            </w:pPr>
            <w:r w:rsidRPr="003B5E04">
              <w:rPr>
                <w:noProof/>
                <w:szCs w:val="20"/>
              </w:rPr>
              <w:t>2</w:t>
            </w:r>
          </w:p>
        </w:tc>
        <w:tc>
          <w:tcPr>
            <w:tcW w:w="7508" w:type="dxa"/>
          </w:tcPr>
          <w:p w14:paraId="557DCDF1" w14:textId="11C07F4C" w:rsidR="003502FA" w:rsidRPr="003502FA" w:rsidRDefault="003502FA" w:rsidP="003502FA">
            <w:pPr>
              <w:jc w:val="both"/>
              <w:rPr>
                <w:noProof/>
                <w:szCs w:val="20"/>
              </w:rPr>
            </w:pPr>
            <w:r w:rsidRPr="003502FA">
              <w:rPr>
                <w:noProof/>
                <w:szCs w:val="20"/>
              </w:rPr>
              <w:t xml:space="preserve">Policy Option 6a introduces only very limited </w:t>
            </w:r>
            <w:r w:rsidR="00202A4F">
              <w:rPr>
                <w:noProof/>
                <w:szCs w:val="20"/>
              </w:rPr>
              <w:t xml:space="preserve">one-off </w:t>
            </w:r>
            <w:r w:rsidRPr="003502FA">
              <w:rPr>
                <w:noProof/>
                <w:szCs w:val="20"/>
              </w:rPr>
              <w:t>adjustment costs</w:t>
            </w:r>
            <w:r w:rsidRPr="003502FA" w:rsidDel="00BF7CEE">
              <w:rPr>
                <w:noProof/>
                <w:szCs w:val="20"/>
              </w:rPr>
              <w:t xml:space="preserve"> </w:t>
            </w:r>
            <w:r w:rsidR="00202A4F">
              <w:rPr>
                <w:noProof/>
                <w:szCs w:val="20"/>
              </w:rPr>
              <w:t>for</w:t>
            </w:r>
            <w:r>
              <w:rPr>
                <w:noProof/>
                <w:szCs w:val="20"/>
              </w:rPr>
              <w:t xml:space="preserve"> </w:t>
            </w:r>
            <w:r w:rsidR="00202A4F">
              <w:rPr>
                <w:noProof/>
                <w:szCs w:val="20"/>
              </w:rPr>
              <w:t>c</w:t>
            </w:r>
            <w:r w:rsidRPr="003502FA">
              <w:rPr>
                <w:noProof/>
                <w:szCs w:val="20"/>
              </w:rPr>
              <w:t>ompanies opting for the 28</w:t>
            </w:r>
            <w:r w:rsidRPr="009A384B">
              <w:rPr>
                <w:noProof/>
                <w:szCs w:val="20"/>
              </w:rPr>
              <w:t>th</w:t>
            </w:r>
            <w:r w:rsidRPr="003502FA">
              <w:rPr>
                <w:noProof/>
                <w:szCs w:val="20"/>
              </w:rPr>
              <w:t xml:space="preserve"> regime related to understanding the new optional governance framework and, where relevant, adapting internal processes to use fully digital meetings and simplified capital procedures</w:t>
            </w:r>
            <w:r w:rsidR="00420724">
              <w:rPr>
                <w:noProof/>
                <w:szCs w:val="20"/>
              </w:rPr>
              <w:t xml:space="preserve"> for those existing companies which decide to convert into 28</w:t>
            </w:r>
            <w:r w:rsidR="00420724" w:rsidRPr="00420724">
              <w:rPr>
                <w:noProof/>
                <w:szCs w:val="20"/>
                <w:vertAlign w:val="superscript"/>
              </w:rPr>
              <w:t>th</w:t>
            </w:r>
            <w:r w:rsidR="00420724">
              <w:rPr>
                <w:noProof/>
                <w:szCs w:val="20"/>
              </w:rPr>
              <w:t xml:space="preserve"> regime ones</w:t>
            </w:r>
            <w:r w:rsidRPr="003502FA">
              <w:rPr>
                <w:noProof/>
                <w:szCs w:val="20"/>
              </w:rPr>
              <w:t>. Policy Option 6b does not create additional administrative or adjustment costs</w:t>
            </w:r>
            <w:r w:rsidRPr="003502FA" w:rsidDel="00E16ADF">
              <w:rPr>
                <w:noProof/>
                <w:szCs w:val="20"/>
              </w:rPr>
              <w:t xml:space="preserve"> </w:t>
            </w:r>
            <w:r w:rsidR="002C4D7E">
              <w:rPr>
                <w:noProof/>
                <w:szCs w:val="20"/>
              </w:rPr>
              <w:t>as it</w:t>
            </w:r>
            <w:r w:rsidRPr="003502FA" w:rsidDel="009B658C">
              <w:rPr>
                <w:noProof/>
                <w:szCs w:val="20"/>
              </w:rPr>
              <w:t xml:space="preserve"> </w:t>
            </w:r>
            <w:r w:rsidRPr="003502FA">
              <w:rPr>
                <w:noProof/>
                <w:szCs w:val="20"/>
              </w:rPr>
              <w:t>removes existing compliance obligations, notably those linked to paid-in minimum share capital at incorporation</w:t>
            </w:r>
            <w:r w:rsidR="009B658C">
              <w:rPr>
                <w:noProof/>
                <w:szCs w:val="20"/>
              </w:rPr>
              <w:t xml:space="preserve"> and</w:t>
            </w:r>
            <w:r w:rsidRPr="003502FA">
              <w:rPr>
                <w:noProof/>
                <w:szCs w:val="20"/>
              </w:rPr>
              <w:t xml:space="preserve"> does not introduce any new procedural, reporting or organisational requirements for companies. </w:t>
            </w:r>
          </w:p>
          <w:p w14:paraId="74E58216" w14:textId="5329012B" w:rsidR="00DF5E69" w:rsidRPr="0046667F" w:rsidRDefault="004B05BC" w:rsidP="00794318">
            <w:pPr>
              <w:jc w:val="both"/>
              <w:rPr>
                <w:noProof/>
                <w:szCs w:val="20"/>
              </w:rPr>
            </w:pPr>
            <w:r>
              <w:rPr>
                <w:noProof/>
                <w:szCs w:val="20"/>
              </w:rPr>
              <w:t xml:space="preserve">Finally, </w:t>
            </w:r>
            <w:r w:rsidR="00F067AD">
              <w:rPr>
                <w:noProof/>
                <w:szCs w:val="20"/>
              </w:rPr>
              <w:t>PO</w:t>
            </w:r>
            <w:r w:rsidR="003502FA" w:rsidRPr="003502FA">
              <w:rPr>
                <w:noProof/>
                <w:szCs w:val="20"/>
              </w:rPr>
              <w:t>6c introduces limited additional adjustment costs</w:t>
            </w:r>
            <w:r w:rsidR="003502FA" w:rsidRPr="003502FA" w:rsidDel="00035C5E">
              <w:rPr>
                <w:noProof/>
                <w:szCs w:val="20"/>
              </w:rPr>
              <w:t xml:space="preserve"> </w:t>
            </w:r>
            <w:r w:rsidR="003502FA" w:rsidRPr="003502FA">
              <w:rPr>
                <w:noProof/>
                <w:szCs w:val="20"/>
              </w:rPr>
              <w:t>through the introduction of a common minimum share capital requirement</w:t>
            </w:r>
            <w:r w:rsidR="00692D5C">
              <w:rPr>
                <w:noProof/>
                <w:szCs w:val="20"/>
              </w:rPr>
              <w:t>,</w:t>
            </w:r>
            <w:r w:rsidR="003502FA" w:rsidRPr="003502FA">
              <w:rPr>
                <w:noProof/>
                <w:szCs w:val="20"/>
              </w:rPr>
              <w:t xml:space="preserve"> entail</w:t>
            </w:r>
            <w:r w:rsidR="00692D5C">
              <w:rPr>
                <w:noProof/>
                <w:szCs w:val="20"/>
              </w:rPr>
              <w:t>ing</w:t>
            </w:r>
            <w:r w:rsidR="003502FA" w:rsidRPr="003502FA">
              <w:rPr>
                <w:noProof/>
                <w:szCs w:val="20"/>
              </w:rPr>
              <w:t xml:space="preserve"> new administrative steps for companies opting for the 28th regime, </w:t>
            </w:r>
            <w:r w:rsidR="00692D5C">
              <w:rPr>
                <w:noProof/>
                <w:szCs w:val="20"/>
              </w:rPr>
              <w:t xml:space="preserve">in particular </w:t>
            </w:r>
            <w:r w:rsidR="007B3535">
              <w:rPr>
                <w:noProof/>
                <w:szCs w:val="20"/>
              </w:rPr>
              <w:t xml:space="preserve">in Member States which </w:t>
            </w:r>
            <w:r w:rsidR="00D707F6">
              <w:rPr>
                <w:noProof/>
                <w:szCs w:val="20"/>
              </w:rPr>
              <w:t>currently do not</w:t>
            </w:r>
            <w:r w:rsidR="007B3535">
              <w:rPr>
                <w:noProof/>
                <w:szCs w:val="20"/>
              </w:rPr>
              <w:t xml:space="preserve"> require </w:t>
            </w:r>
            <w:r w:rsidR="00D707F6">
              <w:rPr>
                <w:noProof/>
                <w:szCs w:val="20"/>
              </w:rPr>
              <w:t>a</w:t>
            </w:r>
            <w:r w:rsidR="007B3535">
              <w:rPr>
                <w:noProof/>
                <w:szCs w:val="20"/>
              </w:rPr>
              <w:t xml:space="preserve"> minimum capital </w:t>
            </w:r>
            <w:r w:rsidR="00D34CD6">
              <w:rPr>
                <w:noProof/>
                <w:szCs w:val="20"/>
              </w:rPr>
              <w:t>for private limited liability companies</w:t>
            </w:r>
            <w:r w:rsidR="003502FA" w:rsidRPr="003502FA">
              <w:rPr>
                <w:noProof/>
                <w:szCs w:val="20"/>
              </w:rPr>
              <w:t xml:space="preserve">. </w:t>
            </w:r>
          </w:p>
        </w:tc>
      </w:tr>
      <w:tr w:rsidR="00DF5E69" w:rsidRPr="00DC6DD8" w14:paraId="2F7F0F84" w14:textId="77777777" w:rsidTr="6F00936E">
        <w:tc>
          <w:tcPr>
            <w:tcW w:w="14170" w:type="dxa"/>
            <w:gridSpan w:val="6"/>
            <w:shd w:val="clear" w:color="auto" w:fill="92D050"/>
            <w:vAlign w:val="center"/>
          </w:tcPr>
          <w:p w14:paraId="10ABF267" w14:textId="77777777" w:rsidR="00DF5E69" w:rsidRPr="00DC6DD8" w:rsidRDefault="00DF5E69" w:rsidP="00DF5E69">
            <w:pPr>
              <w:rPr>
                <w:b/>
                <w:noProof/>
                <w:szCs w:val="20"/>
              </w:rPr>
            </w:pPr>
            <w:r w:rsidRPr="00D345EC">
              <w:rPr>
                <w:b/>
                <w:noProof/>
                <w:sz w:val="24"/>
                <w:szCs w:val="24"/>
              </w:rPr>
              <w:t>Public authorities</w:t>
            </w:r>
          </w:p>
        </w:tc>
      </w:tr>
      <w:tr w:rsidR="00DF5E69" w:rsidRPr="00DC6DD8" w14:paraId="56FE6B72" w14:textId="77777777" w:rsidTr="6F00936E">
        <w:tc>
          <w:tcPr>
            <w:tcW w:w="2122" w:type="dxa"/>
          </w:tcPr>
          <w:p w14:paraId="38831A56" w14:textId="77777777" w:rsidR="00DF5E69" w:rsidRPr="0074616C" w:rsidRDefault="00DF5E69" w:rsidP="00DF5E69">
            <w:pPr>
              <w:rPr>
                <w:b/>
                <w:noProof/>
                <w:szCs w:val="20"/>
              </w:rPr>
            </w:pPr>
            <w:r>
              <w:rPr>
                <w:b/>
                <w:noProof/>
                <w:szCs w:val="20"/>
              </w:rPr>
              <w:t>Costs</w:t>
            </w:r>
          </w:p>
        </w:tc>
        <w:tc>
          <w:tcPr>
            <w:tcW w:w="1508" w:type="dxa"/>
          </w:tcPr>
          <w:p w14:paraId="189637DA" w14:textId="77777777" w:rsidR="00DF5E69" w:rsidRPr="00170FBB" w:rsidRDefault="00DF5E69" w:rsidP="00DF5E69">
            <w:pPr>
              <w:rPr>
                <w:noProof/>
                <w:sz w:val="18"/>
                <w:szCs w:val="18"/>
              </w:rPr>
            </w:pPr>
            <w:r w:rsidRPr="00170FBB">
              <w:rPr>
                <w:noProof/>
                <w:sz w:val="18"/>
                <w:szCs w:val="18"/>
              </w:rPr>
              <w:t>Score 0-5</w:t>
            </w:r>
          </w:p>
        </w:tc>
        <w:tc>
          <w:tcPr>
            <w:tcW w:w="1042" w:type="dxa"/>
          </w:tcPr>
          <w:p w14:paraId="55E95B2B" w14:textId="0ED93DA2" w:rsidR="00DF5E69" w:rsidRPr="002A5235" w:rsidRDefault="005A4937" w:rsidP="002A5235">
            <w:pPr>
              <w:jc w:val="center"/>
              <w:rPr>
                <w:noProof/>
                <w:szCs w:val="20"/>
              </w:rPr>
            </w:pPr>
            <w:r>
              <w:rPr>
                <w:noProof/>
                <w:szCs w:val="20"/>
              </w:rPr>
              <w:t>1</w:t>
            </w:r>
          </w:p>
        </w:tc>
        <w:tc>
          <w:tcPr>
            <w:tcW w:w="996" w:type="dxa"/>
          </w:tcPr>
          <w:p w14:paraId="745B6A91" w14:textId="19896057" w:rsidR="00DF5E69" w:rsidRPr="002A5235" w:rsidRDefault="006553EC" w:rsidP="002A5235">
            <w:pPr>
              <w:jc w:val="center"/>
              <w:rPr>
                <w:noProof/>
                <w:szCs w:val="20"/>
              </w:rPr>
            </w:pPr>
            <w:r w:rsidRPr="002A5235">
              <w:rPr>
                <w:noProof/>
                <w:szCs w:val="20"/>
              </w:rPr>
              <w:t>1</w:t>
            </w:r>
          </w:p>
        </w:tc>
        <w:tc>
          <w:tcPr>
            <w:tcW w:w="994" w:type="dxa"/>
          </w:tcPr>
          <w:p w14:paraId="721436BB" w14:textId="61C153F6" w:rsidR="00DF5E69" w:rsidRPr="002A5235" w:rsidDel="00073540" w:rsidRDefault="000F587C" w:rsidP="002A5235">
            <w:pPr>
              <w:jc w:val="center"/>
              <w:rPr>
                <w:noProof/>
                <w:szCs w:val="20"/>
              </w:rPr>
            </w:pPr>
            <w:r w:rsidRPr="002A5235">
              <w:rPr>
                <w:noProof/>
                <w:szCs w:val="20"/>
              </w:rPr>
              <w:t>2</w:t>
            </w:r>
          </w:p>
        </w:tc>
        <w:tc>
          <w:tcPr>
            <w:tcW w:w="7508" w:type="dxa"/>
          </w:tcPr>
          <w:p w14:paraId="0B2D0900" w14:textId="3B178BEC" w:rsidR="00DE3C1D" w:rsidRDefault="006C690B" w:rsidP="006C690B">
            <w:pPr>
              <w:jc w:val="both"/>
              <w:rPr>
                <w:noProof/>
                <w:szCs w:val="20"/>
              </w:rPr>
            </w:pPr>
            <w:r w:rsidRPr="006C690B">
              <w:rPr>
                <w:noProof/>
                <w:szCs w:val="20"/>
              </w:rPr>
              <w:t xml:space="preserve">Policy Option 6a entails limited and predominantly one-off adjustment costs for </w:t>
            </w:r>
            <w:r w:rsidR="003605DA" w:rsidRPr="006C690B">
              <w:rPr>
                <w:noProof/>
                <w:szCs w:val="20"/>
              </w:rPr>
              <w:t>competent authorities involved in governance and capital-related operations</w:t>
            </w:r>
            <w:r w:rsidR="003605DA">
              <w:rPr>
                <w:noProof/>
                <w:szCs w:val="20"/>
              </w:rPr>
              <w:t xml:space="preserve"> and</w:t>
            </w:r>
            <w:r w:rsidRPr="006C690B" w:rsidDel="00C84907">
              <w:rPr>
                <w:noProof/>
                <w:szCs w:val="20"/>
              </w:rPr>
              <w:t xml:space="preserve"> </w:t>
            </w:r>
            <w:r w:rsidRPr="006C690B">
              <w:rPr>
                <w:noProof/>
                <w:szCs w:val="20"/>
              </w:rPr>
              <w:t>professionals exercising public or quasi-public functions in company law procedures, in particular notaries</w:t>
            </w:r>
            <w:r w:rsidR="00C84907">
              <w:rPr>
                <w:noProof/>
                <w:szCs w:val="20"/>
              </w:rPr>
              <w:t>,</w:t>
            </w:r>
            <w:r w:rsidRPr="006C690B">
              <w:rPr>
                <w:noProof/>
                <w:szCs w:val="20"/>
              </w:rPr>
              <w:t xml:space="preserve"> </w:t>
            </w:r>
            <w:r w:rsidR="0037289F">
              <w:rPr>
                <w:noProof/>
                <w:szCs w:val="20"/>
              </w:rPr>
              <w:t>as t</w:t>
            </w:r>
            <w:r w:rsidRPr="006C690B">
              <w:rPr>
                <w:noProof/>
                <w:szCs w:val="20"/>
              </w:rPr>
              <w:t>he introduction of fully digital governance, online shareholders’ and directors’ meetings and simplified digital procedures for capital increases and share issuance requires adaptations to existing workflows, guidance and IT tools used.</w:t>
            </w:r>
            <w:r w:rsidR="00DE3C1D" w:rsidDel="00385299">
              <w:rPr>
                <w:noProof/>
                <w:szCs w:val="20"/>
              </w:rPr>
              <w:t xml:space="preserve"> </w:t>
            </w:r>
            <w:r w:rsidRPr="006C690B">
              <w:rPr>
                <w:noProof/>
                <w:szCs w:val="20"/>
              </w:rPr>
              <w:t xml:space="preserve">By contrast, no changes are expected </w:t>
            </w:r>
            <w:r w:rsidR="00482156">
              <w:rPr>
                <w:noProof/>
                <w:szCs w:val="20"/>
              </w:rPr>
              <w:t>f</w:t>
            </w:r>
            <w:r w:rsidRPr="006C690B">
              <w:rPr>
                <w:noProof/>
                <w:szCs w:val="20"/>
              </w:rPr>
              <w:t xml:space="preserve">or business registers as filing obligations, registry updates and interconnection mechanisms </w:t>
            </w:r>
            <w:r w:rsidR="00482156">
              <w:rPr>
                <w:noProof/>
                <w:szCs w:val="20"/>
              </w:rPr>
              <w:t>are not affected</w:t>
            </w:r>
            <w:r w:rsidRPr="006C690B">
              <w:rPr>
                <w:noProof/>
                <w:szCs w:val="20"/>
              </w:rPr>
              <w:t xml:space="preserve">. </w:t>
            </w:r>
          </w:p>
          <w:p w14:paraId="0C84A018" w14:textId="75EBD278" w:rsidR="00AB47F6" w:rsidRDefault="00C96C59" w:rsidP="008D3A97">
            <w:pPr>
              <w:jc w:val="both"/>
              <w:rPr>
                <w:noProof/>
                <w:szCs w:val="20"/>
              </w:rPr>
            </w:pPr>
            <w:r w:rsidRPr="00C96C59">
              <w:rPr>
                <w:noProof/>
                <w:szCs w:val="20"/>
              </w:rPr>
              <w:t xml:space="preserve">PO6b does not increase costs for authorities </w:t>
            </w:r>
            <w:r w:rsidR="00F138EE">
              <w:rPr>
                <w:noProof/>
                <w:szCs w:val="20"/>
              </w:rPr>
              <w:t xml:space="preserve">and </w:t>
            </w:r>
            <w:r w:rsidR="00EE69D2">
              <w:rPr>
                <w:noProof/>
                <w:szCs w:val="20"/>
              </w:rPr>
              <w:t xml:space="preserve">other professionals mandated by law </w:t>
            </w:r>
            <w:r w:rsidRPr="00C96C59">
              <w:rPr>
                <w:noProof/>
                <w:szCs w:val="20"/>
              </w:rPr>
              <w:t>compared to PO6a</w:t>
            </w:r>
            <w:r w:rsidR="00FA51EC">
              <w:rPr>
                <w:noProof/>
                <w:szCs w:val="20"/>
              </w:rPr>
              <w:t xml:space="preserve"> as</w:t>
            </w:r>
            <w:r w:rsidRPr="00C96C59">
              <w:rPr>
                <w:noProof/>
                <w:szCs w:val="20"/>
              </w:rPr>
              <w:t xml:space="preserve"> </w:t>
            </w:r>
            <w:r w:rsidR="00FA51EC">
              <w:rPr>
                <w:noProof/>
                <w:szCs w:val="20"/>
              </w:rPr>
              <w:t>t</w:t>
            </w:r>
            <w:r w:rsidRPr="00C96C59">
              <w:rPr>
                <w:noProof/>
                <w:szCs w:val="20"/>
              </w:rPr>
              <w:t xml:space="preserve">he removal of mandatory paid-in minimum capital does not require new supervisory structures or additional enforcement mechanisms. </w:t>
            </w:r>
            <w:r w:rsidR="00CF2F19" w:rsidRPr="00CF2F19">
              <w:rPr>
                <w:noProof/>
                <w:szCs w:val="20"/>
              </w:rPr>
              <w:t>P</w:t>
            </w:r>
            <w:r w:rsidR="006F547F">
              <w:rPr>
                <w:noProof/>
                <w:szCs w:val="20"/>
              </w:rPr>
              <w:t xml:space="preserve">olicy option </w:t>
            </w:r>
            <w:r w:rsidR="00CF2F19" w:rsidRPr="00CF2F19">
              <w:rPr>
                <w:noProof/>
                <w:szCs w:val="20"/>
              </w:rPr>
              <w:t xml:space="preserve">6c introduces a uniform EU-level minimum capital requirement </w:t>
            </w:r>
            <w:r w:rsidR="0067150D">
              <w:rPr>
                <w:noProof/>
                <w:szCs w:val="20"/>
              </w:rPr>
              <w:t xml:space="preserve">and therefore, </w:t>
            </w:r>
            <w:r w:rsidR="00CF2F19" w:rsidRPr="00CF2F19">
              <w:rPr>
                <w:noProof/>
                <w:szCs w:val="20"/>
              </w:rPr>
              <w:t>requires public authorities to</w:t>
            </w:r>
            <w:r>
              <w:rPr>
                <w:noProof/>
                <w:szCs w:val="20"/>
              </w:rPr>
              <w:t xml:space="preserve"> always</w:t>
            </w:r>
            <w:r w:rsidR="00CF2F19" w:rsidRPr="00CF2F19">
              <w:rPr>
                <w:noProof/>
                <w:szCs w:val="20"/>
              </w:rPr>
              <w:t xml:space="preserve"> perform capital-related checks at incorporation</w:t>
            </w:r>
            <w:r w:rsidR="008118E4">
              <w:rPr>
                <w:noProof/>
                <w:szCs w:val="20"/>
              </w:rPr>
              <w:t xml:space="preserve"> and results in </w:t>
            </w:r>
            <w:r w:rsidR="00CF2F19" w:rsidRPr="00CF2F19">
              <w:rPr>
                <w:noProof/>
                <w:szCs w:val="20"/>
              </w:rPr>
              <w:t>limited and mainly one-off</w:t>
            </w:r>
            <w:r w:rsidR="008118E4">
              <w:rPr>
                <w:noProof/>
                <w:szCs w:val="20"/>
              </w:rPr>
              <w:t xml:space="preserve"> adjustment costs </w:t>
            </w:r>
            <w:r w:rsidR="00CF2F19" w:rsidRPr="00CF2F19">
              <w:rPr>
                <w:noProof/>
                <w:szCs w:val="20"/>
              </w:rPr>
              <w:t xml:space="preserve">higher than under </w:t>
            </w:r>
            <w:r w:rsidR="006F547F">
              <w:rPr>
                <w:noProof/>
                <w:szCs w:val="20"/>
              </w:rPr>
              <w:t xml:space="preserve">option </w:t>
            </w:r>
            <w:r w:rsidR="00CF2F19" w:rsidRPr="00CF2F19">
              <w:rPr>
                <w:noProof/>
                <w:szCs w:val="20"/>
              </w:rPr>
              <w:t>6b.</w:t>
            </w:r>
          </w:p>
        </w:tc>
      </w:tr>
      <w:tr w:rsidR="00DF5E69" w:rsidRPr="00DC6DD8" w14:paraId="333691A5" w14:textId="77777777" w:rsidTr="6F00936E">
        <w:tc>
          <w:tcPr>
            <w:tcW w:w="2122" w:type="dxa"/>
          </w:tcPr>
          <w:p w14:paraId="796CCD20" w14:textId="77777777" w:rsidR="00DF5E69" w:rsidRDefault="00DF5E69" w:rsidP="00DF5E69">
            <w:pPr>
              <w:rPr>
                <w:b/>
                <w:noProof/>
                <w:szCs w:val="20"/>
              </w:rPr>
            </w:pPr>
            <w:r>
              <w:rPr>
                <w:b/>
                <w:noProof/>
                <w:szCs w:val="20"/>
              </w:rPr>
              <w:t>Benefits</w:t>
            </w:r>
          </w:p>
        </w:tc>
        <w:tc>
          <w:tcPr>
            <w:tcW w:w="1508" w:type="dxa"/>
          </w:tcPr>
          <w:p w14:paraId="5E064739" w14:textId="77777777" w:rsidR="00DF5E69" w:rsidRPr="00170FBB" w:rsidRDefault="00DF5E69" w:rsidP="00DF5E69">
            <w:pPr>
              <w:rPr>
                <w:noProof/>
                <w:sz w:val="18"/>
                <w:szCs w:val="18"/>
              </w:rPr>
            </w:pPr>
            <w:r w:rsidRPr="00170FBB">
              <w:rPr>
                <w:noProof/>
                <w:sz w:val="18"/>
                <w:szCs w:val="18"/>
              </w:rPr>
              <w:t>Score 0-5</w:t>
            </w:r>
          </w:p>
        </w:tc>
        <w:tc>
          <w:tcPr>
            <w:tcW w:w="1042" w:type="dxa"/>
          </w:tcPr>
          <w:p w14:paraId="31E746A0" w14:textId="28EFF54F" w:rsidR="00DF5E69" w:rsidRPr="0076028A" w:rsidRDefault="003643EC" w:rsidP="0076028A">
            <w:pPr>
              <w:jc w:val="center"/>
              <w:rPr>
                <w:noProof/>
                <w:szCs w:val="20"/>
              </w:rPr>
            </w:pPr>
            <w:r w:rsidRPr="0076028A">
              <w:rPr>
                <w:noProof/>
                <w:szCs w:val="20"/>
              </w:rPr>
              <w:t>1</w:t>
            </w:r>
          </w:p>
        </w:tc>
        <w:tc>
          <w:tcPr>
            <w:tcW w:w="996" w:type="dxa"/>
          </w:tcPr>
          <w:p w14:paraId="108D37B4" w14:textId="06E4AA5F" w:rsidR="00DF5E69" w:rsidRPr="0076028A" w:rsidRDefault="004774D7" w:rsidP="0076028A">
            <w:pPr>
              <w:jc w:val="center"/>
              <w:rPr>
                <w:noProof/>
                <w:szCs w:val="20"/>
              </w:rPr>
            </w:pPr>
            <w:r w:rsidRPr="0076028A">
              <w:rPr>
                <w:noProof/>
                <w:szCs w:val="20"/>
              </w:rPr>
              <w:t>3</w:t>
            </w:r>
          </w:p>
        </w:tc>
        <w:tc>
          <w:tcPr>
            <w:tcW w:w="994" w:type="dxa"/>
          </w:tcPr>
          <w:p w14:paraId="149EA41F" w14:textId="501BABF1" w:rsidR="00DF5E69" w:rsidRPr="0076028A" w:rsidDel="00073540" w:rsidRDefault="004774D7" w:rsidP="0076028A">
            <w:pPr>
              <w:jc w:val="center"/>
              <w:rPr>
                <w:noProof/>
                <w:szCs w:val="20"/>
              </w:rPr>
            </w:pPr>
            <w:r w:rsidRPr="0076028A">
              <w:rPr>
                <w:noProof/>
                <w:szCs w:val="20"/>
              </w:rPr>
              <w:t>2</w:t>
            </w:r>
          </w:p>
        </w:tc>
        <w:tc>
          <w:tcPr>
            <w:tcW w:w="7508" w:type="dxa"/>
          </w:tcPr>
          <w:p w14:paraId="09694C07" w14:textId="7F31BCBA" w:rsidR="00C676DB" w:rsidRDefault="00C676DB" w:rsidP="00C676DB">
            <w:pPr>
              <w:jc w:val="both"/>
              <w:rPr>
                <w:noProof/>
                <w:szCs w:val="20"/>
              </w:rPr>
            </w:pPr>
            <w:r w:rsidRPr="00C676DB">
              <w:rPr>
                <w:noProof/>
                <w:szCs w:val="20"/>
              </w:rPr>
              <w:t>PO6a generates moderate efficiency gains for public authorities by simplifying the handling of governance and capital-related procedures</w:t>
            </w:r>
            <w:r w:rsidR="00356FAF">
              <w:rPr>
                <w:noProof/>
                <w:szCs w:val="20"/>
              </w:rPr>
              <w:t xml:space="preserve"> through </w:t>
            </w:r>
            <w:r w:rsidRPr="00C676DB">
              <w:rPr>
                <w:noProof/>
                <w:szCs w:val="20"/>
              </w:rPr>
              <w:t xml:space="preserve">digital </w:t>
            </w:r>
            <w:r w:rsidR="00356FAF">
              <w:rPr>
                <w:noProof/>
                <w:szCs w:val="20"/>
              </w:rPr>
              <w:t xml:space="preserve">means </w:t>
            </w:r>
            <w:r w:rsidR="001B532A">
              <w:rPr>
                <w:noProof/>
                <w:szCs w:val="20"/>
              </w:rPr>
              <w:t>and resulting in less</w:t>
            </w:r>
            <w:r w:rsidRPr="00C676DB" w:rsidDel="001B532A">
              <w:rPr>
                <w:noProof/>
                <w:szCs w:val="20"/>
              </w:rPr>
              <w:t xml:space="preserve"> </w:t>
            </w:r>
            <w:r w:rsidRPr="00C676DB">
              <w:rPr>
                <w:noProof/>
                <w:szCs w:val="20"/>
              </w:rPr>
              <w:t>paper-based documentation and sequential processing</w:t>
            </w:r>
            <w:r w:rsidR="001B532A">
              <w:rPr>
                <w:noProof/>
                <w:szCs w:val="20"/>
              </w:rPr>
              <w:t xml:space="preserve"> and</w:t>
            </w:r>
            <w:r w:rsidRPr="00C676DB">
              <w:rPr>
                <w:noProof/>
                <w:szCs w:val="20"/>
              </w:rPr>
              <w:t xml:space="preserve"> there</w:t>
            </w:r>
            <w:r w:rsidR="001B532A">
              <w:rPr>
                <w:noProof/>
                <w:szCs w:val="20"/>
              </w:rPr>
              <w:t>fore</w:t>
            </w:r>
            <w:r w:rsidRPr="00C676DB">
              <w:rPr>
                <w:noProof/>
                <w:szCs w:val="20"/>
              </w:rPr>
              <w:t xml:space="preserve"> lower administrative workload per transaction.</w:t>
            </w:r>
            <w:r w:rsidR="00D11A72">
              <w:rPr>
                <w:noProof/>
                <w:szCs w:val="20"/>
              </w:rPr>
              <w:t xml:space="preserve"> </w:t>
            </w:r>
            <w:r w:rsidRPr="00C676DB">
              <w:rPr>
                <w:noProof/>
                <w:szCs w:val="20"/>
              </w:rPr>
              <w:t xml:space="preserve">Over time, the increased use of standardised digital procedures is expected to improve processing speed, reduce error rates and facilitate cross-border interactions, partially offsetting initial adjustment costs. </w:t>
            </w:r>
          </w:p>
          <w:p w14:paraId="6252F0D6" w14:textId="5AAF70DD" w:rsidR="006553EC" w:rsidRDefault="00C66BAF" w:rsidP="00C676DB">
            <w:pPr>
              <w:jc w:val="both"/>
              <w:rPr>
                <w:noProof/>
                <w:szCs w:val="20"/>
              </w:rPr>
            </w:pPr>
            <w:r>
              <w:rPr>
                <w:noProof/>
                <w:szCs w:val="20"/>
              </w:rPr>
              <w:t>E</w:t>
            </w:r>
            <w:r w:rsidRPr="00BD2468">
              <w:rPr>
                <w:noProof/>
                <w:szCs w:val="20"/>
              </w:rPr>
              <w:t>liminating capital-related verification steps at incorporation, such as checking bank certificates, proof of deposit or compliance with minimum capital rules</w:t>
            </w:r>
            <w:r>
              <w:rPr>
                <w:noProof/>
                <w:szCs w:val="20"/>
              </w:rPr>
              <w:t>, for 28</w:t>
            </w:r>
            <w:r w:rsidRPr="00025395">
              <w:rPr>
                <w:noProof/>
                <w:szCs w:val="20"/>
                <w:vertAlign w:val="superscript"/>
              </w:rPr>
              <w:t>th</w:t>
            </w:r>
            <w:r>
              <w:rPr>
                <w:noProof/>
                <w:szCs w:val="20"/>
              </w:rPr>
              <w:t xml:space="preserve"> regime companies</w:t>
            </w:r>
            <w:r w:rsidRPr="00BD2468">
              <w:rPr>
                <w:noProof/>
                <w:szCs w:val="20"/>
              </w:rPr>
              <w:t xml:space="preserve"> </w:t>
            </w:r>
            <w:r>
              <w:rPr>
                <w:noProof/>
                <w:szCs w:val="20"/>
              </w:rPr>
              <w:t xml:space="preserve">under </w:t>
            </w:r>
            <w:r w:rsidR="00BD2468" w:rsidRPr="00BD2468">
              <w:rPr>
                <w:noProof/>
                <w:szCs w:val="20"/>
              </w:rPr>
              <w:t xml:space="preserve">PO6b delivers </w:t>
            </w:r>
            <w:r w:rsidR="00D11A72">
              <w:rPr>
                <w:noProof/>
                <w:szCs w:val="20"/>
              </w:rPr>
              <w:t xml:space="preserve">more </w:t>
            </w:r>
            <w:r w:rsidR="00BD2468" w:rsidRPr="00BD2468">
              <w:rPr>
                <w:noProof/>
                <w:szCs w:val="20"/>
              </w:rPr>
              <w:t>efficiency gains for public authorities</w:t>
            </w:r>
            <w:r w:rsidR="00026135">
              <w:rPr>
                <w:noProof/>
                <w:szCs w:val="20"/>
              </w:rPr>
              <w:t>, in particular for those Member States which company legal forms currently have higher minimum capital requirements</w:t>
            </w:r>
            <w:r w:rsidR="009C60BE">
              <w:rPr>
                <w:noProof/>
                <w:szCs w:val="20"/>
              </w:rPr>
              <w:t xml:space="preserve"> by </w:t>
            </w:r>
            <w:r w:rsidR="00BD2468" w:rsidRPr="00BD2468">
              <w:rPr>
                <w:noProof/>
                <w:szCs w:val="20"/>
              </w:rPr>
              <w:t>reduc</w:t>
            </w:r>
            <w:r w:rsidR="00F25D8E">
              <w:rPr>
                <w:noProof/>
                <w:szCs w:val="20"/>
              </w:rPr>
              <w:t>ing</w:t>
            </w:r>
            <w:r w:rsidR="00BD2468" w:rsidRPr="00BD2468">
              <w:rPr>
                <w:noProof/>
                <w:szCs w:val="20"/>
              </w:rPr>
              <w:t xml:space="preserve"> administrative handling and lower</w:t>
            </w:r>
            <w:r w:rsidR="00F25D8E">
              <w:rPr>
                <w:noProof/>
                <w:szCs w:val="20"/>
              </w:rPr>
              <w:t>ing</w:t>
            </w:r>
            <w:r w:rsidR="00BD2468" w:rsidRPr="00BD2468">
              <w:rPr>
                <w:noProof/>
                <w:szCs w:val="20"/>
              </w:rPr>
              <w:t xml:space="preserve"> the risk of errors or delays linked to bank-related documentation. Over time, PO6b is expected to reduce processing time per incorporation.</w:t>
            </w:r>
          </w:p>
          <w:p w14:paraId="250B07CA" w14:textId="55317BA7" w:rsidR="00DF5E69" w:rsidRPr="00C676DB" w:rsidRDefault="001F4A27" w:rsidP="005A2A74">
            <w:pPr>
              <w:jc w:val="both"/>
              <w:rPr>
                <w:noProof/>
                <w:szCs w:val="20"/>
              </w:rPr>
            </w:pPr>
            <w:r>
              <w:rPr>
                <w:noProof/>
                <w:szCs w:val="20"/>
              </w:rPr>
              <w:t>In addition, t</w:t>
            </w:r>
            <w:r w:rsidR="004D40BA" w:rsidRPr="004D40BA">
              <w:rPr>
                <w:noProof/>
                <w:szCs w:val="20"/>
              </w:rPr>
              <w:t>he</w:t>
            </w:r>
            <w:r w:rsidR="004D40BA" w:rsidRPr="004D40BA" w:rsidDel="001F4A27">
              <w:rPr>
                <w:noProof/>
                <w:szCs w:val="20"/>
              </w:rPr>
              <w:t xml:space="preserve"> </w:t>
            </w:r>
            <w:r w:rsidR="004D40BA" w:rsidRPr="004D40BA">
              <w:rPr>
                <w:noProof/>
                <w:szCs w:val="20"/>
              </w:rPr>
              <w:t>benefit</w:t>
            </w:r>
            <w:r>
              <w:rPr>
                <w:noProof/>
                <w:szCs w:val="20"/>
              </w:rPr>
              <w:t>s</w:t>
            </w:r>
            <w:r w:rsidR="004D40BA" w:rsidRPr="004D40BA">
              <w:rPr>
                <w:noProof/>
                <w:szCs w:val="20"/>
              </w:rPr>
              <w:t xml:space="preserve"> of </w:t>
            </w:r>
            <w:r>
              <w:rPr>
                <w:noProof/>
                <w:szCs w:val="20"/>
              </w:rPr>
              <w:t xml:space="preserve">both PO6b and </w:t>
            </w:r>
            <w:r w:rsidR="004D40BA" w:rsidRPr="004D40BA">
              <w:rPr>
                <w:noProof/>
                <w:szCs w:val="20"/>
              </w:rPr>
              <w:t>PO6c for public authorities stem from harmonisation and legal clarity, as a single rule</w:t>
            </w:r>
            <w:r>
              <w:rPr>
                <w:noProof/>
                <w:szCs w:val="20"/>
              </w:rPr>
              <w:t xml:space="preserve"> on minimum capital</w:t>
            </w:r>
            <w:r w:rsidR="004D40BA" w:rsidRPr="004D40BA">
              <w:rPr>
                <w:noProof/>
                <w:szCs w:val="20"/>
              </w:rPr>
              <w:t xml:space="preserve"> reduces interpretative complexity compared to divergent national thresholds</w:t>
            </w:r>
            <w:r w:rsidR="00880866">
              <w:rPr>
                <w:noProof/>
                <w:szCs w:val="20"/>
              </w:rPr>
              <w:t xml:space="preserve"> which are the case under PO6a</w:t>
            </w:r>
            <w:r w:rsidR="004D40BA" w:rsidRPr="004D40BA">
              <w:rPr>
                <w:noProof/>
                <w:szCs w:val="20"/>
              </w:rPr>
              <w:t xml:space="preserve">. However, because capital-related administrative steps remain, the overall efficiency gains are lower </w:t>
            </w:r>
            <w:r w:rsidR="00D527D1">
              <w:rPr>
                <w:noProof/>
                <w:szCs w:val="20"/>
              </w:rPr>
              <w:t xml:space="preserve">under PO6c </w:t>
            </w:r>
            <w:r w:rsidR="004D40BA" w:rsidRPr="004D40BA">
              <w:rPr>
                <w:noProof/>
                <w:szCs w:val="20"/>
              </w:rPr>
              <w:t>than under PO6b.</w:t>
            </w:r>
          </w:p>
        </w:tc>
      </w:tr>
      <w:tr w:rsidR="00DF5E69" w:rsidRPr="00DC6DD8" w14:paraId="3ABB9C7E" w14:textId="77777777" w:rsidTr="6F00936E">
        <w:tc>
          <w:tcPr>
            <w:tcW w:w="14170" w:type="dxa"/>
            <w:gridSpan w:val="6"/>
            <w:shd w:val="clear" w:color="auto" w:fill="92D050"/>
          </w:tcPr>
          <w:p w14:paraId="4F7E48CC" w14:textId="77777777" w:rsidR="00DF5E69" w:rsidRPr="006E78FA" w:rsidRDefault="00DF5E69" w:rsidP="00DF5E69">
            <w:pPr>
              <w:rPr>
                <w:b/>
                <w:bCs/>
                <w:noProof/>
                <w:szCs w:val="20"/>
              </w:rPr>
            </w:pPr>
            <w:r w:rsidRPr="00D345EC">
              <w:rPr>
                <w:b/>
                <w:noProof/>
                <w:sz w:val="24"/>
                <w:szCs w:val="24"/>
              </w:rPr>
              <w:t>Economy and society at large</w:t>
            </w:r>
          </w:p>
        </w:tc>
      </w:tr>
      <w:tr w:rsidR="00DF5E69" w:rsidRPr="00DC6DD8" w14:paraId="5F764EA6" w14:textId="77777777" w:rsidTr="6F00936E">
        <w:tc>
          <w:tcPr>
            <w:tcW w:w="2122" w:type="dxa"/>
          </w:tcPr>
          <w:p w14:paraId="4A6F5435" w14:textId="77777777" w:rsidR="00DF5E69" w:rsidRPr="0074616C" w:rsidRDefault="00DF5E69" w:rsidP="00DF5E69">
            <w:pPr>
              <w:rPr>
                <w:b/>
                <w:noProof/>
                <w:szCs w:val="20"/>
              </w:rPr>
            </w:pPr>
            <w:r>
              <w:rPr>
                <w:b/>
                <w:noProof/>
                <w:szCs w:val="20"/>
              </w:rPr>
              <w:t>Functioning of the internal market and competitiveness</w:t>
            </w:r>
          </w:p>
        </w:tc>
        <w:tc>
          <w:tcPr>
            <w:tcW w:w="1508" w:type="dxa"/>
          </w:tcPr>
          <w:p w14:paraId="2BFE4534" w14:textId="77777777" w:rsidR="00DF5E69" w:rsidRPr="00DC6DD8" w:rsidRDefault="00DF5E69" w:rsidP="00DF5E69">
            <w:pPr>
              <w:rPr>
                <w:noProof/>
                <w:szCs w:val="20"/>
              </w:rPr>
            </w:pPr>
            <w:r w:rsidRPr="00170FBB">
              <w:rPr>
                <w:noProof/>
                <w:sz w:val="18"/>
                <w:szCs w:val="18"/>
              </w:rPr>
              <w:t>Score 0-5</w:t>
            </w:r>
          </w:p>
        </w:tc>
        <w:tc>
          <w:tcPr>
            <w:tcW w:w="1042" w:type="dxa"/>
          </w:tcPr>
          <w:p w14:paraId="54B1AE76" w14:textId="7BC30BF2" w:rsidR="00DF5E69" w:rsidRPr="00693354" w:rsidRDefault="00B035B1" w:rsidP="00693354">
            <w:pPr>
              <w:jc w:val="center"/>
              <w:rPr>
                <w:noProof/>
                <w:szCs w:val="20"/>
              </w:rPr>
            </w:pPr>
            <w:r w:rsidRPr="00693354">
              <w:rPr>
                <w:noProof/>
                <w:szCs w:val="20"/>
              </w:rPr>
              <w:t>2</w:t>
            </w:r>
          </w:p>
        </w:tc>
        <w:tc>
          <w:tcPr>
            <w:tcW w:w="996" w:type="dxa"/>
          </w:tcPr>
          <w:p w14:paraId="3F7EC527" w14:textId="441D4C22" w:rsidR="00DF5E69" w:rsidRPr="00693354" w:rsidRDefault="00B035B1" w:rsidP="00693354">
            <w:pPr>
              <w:jc w:val="center"/>
              <w:rPr>
                <w:noProof/>
                <w:szCs w:val="20"/>
              </w:rPr>
            </w:pPr>
            <w:r w:rsidRPr="00693354">
              <w:rPr>
                <w:noProof/>
                <w:szCs w:val="20"/>
              </w:rPr>
              <w:t>3</w:t>
            </w:r>
          </w:p>
        </w:tc>
        <w:tc>
          <w:tcPr>
            <w:tcW w:w="994" w:type="dxa"/>
          </w:tcPr>
          <w:p w14:paraId="7D5E2C4D" w14:textId="33EE72B5" w:rsidR="00DF5E69" w:rsidRPr="00693354" w:rsidDel="00073540" w:rsidRDefault="00C32B69" w:rsidP="00693354">
            <w:pPr>
              <w:jc w:val="center"/>
              <w:rPr>
                <w:noProof/>
                <w:szCs w:val="20"/>
              </w:rPr>
            </w:pPr>
            <w:r w:rsidRPr="00693354">
              <w:rPr>
                <w:noProof/>
                <w:szCs w:val="20"/>
              </w:rPr>
              <w:t>2</w:t>
            </w:r>
          </w:p>
        </w:tc>
        <w:tc>
          <w:tcPr>
            <w:tcW w:w="7508" w:type="dxa"/>
          </w:tcPr>
          <w:p w14:paraId="5CCC7D47" w14:textId="606C9422" w:rsidR="002373C9" w:rsidRPr="002373C9" w:rsidRDefault="002373C9" w:rsidP="002E041D">
            <w:pPr>
              <w:jc w:val="both"/>
              <w:rPr>
                <w:noProof/>
                <w:szCs w:val="20"/>
              </w:rPr>
            </w:pPr>
            <w:r w:rsidRPr="002373C9">
              <w:rPr>
                <w:noProof/>
                <w:szCs w:val="20"/>
              </w:rPr>
              <w:t xml:space="preserve">Policy Option 6a </w:t>
            </w:r>
            <w:r w:rsidR="007B76CD">
              <w:rPr>
                <w:noProof/>
                <w:szCs w:val="20"/>
              </w:rPr>
              <w:t>contribute</w:t>
            </w:r>
            <w:r w:rsidR="00CB4B40">
              <w:rPr>
                <w:noProof/>
                <w:szCs w:val="20"/>
              </w:rPr>
              <w:t>s</w:t>
            </w:r>
            <w:r w:rsidR="007B76CD">
              <w:rPr>
                <w:noProof/>
                <w:szCs w:val="20"/>
              </w:rPr>
              <w:t xml:space="preserve"> to </w:t>
            </w:r>
            <w:r w:rsidRPr="002373C9">
              <w:rPr>
                <w:noProof/>
                <w:szCs w:val="20"/>
              </w:rPr>
              <w:t>improv</w:t>
            </w:r>
            <w:r w:rsidR="007B76CD">
              <w:rPr>
                <w:noProof/>
                <w:szCs w:val="20"/>
              </w:rPr>
              <w:t>ing</w:t>
            </w:r>
            <w:r w:rsidRPr="002373C9">
              <w:rPr>
                <w:noProof/>
                <w:szCs w:val="20"/>
              </w:rPr>
              <w:t xml:space="preserve"> the functioning of the internal market and </w:t>
            </w:r>
            <w:r w:rsidR="007B76CD">
              <w:rPr>
                <w:noProof/>
                <w:szCs w:val="20"/>
              </w:rPr>
              <w:t xml:space="preserve">to </w:t>
            </w:r>
            <w:r w:rsidRPr="002373C9">
              <w:rPr>
                <w:noProof/>
                <w:szCs w:val="20"/>
              </w:rPr>
              <w:t xml:space="preserve">competitiveness </w:t>
            </w:r>
            <w:r w:rsidR="00CB4B40">
              <w:rPr>
                <w:noProof/>
                <w:szCs w:val="20"/>
              </w:rPr>
              <w:t>b</w:t>
            </w:r>
            <w:r w:rsidR="00CB4B40" w:rsidRPr="002373C9">
              <w:rPr>
                <w:noProof/>
                <w:szCs w:val="20"/>
              </w:rPr>
              <w:t xml:space="preserve">y enabling fully online meetings, digital capital increases and the use of standardised early-stage instruments (e.g. SAFEs), </w:t>
            </w:r>
            <w:r w:rsidR="00134982">
              <w:rPr>
                <w:noProof/>
                <w:szCs w:val="20"/>
              </w:rPr>
              <w:t>which</w:t>
            </w:r>
            <w:r w:rsidR="00CB4B40">
              <w:rPr>
                <w:noProof/>
                <w:szCs w:val="20"/>
              </w:rPr>
              <w:t xml:space="preserve"> </w:t>
            </w:r>
            <w:r w:rsidR="00CB4B40" w:rsidRPr="002373C9">
              <w:rPr>
                <w:noProof/>
                <w:szCs w:val="20"/>
              </w:rPr>
              <w:t xml:space="preserve">reduces transaction frictions and coordination costs for companies and investors operating across Member States. </w:t>
            </w:r>
            <w:r w:rsidRPr="002373C9">
              <w:rPr>
                <w:noProof/>
                <w:szCs w:val="20"/>
              </w:rPr>
              <w:t>Stakeholders highlighted</w:t>
            </w:r>
            <w:r w:rsidR="009A6361">
              <w:rPr>
                <w:noProof/>
                <w:szCs w:val="20"/>
              </w:rPr>
              <w:t xml:space="preserve"> in the public consultation and workshops</w:t>
            </w:r>
            <w:r w:rsidRPr="002373C9">
              <w:rPr>
                <w:noProof/>
                <w:szCs w:val="20"/>
              </w:rPr>
              <w:t xml:space="preserve"> that divergent national rules on shareholder meetings, capital increases and early-stage financing instruments create legal uncertainty and discourage cross-border activity. </w:t>
            </w:r>
          </w:p>
          <w:p w14:paraId="2BEEFCBD" w14:textId="18C9F685" w:rsidR="002373C9" w:rsidRPr="002373C9" w:rsidRDefault="002373C9" w:rsidP="002E041D">
            <w:pPr>
              <w:jc w:val="both"/>
              <w:rPr>
                <w:noProof/>
              </w:rPr>
            </w:pPr>
            <w:r>
              <w:rPr>
                <w:noProof/>
              </w:rPr>
              <w:t xml:space="preserve">Policy Option 6b generates the strongest positive effect on the internal market and EU competitiveness. </w:t>
            </w:r>
            <w:r w:rsidR="009503F2">
              <w:rPr>
                <w:noProof/>
              </w:rPr>
              <w:t xml:space="preserve">The consultation </w:t>
            </w:r>
            <w:r>
              <w:rPr>
                <w:noProof/>
              </w:rPr>
              <w:t>responses and workshop discussions consistently identified minimum capital requirements and related bank-account and AML/KYC procedures as material barriers to fast company creation and cross-border entrepreneurship</w:t>
            </w:r>
            <w:r w:rsidR="00D82570">
              <w:rPr>
                <w:noProof/>
              </w:rPr>
              <w:t xml:space="preserve">, disproportionately affecting </w:t>
            </w:r>
            <w:r w:rsidR="3FDDA70A">
              <w:rPr>
                <w:noProof/>
              </w:rPr>
              <w:t>s</w:t>
            </w:r>
            <w:r w:rsidR="57A2E954">
              <w:rPr>
                <w:noProof/>
              </w:rPr>
              <w:t>tartup</w:t>
            </w:r>
            <w:r w:rsidR="3FDDA70A">
              <w:rPr>
                <w:noProof/>
              </w:rPr>
              <w:t>s</w:t>
            </w:r>
            <w:r w:rsidR="00D82570">
              <w:rPr>
                <w:noProof/>
              </w:rPr>
              <w:t xml:space="preserve"> and slowing market entry</w:t>
            </w:r>
            <w:r>
              <w:rPr>
                <w:noProof/>
              </w:rPr>
              <w:t xml:space="preserve">. By removing the obligation to pay in minimum capital while </w:t>
            </w:r>
            <w:r w:rsidR="000651E7">
              <w:rPr>
                <w:noProof/>
              </w:rPr>
              <w:t>introducing</w:t>
            </w:r>
            <w:r>
              <w:rPr>
                <w:noProof/>
              </w:rPr>
              <w:t xml:space="preserve"> harmonised creditor safeguards, PO6b directly reduces structural entry barriers that currently differ across Member States and distort founders’ and investors’ choices</w:t>
            </w:r>
            <w:r w:rsidR="00BB02B5">
              <w:rPr>
                <w:noProof/>
              </w:rPr>
              <w:t xml:space="preserve">, </w:t>
            </w:r>
            <w:r>
              <w:rPr>
                <w:noProof/>
              </w:rPr>
              <w:t xml:space="preserve">promotes a more uniform entrepreneurial environment, facilitates faster scaling across borders and reduces incentives for regulatory arbitrage. </w:t>
            </w:r>
            <w:r w:rsidR="00995673">
              <w:rPr>
                <w:noProof/>
              </w:rPr>
              <w:t>In this way</w:t>
            </w:r>
            <w:r>
              <w:rPr>
                <w:noProof/>
              </w:rPr>
              <w:t xml:space="preserve">, PO6b </w:t>
            </w:r>
            <w:r w:rsidR="00995673">
              <w:rPr>
                <w:noProof/>
              </w:rPr>
              <w:t xml:space="preserve">also contributes to </w:t>
            </w:r>
            <w:r>
              <w:rPr>
                <w:noProof/>
              </w:rPr>
              <w:t>competitiveness</w:t>
            </w:r>
            <w:r w:rsidR="00995673">
              <w:rPr>
                <w:noProof/>
              </w:rPr>
              <w:t xml:space="preserve"> of the EU </w:t>
            </w:r>
            <w:r w:rsidR="00FF41AB">
              <w:rPr>
                <w:noProof/>
              </w:rPr>
              <w:t>and makes it a more attractive place to set up companies as compared with other jurisdictions</w:t>
            </w:r>
            <w:r>
              <w:rPr>
                <w:noProof/>
              </w:rPr>
              <w:t>.</w:t>
            </w:r>
            <w:r w:rsidR="00FF41AB">
              <w:rPr>
                <w:noProof/>
              </w:rPr>
              <w:t xml:space="preserve"> </w:t>
            </w:r>
            <w:r w:rsidR="001D2463">
              <w:rPr>
                <w:noProof/>
              </w:rPr>
              <w:t xml:space="preserve"> </w:t>
            </w:r>
          </w:p>
          <w:p w14:paraId="20D67C96" w14:textId="1B8448BA" w:rsidR="00DF5E69" w:rsidRPr="002373C9" w:rsidRDefault="002373C9" w:rsidP="00830B86">
            <w:pPr>
              <w:jc w:val="both"/>
              <w:rPr>
                <w:noProof/>
                <w:szCs w:val="20"/>
              </w:rPr>
            </w:pPr>
            <w:r w:rsidRPr="002373C9">
              <w:rPr>
                <w:noProof/>
                <w:szCs w:val="20"/>
              </w:rPr>
              <w:t>Policy Option 6c improves internal market functioning primarily through legal harmonisation, by introducing a single minimum capital requirement</w:t>
            </w:r>
            <w:r w:rsidR="00AA5A13">
              <w:rPr>
                <w:noProof/>
                <w:szCs w:val="20"/>
              </w:rPr>
              <w:t xml:space="preserve"> for 28</w:t>
            </w:r>
            <w:r w:rsidR="00AA5A13" w:rsidRPr="00AA5A13">
              <w:rPr>
                <w:noProof/>
                <w:szCs w:val="20"/>
                <w:vertAlign w:val="superscript"/>
              </w:rPr>
              <w:t>th</w:t>
            </w:r>
            <w:r w:rsidR="00AA5A13">
              <w:rPr>
                <w:noProof/>
                <w:szCs w:val="20"/>
              </w:rPr>
              <w:t xml:space="preserve"> regime companies</w:t>
            </w:r>
            <w:r w:rsidRPr="002373C9">
              <w:rPr>
                <w:noProof/>
                <w:szCs w:val="20"/>
              </w:rPr>
              <w:t xml:space="preserve">. Stakeholders acknowledged in consultations that a uniform rule enhances predictability and reduces </w:t>
            </w:r>
            <w:r w:rsidR="00CB2AFB">
              <w:rPr>
                <w:noProof/>
                <w:szCs w:val="20"/>
              </w:rPr>
              <w:t>due diligence</w:t>
            </w:r>
            <w:r w:rsidRPr="002373C9">
              <w:rPr>
                <w:noProof/>
                <w:szCs w:val="20"/>
              </w:rPr>
              <w:t xml:space="preserve"> costs for founders and investors operating across multiple Member States. However, both OPC feedback and workshop discussions highlighted concerns that a fixed EU capital threshold may reduce flexibility for early-stage companies in jurisdictions where symbolic or zero minimum capital currently applies. In these cases, PO6c may reintroduce liquidity constraints and dampen entry incentives, partially offsetting the benefits of harmonisation. </w:t>
            </w:r>
          </w:p>
        </w:tc>
      </w:tr>
    </w:tbl>
    <w:p w14:paraId="027E9D1C" w14:textId="77777777" w:rsidR="00DF5E69" w:rsidRDefault="00DF5E69" w:rsidP="00AE04B0">
      <w:pPr>
        <w:tabs>
          <w:tab w:val="left" w:pos="170"/>
        </w:tabs>
        <w:rPr>
          <w:noProof/>
        </w:rPr>
      </w:pPr>
    </w:p>
    <w:p w14:paraId="1BB9DC96" w14:textId="77777777" w:rsidR="00ED24FF" w:rsidRPr="00E871E0" w:rsidRDefault="00ED24FF" w:rsidP="009A384B">
      <w:pPr>
        <w:pStyle w:val="Heading2"/>
        <w:numPr>
          <w:ilvl w:val="0"/>
          <w:numId w:val="0"/>
        </w:numPr>
        <w:ind w:left="680" w:hanging="680"/>
        <w:rPr>
          <w:rFonts w:eastAsia="Courier New"/>
          <w:noProof/>
          <w:u w:val="single"/>
        </w:rPr>
      </w:pPr>
      <w:r>
        <w:rPr>
          <w:rFonts w:eastAsia="Courier New"/>
          <w:noProof/>
          <w:u w:val="single"/>
        </w:rPr>
        <w:t>P</w:t>
      </w:r>
      <w:r w:rsidRPr="002F072B">
        <w:rPr>
          <w:rFonts w:eastAsia="Courier New"/>
          <w:noProof/>
          <w:u w:val="single"/>
        </w:rPr>
        <w:t xml:space="preserve">olicy options </w:t>
      </w:r>
      <w:r>
        <w:rPr>
          <w:rFonts w:eastAsia="Courier New"/>
          <w:noProof/>
          <w:u w:val="single"/>
        </w:rPr>
        <w:t>7</w:t>
      </w:r>
      <w:r w:rsidRPr="002F072B">
        <w:rPr>
          <w:rFonts w:eastAsia="Courier New"/>
          <w:noProof/>
          <w:u w:val="single"/>
        </w:rPr>
        <w:t xml:space="preserve"> </w:t>
      </w:r>
      <w:r w:rsidRPr="00E871E0">
        <w:rPr>
          <w:rFonts w:eastAsia="Courier New"/>
          <w:noProof/>
          <w:u w:val="single"/>
        </w:rPr>
        <w:t xml:space="preserve">to facilitate exit options </w:t>
      </w:r>
    </w:p>
    <w:p w14:paraId="34572A7D" w14:textId="77777777" w:rsidR="00ED24FF" w:rsidRDefault="00ED24FF" w:rsidP="00C4288E">
      <w:pPr>
        <w:pStyle w:val="ListParagraph"/>
        <w:numPr>
          <w:ilvl w:val="0"/>
          <w:numId w:val="15"/>
        </w:numPr>
        <w:tabs>
          <w:tab w:val="left" w:pos="170"/>
        </w:tabs>
        <w:jc w:val="both"/>
        <w:rPr>
          <w:noProof/>
        </w:rPr>
      </w:pPr>
      <w:r>
        <w:rPr>
          <w:noProof/>
        </w:rPr>
        <w:t xml:space="preserve">Policy option 7a – Ensure that </w:t>
      </w:r>
      <w:r w:rsidRPr="000F07E3">
        <w:rPr>
          <w:noProof/>
        </w:rPr>
        <w:t>transfers of shares of 28</w:t>
      </w:r>
      <w:r w:rsidRPr="00E857C9">
        <w:rPr>
          <w:noProof/>
          <w:vertAlign w:val="superscript"/>
        </w:rPr>
        <w:t>th</w:t>
      </w:r>
      <w:r w:rsidRPr="000F07E3">
        <w:rPr>
          <w:noProof/>
        </w:rPr>
        <w:t xml:space="preserve"> regime companies </w:t>
      </w:r>
      <w:r>
        <w:rPr>
          <w:noProof/>
        </w:rPr>
        <w:t>can</w:t>
      </w:r>
      <w:r w:rsidRPr="000F07E3">
        <w:rPr>
          <w:noProof/>
        </w:rPr>
        <w:t xml:space="preserve"> be carried out fully digitally</w:t>
      </w:r>
      <w:r w:rsidRPr="004C599B">
        <w:rPr>
          <w:noProof/>
        </w:rPr>
        <w:t>.</w:t>
      </w:r>
    </w:p>
    <w:p w14:paraId="0F05D65A" w14:textId="318C4A49" w:rsidR="00ED24FF" w:rsidRDefault="00ED24FF" w:rsidP="00C4288E">
      <w:pPr>
        <w:pStyle w:val="ListParagraph"/>
        <w:numPr>
          <w:ilvl w:val="0"/>
          <w:numId w:val="15"/>
        </w:numPr>
        <w:tabs>
          <w:tab w:val="left" w:pos="170"/>
        </w:tabs>
        <w:jc w:val="both"/>
        <w:rPr>
          <w:noProof/>
        </w:rPr>
      </w:pPr>
      <w:r>
        <w:rPr>
          <w:noProof/>
        </w:rPr>
        <w:t xml:space="preserve">Policy option 7b </w:t>
      </w:r>
      <w:r w:rsidR="0076531B">
        <w:rPr>
          <w:noProof/>
        </w:rPr>
        <w:t>–</w:t>
      </w:r>
      <w:r>
        <w:rPr>
          <w:noProof/>
        </w:rPr>
        <w:t xml:space="preserve"> </w:t>
      </w:r>
      <w:r w:rsidRPr="00926445">
        <w:rPr>
          <w:noProof/>
        </w:rPr>
        <w:t xml:space="preserve">Option </w:t>
      </w:r>
      <w:r>
        <w:rPr>
          <w:noProof/>
        </w:rPr>
        <w:t>7</w:t>
      </w:r>
      <w:r w:rsidRPr="00926445">
        <w:rPr>
          <w:noProof/>
        </w:rPr>
        <w:t xml:space="preserve">a + </w:t>
      </w:r>
      <w:r w:rsidRPr="000F07E3">
        <w:rPr>
          <w:noProof/>
        </w:rPr>
        <w:t>no requirement to involve intermediaries in share transfers of 28</w:t>
      </w:r>
      <w:r w:rsidRPr="00E857C9">
        <w:rPr>
          <w:noProof/>
          <w:vertAlign w:val="superscript"/>
        </w:rPr>
        <w:t>th</w:t>
      </w:r>
      <w:r w:rsidRPr="000F07E3">
        <w:rPr>
          <w:noProof/>
        </w:rPr>
        <w:t xml:space="preserve"> regime companies</w:t>
      </w:r>
      <w:r w:rsidRPr="004C599B">
        <w:rPr>
          <w:noProof/>
        </w:rPr>
        <w:t>.</w:t>
      </w:r>
    </w:p>
    <w:p w14:paraId="6DFD0579" w14:textId="6E0AA790" w:rsidR="00ED24FF" w:rsidRDefault="00ED24FF" w:rsidP="00C4288E">
      <w:pPr>
        <w:pStyle w:val="ListParagraph"/>
        <w:numPr>
          <w:ilvl w:val="0"/>
          <w:numId w:val="15"/>
        </w:numPr>
        <w:tabs>
          <w:tab w:val="left" w:pos="170"/>
        </w:tabs>
        <w:spacing w:before="0" w:after="0"/>
        <w:jc w:val="both"/>
        <w:rPr>
          <w:noProof/>
        </w:rPr>
      </w:pPr>
      <w:r>
        <w:rPr>
          <w:noProof/>
        </w:rPr>
        <w:t xml:space="preserve">Policy option 7c </w:t>
      </w:r>
      <w:r w:rsidR="0076531B">
        <w:rPr>
          <w:noProof/>
        </w:rPr>
        <w:t>–</w:t>
      </w:r>
      <w:r>
        <w:rPr>
          <w:noProof/>
        </w:rPr>
        <w:t xml:space="preserve"> O</w:t>
      </w:r>
      <w:r w:rsidRPr="004C599B">
        <w:rPr>
          <w:noProof/>
        </w:rPr>
        <w:t xml:space="preserve">ption </w:t>
      </w:r>
      <w:r>
        <w:rPr>
          <w:noProof/>
        </w:rPr>
        <w:t>7</w:t>
      </w:r>
      <w:r w:rsidRPr="004C599B">
        <w:rPr>
          <w:noProof/>
        </w:rPr>
        <w:t xml:space="preserve">b </w:t>
      </w:r>
      <w:r>
        <w:rPr>
          <w:noProof/>
        </w:rPr>
        <w:t>+</w:t>
      </w:r>
      <w:r w:rsidRPr="004C599B">
        <w:rPr>
          <w:noProof/>
        </w:rPr>
        <w:t xml:space="preserve"> </w:t>
      </w:r>
      <w:r w:rsidRPr="000F07E3">
        <w:rPr>
          <w:noProof/>
        </w:rPr>
        <w:t>possibility for Member States to grant access to public equity markets</w:t>
      </w:r>
      <w:r>
        <w:rPr>
          <w:noProof/>
        </w:rPr>
        <w:t xml:space="preserve"> to </w:t>
      </w:r>
      <w:r w:rsidRPr="000F07E3">
        <w:rPr>
          <w:noProof/>
        </w:rPr>
        <w:t>28</w:t>
      </w:r>
      <w:r w:rsidRPr="00E857C9">
        <w:rPr>
          <w:noProof/>
          <w:vertAlign w:val="superscript"/>
        </w:rPr>
        <w:t>th</w:t>
      </w:r>
      <w:r w:rsidRPr="000F07E3">
        <w:rPr>
          <w:noProof/>
        </w:rPr>
        <w:t xml:space="preserve"> regime companies</w:t>
      </w:r>
      <w:r>
        <w:rPr>
          <w:noProof/>
        </w:rPr>
        <w:t>.</w:t>
      </w:r>
    </w:p>
    <w:p w14:paraId="245344FE" w14:textId="77777777" w:rsidR="00ED24FF" w:rsidRDefault="00ED24FF" w:rsidP="00ED24FF">
      <w:pPr>
        <w:tabs>
          <w:tab w:val="left" w:pos="170"/>
        </w:tabs>
        <w:spacing w:before="0" w:after="0"/>
        <w:rPr>
          <w:noProof/>
        </w:rPr>
      </w:pPr>
    </w:p>
    <w:tbl>
      <w:tblPr>
        <w:tblStyle w:val="TableGrid"/>
        <w:tblW w:w="14170" w:type="dxa"/>
        <w:tblLayout w:type="fixed"/>
        <w:tblLook w:val="04A0" w:firstRow="1" w:lastRow="0" w:firstColumn="1" w:lastColumn="0" w:noHBand="0" w:noVBand="1"/>
      </w:tblPr>
      <w:tblGrid>
        <w:gridCol w:w="2122"/>
        <w:gridCol w:w="1508"/>
        <w:gridCol w:w="1042"/>
        <w:gridCol w:w="996"/>
        <w:gridCol w:w="994"/>
        <w:gridCol w:w="7508"/>
      </w:tblGrid>
      <w:tr w:rsidR="00DF5E69" w:rsidRPr="00DC6DD8" w14:paraId="1B1AC533" w14:textId="77777777" w:rsidTr="00DF5E69">
        <w:tc>
          <w:tcPr>
            <w:tcW w:w="2122" w:type="dxa"/>
            <w:shd w:val="clear" w:color="auto" w:fill="95B3D7" w:themeFill="accent1" w:themeFillTint="99"/>
          </w:tcPr>
          <w:p w14:paraId="1189932A" w14:textId="77777777" w:rsidR="00DF5E69" w:rsidRPr="00DC6DD8" w:rsidRDefault="00DF5E69" w:rsidP="00DF5E69">
            <w:pPr>
              <w:rPr>
                <w:b/>
                <w:noProof/>
                <w:szCs w:val="20"/>
              </w:rPr>
            </w:pPr>
            <w:r w:rsidRPr="00DC6DD8">
              <w:rPr>
                <w:b/>
                <w:noProof/>
                <w:szCs w:val="20"/>
              </w:rPr>
              <w:br w:type="page"/>
            </w:r>
          </w:p>
        </w:tc>
        <w:tc>
          <w:tcPr>
            <w:tcW w:w="1508" w:type="dxa"/>
            <w:shd w:val="clear" w:color="auto" w:fill="95B3D7" w:themeFill="accent1" w:themeFillTint="99"/>
          </w:tcPr>
          <w:p w14:paraId="65DF6C53" w14:textId="77777777" w:rsidR="00DF5E69" w:rsidRPr="00864F5C" w:rsidRDefault="00DF5E69" w:rsidP="00DF5E69">
            <w:pPr>
              <w:rPr>
                <w:b/>
                <w:noProof/>
                <w:sz w:val="18"/>
                <w:szCs w:val="18"/>
              </w:rPr>
            </w:pPr>
            <w:r w:rsidRPr="00864F5C">
              <w:rPr>
                <w:b/>
                <w:noProof/>
                <w:sz w:val="18"/>
                <w:szCs w:val="18"/>
              </w:rPr>
              <w:t>Unit of measurement</w:t>
            </w:r>
          </w:p>
        </w:tc>
        <w:tc>
          <w:tcPr>
            <w:tcW w:w="1042" w:type="dxa"/>
            <w:shd w:val="clear" w:color="auto" w:fill="95B3D7" w:themeFill="accent1" w:themeFillTint="99"/>
          </w:tcPr>
          <w:p w14:paraId="474BA397" w14:textId="22B56992"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7</w:t>
            </w:r>
            <w:r w:rsidRPr="00DC6DD8">
              <w:rPr>
                <w:b/>
                <w:noProof/>
                <w:szCs w:val="20"/>
              </w:rPr>
              <w:t xml:space="preserve">a </w:t>
            </w:r>
          </w:p>
        </w:tc>
        <w:tc>
          <w:tcPr>
            <w:tcW w:w="996" w:type="dxa"/>
            <w:shd w:val="clear" w:color="auto" w:fill="95B3D7" w:themeFill="accent1" w:themeFillTint="99"/>
          </w:tcPr>
          <w:p w14:paraId="3BCF9FDD" w14:textId="180E5D6A"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7</w:t>
            </w:r>
            <w:r w:rsidRPr="00DC6DD8">
              <w:rPr>
                <w:b/>
                <w:noProof/>
                <w:szCs w:val="20"/>
              </w:rPr>
              <w:t>b</w:t>
            </w:r>
          </w:p>
        </w:tc>
        <w:tc>
          <w:tcPr>
            <w:tcW w:w="994" w:type="dxa"/>
            <w:shd w:val="clear" w:color="auto" w:fill="95B3D7" w:themeFill="accent1" w:themeFillTint="99"/>
          </w:tcPr>
          <w:p w14:paraId="2734AA1E" w14:textId="5CB2F35D" w:rsidR="00DF5E69" w:rsidRPr="00DC6DD8" w:rsidRDefault="00DF5E69" w:rsidP="00DF5E69">
            <w:pPr>
              <w:rPr>
                <w:b/>
                <w:noProof/>
                <w:szCs w:val="20"/>
              </w:rPr>
            </w:pPr>
            <w:r w:rsidRPr="00DC6DD8">
              <w:rPr>
                <w:b/>
                <w:noProof/>
                <w:szCs w:val="20"/>
              </w:rPr>
              <w:t>P</w:t>
            </w:r>
            <w:r>
              <w:rPr>
                <w:b/>
                <w:noProof/>
                <w:szCs w:val="20"/>
              </w:rPr>
              <w:t>O</w:t>
            </w:r>
            <w:r w:rsidRPr="00DC6DD8">
              <w:rPr>
                <w:b/>
                <w:noProof/>
                <w:szCs w:val="20"/>
              </w:rPr>
              <w:t xml:space="preserve"> </w:t>
            </w:r>
            <w:r>
              <w:rPr>
                <w:b/>
                <w:noProof/>
                <w:szCs w:val="20"/>
              </w:rPr>
              <w:t>7</w:t>
            </w:r>
            <w:r w:rsidRPr="00DC6DD8">
              <w:rPr>
                <w:b/>
                <w:noProof/>
                <w:szCs w:val="20"/>
              </w:rPr>
              <w:t>c</w:t>
            </w:r>
          </w:p>
          <w:p w14:paraId="2A6F09A8" w14:textId="77777777" w:rsidR="00DF5E69" w:rsidRPr="00DC6DD8" w:rsidRDefault="00DF5E69" w:rsidP="00DF5E69">
            <w:pPr>
              <w:rPr>
                <w:b/>
                <w:noProof/>
                <w:szCs w:val="20"/>
              </w:rPr>
            </w:pPr>
          </w:p>
        </w:tc>
        <w:tc>
          <w:tcPr>
            <w:tcW w:w="7508" w:type="dxa"/>
            <w:shd w:val="clear" w:color="auto" w:fill="95B3D7" w:themeFill="accent1" w:themeFillTint="99"/>
          </w:tcPr>
          <w:p w14:paraId="00D233D3" w14:textId="77777777" w:rsidR="00DF5E69" w:rsidRPr="00DC6DD8" w:rsidRDefault="00DF5E69" w:rsidP="00DF5E69">
            <w:pPr>
              <w:rPr>
                <w:b/>
                <w:noProof/>
                <w:szCs w:val="20"/>
              </w:rPr>
            </w:pPr>
            <w:r w:rsidRPr="00DD0943">
              <w:rPr>
                <w:b/>
                <w:noProof/>
                <w:szCs w:val="20"/>
              </w:rPr>
              <w:t>Motivation</w:t>
            </w:r>
          </w:p>
        </w:tc>
      </w:tr>
      <w:tr w:rsidR="00DF5E69" w:rsidRPr="00DC6DD8" w14:paraId="7FAB695E" w14:textId="77777777" w:rsidTr="00DF5E69">
        <w:trPr>
          <w:trHeight w:val="702"/>
        </w:trPr>
        <w:tc>
          <w:tcPr>
            <w:tcW w:w="14170" w:type="dxa"/>
            <w:gridSpan w:val="6"/>
            <w:shd w:val="clear" w:color="auto" w:fill="92D050"/>
          </w:tcPr>
          <w:p w14:paraId="6D0BFB0F" w14:textId="77777777" w:rsidR="00DF5E69" w:rsidRPr="00035E70" w:rsidRDefault="00DF5E69" w:rsidP="00DF5E69">
            <w:pPr>
              <w:rPr>
                <w:b/>
                <w:bCs/>
                <w:noProof/>
                <w:szCs w:val="20"/>
              </w:rPr>
            </w:pPr>
            <w:r w:rsidRPr="00D345EC">
              <w:rPr>
                <w:b/>
                <w:noProof/>
                <w:sz w:val="24"/>
                <w:szCs w:val="24"/>
              </w:rPr>
              <w:t>Companies and investors</w:t>
            </w:r>
          </w:p>
        </w:tc>
      </w:tr>
      <w:tr w:rsidR="00DF5E69" w:rsidRPr="00DC6DD8" w14:paraId="687AE588" w14:textId="77777777" w:rsidTr="00DF5E69">
        <w:trPr>
          <w:trHeight w:val="970"/>
        </w:trPr>
        <w:tc>
          <w:tcPr>
            <w:tcW w:w="2122" w:type="dxa"/>
          </w:tcPr>
          <w:p w14:paraId="6DF62791" w14:textId="77777777" w:rsidR="00DF5E69" w:rsidRPr="00DC6DD8" w:rsidRDefault="00DF5E69" w:rsidP="00DF5E69">
            <w:pPr>
              <w:rPr>
                <w:b/>
                <w:noProof/>
                <w:szCs w:val="20"/>
              </w:rPr>
            </w:pPr>
            <w:r>
              <w:rPr>
                <w:b/>
                <w:noProof/>
                <w:szCs w:val="20"/>
              </w:rPr>
              <w:t>Ease of doing business</w:t>
            </w:r>
          </w:p>
        </w:tc>
        <w:tc>
          <w:tcPr>
            <w:tcW w:w="1508" w:type="dxa"/>
          </w:tcPr>
          <w:p w14:paraId="1758DF96" w14:textId="77777777" w:rsidR="00DF5E69" w:rsidRPr="00170FBB" w:rsidRDefault="00DF5E69" w:rsidP="00DF5E69">
            <w:pPr>
              <w:rPr>
                <w:b/>
                <w:noProof/>
                <w:sz w:val="18"/>
                <w:szCs w:val="18"/>
              </w:rPr>
            </w:pPr>
            <w:r w:rsidRPr="00170FBB">
              <w:rPr>
                <w:noProof/>
                <w:sz w:val="18"/>
                <w:szCs w:val="18"/>
              </w:rPr>
              <w:t>Score 0-5</w:t>
            </w:r>
          </w:p>
        </w:tc>
        <w:tc>
          <w:tcPr>
            <w:tcW w:w="1042" w:type="dxa"/>
          </w:tcPr>
          <w:p w14:paraId="47864559" w14:textId="52581C60" w:rsidR="00DF5E69" w:rsidRPr="0066260D" w:rsidRDefault="00693656" w:rsidP="0066260D">
            <w:pPr>
              <w:jc w:val="center"/>
              <w:rPr>
                <w:bCs/>
                <w:noProof/>
                <w:szCs w:val="20"/>
              </w:rPr>
            </w:pPr>
            <w:r w:rsidRPr="0066260D">
              <w:rPr>
                <w:bCs/>
                <w:noProof/>
                <w:szCs w:val="20"/>
              </w:rPr>
              <w:t>2</w:t>
            </w:r>
          </w:p>
        </w:tc>
        <w:tc>
          <w:tcPr>
            <w:tcW w:w="996" w:type="dxa"/>
          </w:tcPr>
          <w:p w14:paraId="051F4898" w14:textId="1945730F" w:rsidR="00DF5E69" w:rsidRPr="0066260D" w:rsidRDefault="00693656" w:rsidP="0066260D">
            <w:pPr>
              <w:jc w:val="center"/>
              <w:rPr>
                <w:bCs/>
                <w:noProof/>
                <w:szCs w:val="20"/>
              </w:rPr>
            </w:pPr>
            <w:r w:rsidRPr="0066260D">
              <w:rPr>
                <w:bCs/>
                <w:noProof/>
                <w:szCs w:val="20"/>
              </w:rPr>
              <w:t>3</w:t>
            </w:r>
          </w:p>
        </w:tc>
        <w:tc>
          <w:tcPr>
            <w:tcW w:w="994" w:type="dxa"/>
          </w:tcPr>
          <w:p w14:paraId="1C3099DB" w14:textId="185BB44F" w:rsidR="00DF5E69" w:rsidRPr="0066260D" w:rsidRDefault="00693656" w:rsidP="0066260D">
            <w:pPr>
              <w:jc w:val="center"/>
              <w:rPr>
                <w:bCs/>
                <w:noProof/>
                <w:szCs w:val="20"/>
              </w:rPr>
            </w:pPr>
            <w:r w:rsidRPr="0066260D">
              <w:rPr>
                <w:bCs/>
                <w:noProof/>
                <w:szCs w:val="20"/>
              </w:rPr>
              <w:t>4</w:t>
            </w:r>
          </w:p>
        </w:tc>
        <w:tc>
          <w:tcPr>
            <w:tcW w:w="7508" w:type="dxa"/>
          </w:tcPr>
          <w:p w14:paraId="39E48E8B" w14:textId="32FE76BB" w:rsidR="00C52E75" w:rsidRPr="00C52E75" w:rsidRDefault="00C52E75" w:rsidP="00C52E75">
            <w:pPr>
              <w:jc w:val="both"/>
              <w:rPr>
                <w:noProof/>
                <w:szCs w:val="20"/>
              </w:rPr>
            </w:pPr>
            <w:r w:rsidRPr="00C52E75">
              <w:rPr>
                <w:noProof/>
                <w:szCs w:val="20"/>
              </w:rPr>
              <w:t xml:space="preserve">Across the three policy options, a clear improvement in ease of doing business can be observed, with each option progressively addressing structural sources of complexity in share-transfer and exit processes. Policy Option 7a delivers a first, tangible efficiency gain by enabling fully digital execution of share transfers. Stakeholder feedback from the </w:t>
            </w:r>
            <w:r w:rsidR="00AE1074">
              <w:rPr>
                <w:noProof/>
                <w:szCs w:val="20"/>
              </w:rPr>
              <w:t>p</w:t>
            </w:r>
            <w:r w:rsidRPr="00C52E75">
              <w:rPr>
                <w:noProof/>
                <w:szCs w:val="20"/>
              </w:rPr>
              <w:t xml:space="preserve">ublic </w:t>
            </w:r>
            <w:r w:rsidR="00AE1074">
              <w:rPr>
                <w:noProof/>
                <w:szCs w:val="20"/>
              </w:rPr>
              <w:t>c</w:t>
            </w:r>
            <w:r w:rsidRPr="00C52E75">
              <w:rPr>
                <w:noProof/>
                <w:szCs w:val="20"/>
              </w:rPr>
              <w:t xml:space="preserve">onsultation and workshops consistently highlights that physical presence requirements, travel, consular formalities and paper-based procedures represent a significant operational burden, particularly in cross-border situations. By eliminating these in-person steps, PO7a reduces both active time spent by companies and overall transaction timelines, thereby </w:t>
            </w:r>
            <w:r w:rsidR="00F03C50">
              <w:rPr>
                <w:noProof/>
                <w:szCs w:val="20"/>
              </w:rPr>
              <w:t>contributing to making it easier to do business</w:t>
            </w:r>
            <w:r w:rsidRPr="00C52E75">
              <w:rPr>
                <w:noProof/>
                <w:szCs w:val="20"/>
              </w:rPr>
              <w:t>, although substantive national requirements and mandatory intermediary involvement remain unchanged.</w:t>
            </w:r>
          </w:p>
          <w:p w14:paraId="1800999A" w14:textId="1F3362BF" w:rsidR="00C52E75" w:rsidRPr="00C52E75" w:rsidRDefault="00C52E75" w:rsidP="00C52E75">
            <w:pPr>
              <w:jc w:val="both"/>
              <w:rPr>
                <w:noProof/>
                <w:szCs w:val="20"/>
              </w:rPr>
            </w:pPr>
            <w:r w:rsidRPr="00C52E75">
              <w:rPr>
                <w:noProof/>
                <w:szCs w:val="20"/>
              </w:rPr>
              <w:t>Policy Option 7b significantly strengthens these gains by removing the mandatory involvement of intermediaries, notably notaries, in share transfers for 28</w:t>
            </w:r>
            <w:r w:rsidRPr="009A384B">
              <w:rPr>
                <w:noProof/>
                <w:szCs w:val="20"/>
              </w:rPr>
              <w:t>th</w:t>
            </w:r>
            <w:r w:rsidRPr="00C52E75">
              <w:rPr>
                <w:noProof/>
                <w:szCs w:val="20"/>
              </w:rPr>
              <w:t xml:space="preserve"> regime companies. </w:t>
            </w:r>
            <w:r w:rsidR="00D33905">
              <w:rPr>
                <w:noProof/>
                <w:szCs w:val="20"/>
              </w:rPr>
              <w:t xml:space="preserve">It </w:t>
            </w:r>
            <w:r w:rsidRPr="00C52E75">
              <w:rPr>
                <w:noProof/>
                <w:szCs w:val="20"/>
              </w:rPr>
              <w:t>address</w:t>
            </w:r>
            <w:r w:rsidR="00D33905">
              <w:rPr>
                <w:noProof/>
                <w:szCs w:val="20"/>
              </w:rPr>
              <w:t xml:space="preserve">es </w:t>
            </w:r>
            <w:r w:rsidRPr="00C52E75">
              <w:rPr>
                <w:noProof/>
                <w:szCs w:val="20"/>
              </w:rPr>
              <w:t>one of the most frequently cited obstacles to ease of doing business in stakeholder consultations: regulated notarial fees, procedural rigidity and scheduling delays that apply irrespective of transaction complexity. PO7b therefore delivers a substantial reduction in recurring transaction costs, legal uncertainty and procedural delays, making it the most effective option for simplifying day-to-day ownership changes during the operational life of a company.</w:t>
            </w:r>
          </w:p>
          <w:p w14:paraId="0F8B279A" w14:textId="5C07F6ED" w:rsidR="00DF5E69" w:rsidRPr="00C52E75" w:rsidRDefault="00C52E75" w:rsidP="00C52E75">
            <w:pPr>
              <w:jc w:val="both"/>
              <w:rPr>
                <w:noProof/>
                <w:szCs w:val="20"/>
              </w:rPr>
            </w:pPr>
            <w:r w:rsidRPr="00C52E75">
              <w:rPr>
                <w:noProof/>
                <w:szCs w:val="20"/>
              </w:rPr>
              <w:t>Policy Option 7c</w:t>
            </w:r>
            <w:r w:rsidR="00541691">
              <w:rPr>
                <w:noProof/>
                <w:szCs w:val="20"/>
              </w:rPr>
              <w:t xml:space="preserve"> would have most impact </w:t>
            </w:r>
            <w:r w:rsidRPr="00C52E75">
              <w:rPr>
                <w:noProof/>
                <w:szCs w:val="20"/>
              </w:rPr>
              <w:t xml:space="preserve">from an ease-of-doing-business perspective because it </w:t>
            </w:r>
            <w:r w:rsidR="00D8392C">
              <w:rPr>
                <w:noProof/>
                <w:szCs w:val="20"/>
              </w:rPr>
              <w:t xml:space="preserve">also addresses </w:t>
            </w:r>
            <w:r w:rsidRPr="00C52E75">
              <w:rPr>
                <w:noProof/>
                <w:szCs w:val="20"/>
              </w:rPr>
              <w:t>the exit phase. By allowing Member States to grant 28</w:t>
            </w:r>
            <w:r w:rsidRPr="009A384B">
              <w:rPr>
                <w:noProof/>
                <w:szCs w:val="20"/>
              </w:rPr>
              <w:t>th</w:t>
            </w:r>
            <w:r w:rsidRPr="00C52E75">
              <w:rPr>
                <w:noProof/>
                <w:szCs w:val="20"/>
              </w:rPr>
              <w:t xml:space="preserve"> regime companies access to public equity markets without requiring conversion into a national public company form, PO7c preserves the </w:t>
            </w:r>
            <w:r w:rsidR="00821D86">
              <w:rPr>
                <w:noProof/>
                <w:szCs w:val="20"/>
              </w:rPr>
              <w:t>‘</w:t>
            </w:r>
            <w:r w:rsidRPr="00C52E75">
              <w:rPr>
                <w:noProof/>
                <w:szCs w:val="20"/>
              </w:rPr>
              <w:t>EU</w:t>
            </w:r>
            <w:r w:rsidR="007B3453">
              <w:rPr>
                <w:noProof/>
                <w:szCs w:val="20"/>
              </w:rPr>
              <w:t xml:space="preserve"> brand</w:t>
            </w:r>
            <w:r w:rsidR="00821D86">
              <w:rPr>
                <w:noProof/>
                <w:szCs w:val="20"/>
              </w:rPr>
              <w:t>’</w:t>
            </w:r>
            <w:r w:rsidRPr="00C52E75">
              <w:rPr>
                <w:noProof/>
                <w:szCs w:val="20"/>
              </w:rPr>
              <w:t xml:space="preserve"> of the</w:t>
            </w:r>
            <w:r w:rsidR="00821D86">
              <w:rPr>
                <w:noProof/>
                <w:szCs w:val="20"/>
              </w:rPr>
              <w:t xml:space="preserve"> 28</w:t>
            </w:r>
            <w:r w:rsidR="00821D86" w:rsidRPr="00985A45">
              <w:rPr>
                <w:noProof/>
                <w:szCs w:val="20"/>
                <w:vertAlign w:val="superscript"/>
              </w:rPr>
              <w:t>th</w:t>
            </w:r>
            <w:r w:rsidR="00821D86">
              <w:rPr>
                <w:noProof/>
                <w:szCs w:val="20"/>
              </w:rPr>
              <w:t xml:space="preserve"> regime</w:t>
            </w:r>
            <w:r w:rsidRPr="00C52E75">
              <w:rPr>
                <w:noProof/>
                <w:szCs w:val="20"/>
              </w:rPr>
              <w:t xml:space="preserve"> company at the moment of </w:t>
            </w:r>
            <w:r w:rsidR="00961E34">
              <w:rPr>
                <w:noProof/>
                <w:szCs w:val="20"/>
              </w:rPr>
              <w:t xml:space="preserve">an </w:t>
            </w:r>
            <w:r w:rsidRPr="00C52E75">
              <w:rPr>
                <w:noProof/>
                <w:szCs w:val="20"/>
              </w:rPr>
              <w:t xml:space="preserve">IPO. While the incremental benefits of PO7c primarily affect a smaller subset of companies, they </w:t>
            </w:r>
            <w:r w:rsidR="00877531">
              <w:rPr>
                <w:noProof/>
                <w:szCs w:val="20"/>
              </w:rPr>
              <w:t>contribute</w:t>
            </w:r>
            <w:r w:rsidRPr="00C52E75">
              <w:rPr>
                <w:noProof/>
                <w:szCs w:val="20"/>
              </w:rPr>
              <w:t xml:space="preserve"> </w:t>
            </w:r>
            <w:r w:rsidR="00961E34">
              <w:rPr>
                <w:noProof/>
                <w:szCs w:val="20"/>
              </w:rPr>
              <w:t>to the</w:t>
            </w:r>
            <w:r w:rsidR="004467AB">
              <w:rPr>
                <w:noProof/>
                <w:szCs w:val="20"/>
              </w:rPr>
              <w:t xml:space="preserve"> ease of doing business as </w:t>
            </w:r>
            <w:r w:rsidR="008B3959">
              <w:rPr>
                <w:noProof/>
                <w:szCs w:val="20"/>
              </w:rPr>
              <w:t xml:space="preserve">PO7c </w:t>
            </w:r>
            <w:r w:rsidRPr="00C52E75">
              <w:rPr>
                <w:noProof/>
                <w:szCs w:val="20"/>
              </w:rPr>
              <w:t>reinforce</w:t>
            </w:r>
            <w:r w:rsidR="008B3959">
              <w:rPr>
                <w:noProof/>
                <w:szCs w:val="20"/>
              </w:rPr>
              <w:t>s</w:t>
            </w:r>
            <w:r w:rsidRPr="00C52E75">
              <w:rPr>
                <w:noProof/>
                <w:szCs w:val="20"/>
              </w:rPr>
              <w:t xml:space="preserve"> the credibility and attractiveness of the 28</w:t>
            </w:r>
            <w:r w:rsidRPr="009A384B">
              <w:rPr>
                <w:noProof/>
                <w:szCs w:val="20"/>
              </w:rPr>
              <w:t>th</w:t>
            </w:r>
            <w:r w:rsidRPr="00C52E75">
              <w:rPr>
                <w:noProof/>
                <w:szCs w:val="20"/>
              </w:rPr>
              <w:t xml:space="preserve"> regime as a </w:t>
            </w:r>
            <w:r w:rsidR="00EF69DB">
              <w:rPr>
                <w:noProof/>
                <w:szCs w:val="20"/>
              </w:rPr>
              <w:t>legal</w:t>
            </w:r>
            <w:r w:rsidRPr="00C52E75">
              <w:rPr>
                <w:noProof/>
                <w:szCs w:val="20"/>
              </w:rPr>
              <w:t xml:space="preserve"> framework</w:t>
            </w:r>
            <w:r w:rsidR="00877531">
              <w:rPr>
                <w:noProof/>
                <w:szCs w:val="20"/>
              </w:rPr>
              <w:t xml:space="preserve"> </w:t>
            </w:r>
            <w:r w:rsidR="00EF2786">
              <w:rPr>
                <w:noProof/>
                <w:szCs w:val="20"/>
              </w:rPr>
              <w:t xml:space="preserve">throughout the </w:t>
            </w:r>
            <w:r w:rsidR="00F765F4">
              <w:rPr>
                <w:noProof/>
                <w:szCs w:val="20"/>
              </w:rPr>
              <w:t xml:space="preserve">full </w:t>
            </w:r>
            <w:r w:rsidR="008B1C07">
              <w:rPr>
                <w:noProof/>
                <w:szCs w:val="20"/>
              </w:rPr>
              <w:t>lifecycle</w:t>
            </w:r>
            <w:r w:rsidR="00EF2786">
              <w:rPr>
                <w:noProof/>
                <w:szCs w:val="20"/>
              </w:rPr>
              <w:t xml:space="preserve"> of a company</w:t>
            </w:r>
            <w:r w:rsidRPr="00C52E75">
              <w:rPr>
                <w:noProof/>
                <w:szCs w:val="20"/>
              </w:rPr>
              <w:t xml:space="preserve">. </w:t>
            </w:r>
          </w:p>
        </w:tc>
      </w:tr>
      <w:tr w:rsidR="00DF5E69" w:rsidRPr="00DC6DD8" w14:paraId="5053DB88" w14:textId="77777777" w:rsidTr="00DF5E69">
        <w:trPr>
          <w:trHeight w:val="980"/>
        </w:trPr>
        <w:tc>
          <w:tcPr>
            <w:tcW w:w="2122" w:type="dxa"/>
            <w:vAlign w:val="center"/>
          </w:tcPr>
          <w:p w14:paraId="4DC48126" w14:textId="77777777" w:rsidR="00DF5E69" w:rsidRDefault="00DF5E69" w:rsidP="00DF5E69">
            <w:pPr>
              <w:rPr>
                <w:b/>
                <w:noProof/>
                <w:szCs w:val="20"/>
              </w:rPr>
            </w:pPr>
            <w:r w:rsidRPr="00154739">
              <w:rPr>
                <w:b/>
                <w:noProof/>
                <w:szCs w:val="20"/>
              </w:rPr>
              <w:t>Ease of attracting investment</w:t>
            </w:r>
          </w:p>
        </w:tc>
        <w:tc>
          <w:tcPr>
            <w:tcW w:w="1508" w:type="dxa"/>
          </w:tcPr>
          <w:p w14:paraId="069B7A7B" w14:textId="77777777" w:rsidR="00DF5E69" w:rsidRPr="00170FBB" w:rsidRDefault="00DF5E69" w:rsidP="00DF5E69">
            <w:pPr>
              <w:rPr>
                <w:noProof/>
                <w:sz w:val="18"/>
                <w:szCs w:val="18"/>
              </w:rPr>
            </w:pPr>
            <w:r w:rsidRPr="00170FBB">
              <w:rPr>
                <w:noProof/>
                <w:sz w:val="18"/>
                <w:szCs w:val="18"/>
              </w:rPr>
              <w:t>Score 0-5</w:t>
            </w:r>
          </w:p>
          <w:p w14:paraId="15B674D6" w14:textId="77777777" w:rsidR="00DF5E69" w:rsidRPr="00170FBB" w:rsidRDefault="00DF5E69" w:rsidP="00DF5E69">
            <w:pPr>
              <w:rPr>
                <w:noProof/>
                <w:sz w:val="18"/>
                <w:szCs w:val="18"/>
              </w:rPr>
            </w:pPr>
          </w:p>
          <w:p w14:paraId="13ACF968" w14:textId="77777777" w:rsidR="00DF5E69" w:rsidRPr="00170FBB" w:rsidRDefault="00DF5E69" w:rsidP="00DF5E69">
            <w:pPr>
              <w:rPr>
                <w:noProof/>
                <w:sz w:val="18"/>
                <w:szCs w:val="18"/>
              </w:rPr>
            </w:pPr>
          </w:p>
        </w:tc>
        <w:tc>
          <w:tcPr>
            <w:tcW w:w="1042" w:type="dxa"/>
          </w:tcPr>
          <w:p w14:paraId="6DE8BF14" w14:textId="4001FC7F" w:rsidR="00DF5E69" w:rsidRPr="009016FE" w:rsidRDefault="00051CF1" w:rsidP="003D4E3F">
            <w:pPr>
              <w:jc w:val="center"/>
              <w:rPr>
                <w:noProof/>
                <w:szCs w:val="20"/>
              </w:rPr>
            </w:pPr>
            <w:r w:rsidRPr="009016FE">
              <w:rPr>
                <w:noProof/>
                <w:szCs w:val="20"/>
              </w:rPr>
              <w:t>2</w:t>
            </w:r>
          </w:p>
        </w:tc>
        <w:tc>
          <w:tcPr>
            <w:tcW w:w="996" w:type="dxa"/>
          </w:tcPr>
          <w:p w14:paraId="14F75A3B" w14:textId="3F0BCB7C" w:rsidR="00DF5E69" w:rsidRPr="009016FE" w:rsidRDefault="00F314D4" w:rsidP="003D4E3F">
            <w:pPr>
              <w:jc w:val="center"/>
              <w:rPr>
                <w:noProof/>
                <w:szCs w:val="20"/>
              </w:rPr>
            </w:pPr>
            <w:r w:rsidRPr="009016FE">
              <w:rPr>
                <w:noProof/>
                <w:szCs w:val="20"/>
              </w:rPr>
              <w:t>3</w:t>
            </w:r>
          </w:p>
        </w:tc>
        <w:tc>
          <w:tcPr>
            <w:tcW w:w="994" w:type="dxa"/>
          </w:tcPr>
          <w:p w14:paraId="704D3590" w14:textId="27ACF0A0" w:rsidR="00DF5E69" w:rsidRPr="009016FE" w:rsidRDefault="003C2BFC" w:rsidP="003D4E3F">
            <w:pPr>
              <w:jc w:val="center"/>
              <w:rPr>
                <w:noProof/>
                <w:szCs w:val="20"/>
              </w:rPr>
            </w:pPr>
            <w:r w:rsidRPr="009016FE">
              <w:rPr>
                <w:noProof/>
                <w:szCs w:val="20"/>
              </w:rPr>
              <w:t>4</w:t>
            </w:r>
          </w:p>
        </w:tc>
        <w:tc>
          <w:tcPr>
            <w:tcW w:w="7508" w:type="dxa"/>
          </w:tcPr>
          <w:p w14:paraId="5C11C3C2" w14:textId="0F4C61A6" w:rsidR="003A3830" w:rsidRPr="003A3830" w:rsidRDefault="003A3830" w:rsidP="003A3830">
            <w:pPr>
              <w:jc w:val="both"/>
              <w:rPr>
                <w:noProof/>
                <w:szCs w:val="20"/>
              </w:rPr>
            </w:pPr>
            <w:r w:rsidRPr="003A3830">
              <w:rPr>
                <w:noProof/>
                <w:szCs w:val="20"/>
              </w:rPr>
              <w:t>Policy Option 7a delivers a positive efficiency effect on investment attractiveness</w:t>
            </w:r>
            <w:r w:rsidR="006A0B2E">
              <w:rPr>
                <w:noProof/>
                <w:szCs w:val="20"/>
              </w:rPr>
              <w:t xml:space="preserve"> as b</w:t>
            </w:r>
            <w:r w:rsidRPr="003A3830">
              <w:rPr>
                <w:noProof/>
                <w:szCs w:val="20"/>
              </w:rPr>
              <w:t xml:space="preserve">y enabling fully digital share transfers, </w:t>
            </w:r>
            <w:r w:rsidR="006A0B2E">
              <w:rPr>
                <w:noProof/>
                <w:szCs w:val="20"/>
              </w:rPr>
              <w:t xml:space="preserve">it </w:t>
            </w:r>
            <w:r w:rsidRPr="003A3830">
              <w:rPr>
                <w:noProof/>
                <w:szCs w:val="20"/>
              </w:rPr>
              <w:t xml:space="preserve">reduces procedural friction and execution delays </w:t>
            </w:r>
            <w:r w:rsidR="0061009D">
              <w:rPr>
                <w:noProof/>
                <w:szCs w:val="20"/>
              </w:rPr>
              <w:t xml:space="preserve">in </w:t>
            </w:r>
            <w:r w:rsidRPr="003A3830">
              <w:rPr>
                <w:noProof/>
                <w:szCs w:val="20"/>
              </w:rPr>
              <w:t xml:space="preserve">investor entry and exit, particularly cross-border. Evidence from the </w:t>
            </w:r>
            <w:r w:rsidR="006A0B2E">
              <w:rPr>
                <w:noProof/>
                <w:szCs w:val="20"/>
              </w:rPr>
              <w:t>public consultation</w:t>
            </w:r>
            <w:r w:rsidRPr="003A3830">
              <w:rPr>
                <w:noProof/>
                <w:szCs w:val="20"/>
              </w:rPr>
              <w:t xml:space="preserve"> and targeted workshops indicates that companies </w:t>
            </w:r>
            <w:r w:rsidR="00A61589">
              <w:rPr>
                <w:noProof/>
                <w:szCs w:val="20"/>
              </w:rPr>
              <w:t>see</w:t>
            </w:r>
            <w:r w:rsidRPr="003A3830">
              <w:rPr>
                <w:noProof/>
                <w:szCs w:val="20"/>
              </w:rPr>
              <w:t xml:space="preserve"> lengthy and formalistic share-transfer procedures as a source of investor</w:t>
            </w:r>
            <w:r w:rsidR="00E65E5E">
              <w:rPr>
                <w:noProof/>
                <w:szCs w:val="20"/>
              </w:rPr>
              <w:t>s’ reluctance</w:t>
            </w:r>
            <w:r w:rsidR="00700319">
              <w:rPr>
                <w:noProof/>
                <w:szCs w:val="20"/>
              </w:rPr>
              <w:t xml:space="preserve"> to invest in them</w:t>
            </w:r>
            <w:r w:rsidRPr="003A3830">
              <w:rPr>
                <w:noProof/>
                <w:szCs w:val="20"/>
              </w:rPr>
              <w:t xml:space="preserve">, especially </w:t>
            </w:r>
            <w:r w:rsidR="00700319">
              <w:rPr>
                <w:noProof/>
                <w:szCs w:val="20"/>
              </w:rPr>
              <w:t>with regard to</w:t>
            </w:r>
            <w:r w:rsidRPr="003A3830">
              <w:rPr>
                <w:noProof/>
                <w:szCs w:val="20"/>
              </w:rPr>
              <w:t xml:space="preserve"> minority stakes and follow-on investments. </w:t>
            </w:r>
          </w:p>
          <w:p w14:paraId="5D0CD4FD" w14:textId="1E1D0E82" w:rsidR="00870A56" w:rsidRPr="00032CAC" w:rsidRDefault="003A3830" w:rsidP="00870A56">
            <w:pPr>
              <w:jc w:val="both"/>
              <w:rPr>
                <w:noProof/>
                <w:lang w:val="en-US"/>
              </w:rPr>
            </w:pPr>
            <w:r>
              <w:rPr>
                <w:noProof/>
              </w:rPr>
              <w:t>Policy Option 7b generates a large</w:t>
            </w:r>
            <w:r w:rsidR="00640F3E">
              <w:rPr>
                <w:noProof/>
              </w:rPr>
              <w:t>r</w:t>
            </w:r>
            <w:r>
              <w:rPr>
                <w:noProof/>
              </w:rPr>
              <w:t xml:space="preserve"> efficiency gain </w:t>
            </w:r>
            <w:r w:rsidR="00BC4D91">
              <w:rPr>
                <w:noProof/>
              </w:rPr>
              <w:t>b</w:t>
            </w:r>
            <w:r>
              <w:rPr>
                <w:noProof/>
              </w:rPr>
              <w:t xml:space="preserve">y </w:t>
            </w:r>
            <w:r w:rsidR="00422146">
              <w:rPr>
                <w:noProof/>
              </w:rPr>
              <w:t xml:space="preserve">also </w:t>
            </w:r>
            <w:r>
              <w:rPr>
                <w:noProof/>
              </w:rPr>
              <w:t>removing the involve</w:t>
            </w:r>
            <w:r w:rsidR="00640F3E">
              <w:rPr>
                <w:noProof/>
              </w:rPr>
              <w:t>ment of</w:t>
            </w:r>
            <w:r>
              <w:rPr>
                <w:noProof/>
              </w:rPr>
              <w:t xml:space="preserve"> intermediaries in share transfers, </w:t>
            </w:r>
            <w:r w:rsidR="00700319">
              <w:rPr>
                <w:noProof/>
              </w:rPr>
              <w:t>which</w:t>
            </w:r>
            <w:r w:rsidR="00BC4D91">
              <w:rPr>
                <w:noProof/>
              </w:rPr>
              <w:t xml:space="preserve"> </w:t>
            </w:r>
            <w:r>
              <w:rPr>
                <w:noProof/>
              </w:rPr>
              <w:t xml:space="preserve">significantly reduces transaction costs, waiting times and legal uncertainty around investor exits and secondary transactions. </w:t>
            </w:r>
            <w:r w:rsidR="00640F3E">
              <w:rPr>
                <w:noProof/>
              </w:rPr>
              <w:t>A</w:t>
            </w:r>
            <w:r>
              <w:rPr>
                <w:noProof/>
              </w:rPr>
              <w:t xml:space="preserve"> substantial share of respondents </w:t>
            </w:r>
            <w:r w:rsidR="00640F3E">
              <w:rPr>
                <w:noProof/>
              </w:rPr>
              <w:t xml:space="preserve">to the public consultation </w:t>
            </w:r>
            <w:r>
              <w:rPr>
                <w:noProof/>
              </w:rPr>
              <w:t xml:space="preserve">considered notarial requirements and value-based fees </w:t>
            </w:r>
            <w:r w:rsidR="00700708">
              <w:rPr>
                <w:noProof/>
              </w:rPr>
              <w:t>as</w:t>
            </w:r>
            <w:r>
              <w:rPr>
                <w:noProof/>
              </w:rPr>
              <w:t xml:space="preserve"> obstacle</w:t>
            </w:r>
            <w:r w:rsidR="00700708">
              <w:rPr>
                <w:noProof/>
              </w:rPr>
              <w:t>s</w:t>
            </w:r>
            <w:r>
              <w:rPr>
                <w:noProof/>
              </w:rPr>
              <w:t xml:space="preserve"> to investment, particularly </w:t>
            </w:r>
            <w:r w:rsidR="00B074F4">
              <w:rPr>
                <w:noProof/>
              </w:rPr>
              <w:t>with regard to</w:t>
            </w:r>
            <w:r>
              <w:rPr>
                <w:noProof/>
              </w:rPr>
              <w:t xml:space="preserve"> </w:t>
            </w:r>
            <w:r w:rsidR="180E3E45">
              <w:rPr>
                <w:noProof/>
              </w:rPr>
              <w:t>s</w:t>
            </w:r>
            <w:r w:rsidR="46754506">
              <w:rPr>
                <w:noProof/>
              </w:rPr>
              <w:t>tartup</w:t>
            </w:r>
            <w:r w:rsidR="180E3E45">
              <w:rPr>
                <w:noProof/>
              </w:rPr>
              <w:t>s</w:t>
            </w:r>
            <w:r>
              <w:rPr>
                <w:noProof/>
              </w:rPr>
              <w:t xml:space="preserve"> and </w:t>
            </w:r>
            <w:r w:rsidR="180E3E45">
              <w:rPr>
                <w:noProof/>
              </w:rPr>
              <w:t>s</w:t>
            </w:r>
            <w:r w:rsidR="28889648">
              <w:rPr>
                <w:noProof/>
              </w:rPr>
              <w:t>caleup</w:t>
            </w:r>
            <w:r w:rsidR="180E3E45">
              <w:rPr>
                <w:noProof/>
              </w:rPr>
              <w:t>s</w:t>
            </w:r>
            <w:r>
              <w:rPr>
                <w:noProof/>
              </w:rPr>
              <w:t xml:space="preserve"> with frequent ownership changes. Workshops with founders and </w:t>
            </w:r>
            <w:r w:rsidR="180E3E45">
              <w:rPr>
                <w:noProof/>
              </w:rPr>
              <w:t>s</w:t>
            </w:r>
            <w:r w:rsidR="28889648">
              <w:rPr>
                <w:noProof/>
              </w:rPr>
              <w:t>caleup</w:t>
            </w:r>
            <w:r w:rsidR="180E3E45">
              <w:rPr>
                <w:noProof/>
              </w:rPr>
              <w:t>s</w:t>
            </w:r>
            <w:r>
              <w:rPr>
                <w:noProof/>
              </w:rPr>
              <w:t xml:space="preserve"> </w:t>
            </w:r>
            <w:r w:rsidR="0034777D">
              <w:rPr>
                <w:noProof/>
              </w:rPr>
              <w:t xml:space="preserve">also </w:t>
            </w:r>
            <w:r>
              <w:rPr>
                <w:noProof/>
              </w:rPr>
              <w:t>confirmed that rigid exit mechanics negatively affect negotiations with investors. Policy Option 7c</w:t>
            </w:r>
            <w:r w:rsidR="0056732A">
              <w:rPr>
                <w:noProof/>
              </w:rPr>
              <w:t xml:space="preserve"> </w:t>
            </w:r>
            <w:r>
              <w:rPr>
                <w:noProof/>
              </w:rPr>
              <w:t xml:space="preserve">is the most efficient </w:t>
            </w:r>
            <w:r w:rsidR="0056732A">
              <w:rPr>
                <w:noProof/>
              </w:rPr>
              <w:t xml:space="preserve">as it also </w:t>
            </w:r>
            <w:r>
              <w:rPr>
                <w:noProof/>
              </w:rPr>
              <w:t xml:space="preserve">addresses exit conditions by </w:t>
            </w:r>
            <w:r w:rsidR="00321749">
              <w:rPr>
                <w:noProof/>
              </w:rPr>
              <w:t xml:space="preserve">allowing </w:t>
            </w:r>
            <w:r w:rsidR="0056732A">
              <w:rPr>
                <w:noProof/>
              </w:rPr>
              <w:t xml:space="preserve">Member States to </w:t>
            </w:r>
            <w:r>
              <w:rPr>
                <w:noProof/>
              </w:rPr>
              <w:t>enabl</w:t>
            </w:r>
            <w:r w:rsidR="0056732A">
              <w:rPr>
                <w:noProof/>
              </w:rPr>
              <w:t>e</w:t>
            </w:r>
            <w:r>
              <w:rPr>
                <w:noProof/>
              </w:rPr>
              <w:t xml:space="preserve"> access to public equity markets without </w:t>
            </w:r>
            <w:r w:rsidR="0030219F">
              <w:rPr>
                <w:noProof/>
              </w:rPr>
              <w:t xml:space="preserve">a </w:t>
            </w:r>
            <w:r>
              <w:rPr>
                <w:noProof/>
              </w:rPr>
              <w:t xml:space="preserve">mandatory conversion into a national legal form. </w:t>
            </w:r>
            <w:r w:rsidR="00032CAC">
              <w:rPr>
                <w:noProof/>
              </w:rPr>
              <w:t>Participants</w:t>
            </w:r>
            <w:r w:rsidR="00540113">
              <w:rPr>
                <w:noProof/>
              </w:rPr>
              <w:t xml:space="preserve"> in workshops confirmed that forced conversion into national public company forms adds legal complexity and weakens legal continuity at the point of exit, even if conversion costs themselves are relatively small compared to overall IPO costs. </w:t>
            </w:r>
          </w:p>
        </w:tc>
      </w:tr>
      <w:tr w:rsidR="00DF5E69" w:rsidRPr="00DC6DD8" w14:paraId="539E23EE" w14:textId="77777777" w:rsidTr="00DF5E69">
        <w:tc>
          <w:tcPr>
            <w:tcW w:w="2122" w:type="dxa"/>
            <w:vAlign w:val="center"/>
          </w:tcPr>
          <w:p w14:paraId="3C19C048" w14:textId="77777777" w:rsidR="00DF5E69" w:rsidRPr="00DC6DD8" w:rsidRDefault="00DF5E69" w:rsidP="00DF5E69">
            <w:pPr>
              <w:rPr>
                <w:b/>
                <w:noProof/>
                <w:szCs w:val="20"/>
              </w:rPr>
            </w:pPr>
            <w:r w:rsidRPr="00154739">
              <w:rPr>
                <w:b/>
                <w:noProof/>
                <w:szCs w:val="20"/>
              </w:rPr>
              <w:t>Administrative burden reduction (benefit)</w:t>
            </w:r>
          </w:p>
        </w:tc>
        <w:tc>
          <w:tcPr>
            <w:tcW w:w="1508" w:type="dxa"/>
          </w:tcPr>
          <w:p w14:paraId="42F255C2" w14:textId="77777777" w:rsidR="00DF5E69" w:rsidRPr="00170FBB" w:rsidRDefault="00DF5E69" w:rsidP="00DF5E69">
            <w:pPr>
              <w:rPr>
                <w:noProof/>
                <w:sz w:val="18"/>
                <w:szCs w:val="18"/>
              </w:rPr>
            </w:pPr>
            <w:r w:rsidRPr="00170FBB">
              <w:rPr>
                <w:noProof/>
                <w:sz w:val="18"/>
                <w:szCs w:val="18"/>
              </w:rPr>
              <w:t>Standard Cost Model calculations or n/a</w:t>
            </w:r>
          </w:p>
        </w:tc>
        <w:tc>
          <w:tcPr>
            <w:tcW w:w="1042" w:type="dxa"/>
          </w:tcPr>
          <w:p w14:paraId="65D0D7E1" w14:textId="18556243" w:rsidR="00DF5E69" w:rsidRPr="00654440" w:rsidRDefault="007928F1" w:rsidP="00654440">
            <w:pPr>
              <w:jc w:val="center"/>
              <w:rPr>
                <w:noProof/>
                <w:szCs w:val="20"/>
              </w:rPr>
            </w:pPr>
            <w:r w:rsidRPr="00654440">
              <w:rPr>
                <w:noProof/>
                <w:szCs w:val="20"/>
              </w:rPr>
              <w:t>3</w:t>
            </w:r>
          </w:p>
        </w:tc>
        <w:tc>
          <w:tcPr>
            <w:tcW w:w="996" w:type="dxa"/>
          </w:tcPr>
          <w:p w14:paraId="17F6BBDE" w14:textId="58C85443" w:rsidR="00DF5E69" w:rsidRPr="00654440" w:rsidRDefault="007928F1" w:rsidP="00654440">
            <w:pPr>
              <w:jc w:val="center"/>
              <w:rPr>
                <w:noProof/>
                <w:szCs w:val="20"/>
              </w:rPr>
            </w:pPr>
            <w:r w:rsidRPr="00654440">
              <w:rPr>
                <w:noProof/>
                <w:szCs w:val="20"/>
              </w:rPr>
              <w:t>4</w:t>
            </w:r>
          </w:p>
        </w:tc>
        <w:tc>
          <w:tcPr>
            <w:tcW w:w="994" w:type="dxa"/>
          </w:tcPr>
          <w:p w14:paraId="6F91E10D" w14:textId="4C0BFA5D" w:rsidR="00DF5E69" w:rsidRPr="00654440" w:rsidRDefault="00271863" w:rsidP="00654440">
            <w:pPr>
              <w:jc w:val="center"/>
              <w:rPr>
                <w:noProof/>
                <w:szCs w:val="20"/>
              </w:rPr>
            </w:pPr>
            <w:r w:rsidRPr="00654440">
              <w:rPr>
                <w:noProof/>
                <w:szCs w:val="20"/>
              </w:rPr>
              <w:t>4</w:t>
            </w:r>
          </w:p>
        </w:tc>
        <w:tc>
          <w:tcPr>
            <w:tcW w:w="7508" w:type="dxa"/>
          </w:tcPr>
          <w:p w14:paraId="0849C93F" w14:textId="5EBABEB9" w:rsidR="00B5103B" w:rsidRDefault="00B5103B" w:rsidP="00D33AF7">
            <w:pPr>
              <w:spacing w:before="0"/>
              <w:jc w:val="both"/>
              <w:rPr>
                <w:noProof/>
                <w:szCs w:val="20"/>
              </w:rPr>
            </w:pPr>
            <w:r w:rsidRPr="00D360D7">
              <w:rPr>
                <w:noProof/>
                <w:szCs w:val="20"/>
              </w:rPr>
              <w:t xml:space="preserve">Policy Option 7a </w:t>
            </w:r>
            <w:r>
              <w:rPr>
                <w:noProof/>
                <w:szCs w:val="20"/>
              </w:rPr>
              <w:t xml:space="preserve">already reduces administrative burden for </w:t>
            </w:r>
            <w:r w:rsidR="003764D3">
              <w:rPr>
                <w:noProof/>
                <w:szCs w:val="20"/>
              </w:rPr>
              <w:t xml:space="preserve">investors and </w:t>
            </w:r>
            <w:r>
              <w:rPr>
                <w:noProof/>
                <w:szCs w:val="20"/>
              </w:rPr>
              <w:t>companies by providing for f</w:t>
            </w:r>
            <w:r w:rsidRPr="00D360D7">
              <w:rPr>
                <w:noProof/>
                <w:szCs w:val="20"/>
              </w:rPr>
              <w:t>ully digital share transfers</w:t>
            </w:r>
            <w:r>
              <w:rPr>
                <w:noProof/>
                <w:szCs w:val="20"/>
              </w:rPr>
              <w:t xml:space="preserve">, which </w:t>
            </w:r>
            <w:r w:rsidRPr="00D360D7">
              <w:rPr>
                <w:noProof/>
                <w:szCs w:val="20"/>
              </w:rPr>
              <w:t>reduce</w:t>
            </w:r>
            <w:r w:rsidR="00043E37">
              <w:rPr>
                <w:noProof/>
                <w:szCs w:val="20"/>
              </w:rPr>
              <w:t>s</w:t>
            </w:r>
            <w:r w:rsidRPr="00D360D7">
              <w:rPr>
                <w:noProof/>
                <w:szCs w:val="20"/>
              </w:rPr>
              <w:t xml:space="preserve"> time spent, travel, and ancillary costs linked to in-person formalities, which </w:t>
            </w:r>
            <w:r>
              <w:rPr>
                <w:noProof/>
                <w:szCs w:val="20"/>
              </w:rPr>
              <w:t xml:space="preserve">in turn were identified by </w:t>
            </w:r>
            <w:r w:rsidRPr="00D360D7">
              <w:rPr>
                <w:noProof/>
                <w:szCs w:val="20"/>
              </w:rPr>
              <w:t>stakeholders as a frequent source of friction.</w:t>
            </w:r>
            <w:r>
              <w:rPr>
                <w:noProof/>
                <w:szCs w:val="20"/>
              </w:rPr>
              <w:t xml:space="preserve"> </w:t>
            </w:r>
          </w:p>
          <w:p w14:paraId="43EA2412" w14:textId="3314A103" w:rsidR="00D360D7" w:rsidRPr="00D360D7" w:rsidRDefault="00726D99" w:rsidP="00D360D7">
            <w:pPr>
              <w:jc w:val="both"/>
              <w:rPr>
                <w:noProof/>
              </w:rPr>
            </w:pPr>
            <w:r>
              <w:rPr>
                <w:noProof/>
              </w:rPr>
              <w:t xml:space="preserve">However, it is </w:t>
            </w:r>
            <w:r w:rsidR="00D33AF7">
              <w:rPr>
                <w:noProof/>
              </w:rPr>
              <w:t>PO</w:t>
            </w:r>
            <w:r w:rsidR="00D360D7">
              <w:rPr>
                <w:noProof/>
              </w:rPr>
              <w:t xml:space="preserve"> 7b </w:t>
            </w:r>
            <w:r>
              <w:rPr>
                <w:noProof/>
              </w:rPr>
              <w:t xml:space="preserve">which </w:t>
            </w:r>
            <w:r w:rsidR="00D360D7">
              <w:rPr>
                <w:noProof/>
              </w:rPr>
              <w:t xml:space="preserve">delivers the strongest reduction in administrative burden for </w:t>
            </w:r>
            <w:r w:rsidR="00152A29">
              <w:rPr>
                <w:noProof/>
              </w:rPr>
              <w:t>investors</w:t>
            </w:r>
            <w:r w:rsidR="00F0683F">
              <w:rPr>
                <w:noProof/>
              </w:rPr>
              <w:t xml:space="preserve"> and </w:t>
            </w:r>
            <w:r w:rsidR="00D360D7">
              <w:rPr>
                <w:noProof/>
              </w:rPr>
              <w:t xml:space="preserve">companies, as it </w:t>
            </w:r>
            <w:r>
              <w:rPr>
                <w:noProof/>
              </w:rPr>
              <w:t>also</w:t>
            </w:r>
            <w:r w:rsidR="00D360D7">
              <w:rPr>
                <w:noProof/>
              </w:rPr>
              <w:t xml:space="preserve"> removes </w:t>
            </w:r>
            <w:r w:rsidR="00305BFA">
              <w:rPr>
                <w:noProof/>
              </w:rPr>
              <w:t xml:space="preserve">one of </w:t>
            </w:r>
            <w:r w:rsidR="00D360D7">
              <w:rPr>
                <w:noProof/>
              </w:rPr>
              <w:t xml:space="preserve">the main compliance cost drivers </w:t>
            </w:r>
            <w:r w:rsidR="00D4621D">
              <w:rPr>
                <w:noProof/>
              </w:rPr>
              <w:t xml:space="preserve">for </w:t>
            </w:r>
            <w:r w:rsidR="00D360D7">
              <w:rPr>
                <w:noProof/>
              </w:rPr>
              <w:t xml:space="preserve">share transfers. Evidence from the </w:t>
            </w:r>
            <w:r w:rsidR="00D4621D">
              <w:rPr>
                <w:noProof/>
              </w:rPr>
              <w:t>p</w:t>
            </w:r>
            <w:r w:rsidR="00D360D7">
              <w:rPr>
                <w:noProof/>
              </w:rPr>
              <w:t xml:space="preserve">ublic </w:t>
            </w:r>
            <w:r w:rsidR="00D4621D">
              <w:rPr>
                <w:noProof/>
              </w:rPr>
              <w:t>c</w:t>
            </w:r>
            <w:r w:rsidR="00D360D7">
              <w:rPr>
                <w:noProof/>
              </w:rPr>
              <w:t xml:space="preserve">onsultation and stakeholder workshops indicates that mandatory intermediary involvement (notaries or equivalent </w:t>
            </w:r>
            <w:r w:rsidR="002B157F">
              <w:rPr>
                <w:noProof/>
              </w:rPr>
              <w:t>intermediaries</w:t>
            </w:r>
            <w:r w:rsidR="00D360D7">
              <w:rPr>
                <w:noProof/>
              </w:rPr>
              <w:t xml:space="preserve">) constitutes a significant source of administrative burden, particularly for SMEs and </w:t>
            </w:r>
            <w:r w:rsidR="290E6F5E">
              <w:rPr>
                <w:noProof/>
              </w:rPr>
              <w:t>s</w:t>
            </w:r>
            <w:r w:rsidR="37FEBF57">
              <w:rPr>
                <w:noProof/>
              </w:rPr>
              <w:t>tartup</w:t>
            </w:r>
            <w:r w:rsidR="290E6F5E">
              <w:rPr>
                <w:noProof/>
              </w:rPr>
              <w:t>s</w:t>
            </w:r>
            <w:r w:rsidR="00D360D7">
              <w:rPr>
                <w:noProof/>
              </w:rPr>
              <w:t xml:space="preserve"> operating cross-border. </w:t>
            </w:r>
          </w:p>
          <w:p w14:paraId="4A73B2C6" w14:textId="0669545A" w:rsidR="00951391" w:rsidRPr="00CF3BF5" w:rsidRDefault="00D360D7" w:rsidP="0012466F">
            <w:pPr>
              <w:jc w:val="both"/>
              <w:rPr>
                <w:b/>
                <w:noProof/>
              </w:rPr>
            </w:pPr>
            <w:r>
              <w:rPr>
                <w:noProof/>
              </w:rPr>
              <w:t>P</w:t>
            </w:r>
            <w:r w:rsidR="00D33AF7">
              <w:rPr>
                <w:noProof/>
              </w:rPr>
              <w:t>O</w:t>
            </w:r>
            <w:r>
              <w:rPr>
                <w:noProof/>
              </w:rPr>
              <w:t xml:space="preserve"> 7c</w:t>
            </w:r>
            <w:r w:rsidR="00E27485">
              <w:rPr>
                <w:noProof/>
              </w:rPr>
              <w:t>,</w:t>
            </w:r>
            <w:r>
              <w:rPr>
                <w:noProof/>
              </w:rPr>
              <w:t xml:space="preserve"> </w:t>
            </w:r>
            <w:r w:rsidR="00E27485">
              <w:rPr>
                <w:noProof/>
              </w:rPr>
              <w:t>b</w:t>
            </w:r>
            <w:r>
              <w:rPr>
                <w:noProof/>
              </w:rPr>
              <w:t xml:space="preserve">y </w:t>
            </w:r>
            <w:r w:rsidR="0066136B">
              <w:rPr>
                <w:noProof/>
              </w:rPr>
              <w:t>allowing</w:t>
            </w:r>
            <w:r w:rsidR="00250053">
              <w:rPr>
                <w:noProof/>
              </w:rPr>
              <w:t xml:space="preserve"> Member States to</w:t>
            </w:r>
            <w:r>
              <w:rPr>
                <w:noProof/>
              </w:rPr>
              <w:t xml:space="preserve"> </w:t>
            </w:r>
            <w:r w:rsidR="00D379E6">
              <w:rPr>
                <w:noProof/>
              </w:rPr>
              <w:t>grant</w:t>
            </w:r>
            <w:r>
              <w:rPr>
                <w:noProof/>
              </w:rPr>
              <w:t xml:space="preserve"> 28</w:t>
            </w:r>
            <w:r w:rsidRPr="009A384B">
              <w:rPr>
                <w:noProof/>
              </w:rPr>
              <w:t>th</w:t>
            </w:r>
            <w:r>
              <w:rPr>
                <w:noProof/>
              </w:rPr>
              <w:t xml:space="preserve"> regime companies access </w:t>
            </w:r>
            <w:r w:rsidR="00D379E6">
              <w:rPr>
                <w:noProof/>
              </w:rPr>
              <w:t>to</w:t>
            </w:r>
            <w:r>
              <w:rPr>
                <w:noProof/>
              </w:rPr>
              <w:t xml:space="preserve"> public equity markets, </w:t>
            </w:r>
            <w:r w:rsidR="00E07A2B">
              <w:rPr>
                <w:noProof/>
              </w:rPr>
              <w:t xml:space="preserve">helps companies </w:t>
            </w:r>
            <w:r>
              <w:rPr>
                <w:noProof/>
              </w:rPr>
              <w:t xml:space="preserve">avoid </w:t>
            </w:r>
            <w:r w:rsidR="00A973C5">
              <w:rPr>
                <w:noProof/>
              </w:rPr>
              <w:t xml:space="preserve">the </w:t>
            </w:r>
            <w:r w:rsidR="00F525E5">
              <w:rPr>
                <w:noProof/>
              </w:rPr>
              <w:t>need for</w:t>
            </w:r>
            <w:r>
              <w:rPr>
                <w:noProof/>
              </w:rPr>
              <w:t xml:space="preserve"> legal </w:t>
            </w:r>
            <w:r w:rsidR="002C3A0D">
              <w:rPr>
                <w:noProof/>
              </w:rPr>
              <w:t>conversion</w:t>
            </w:r>
            <w:r>
              <w:rPr>
                <w:noProof/>
              </w:rPr>
              <w:t xml:space="preserve">. </w:t>
            </w:r>
            <w:r w:rsidR="00E07A2B">
              <w:rPr>
                <w:noProof/>
              </w:rPr>
              <w:t>S</w:t>
            </w:r>
            <w:r>
              <w:rPr>
                <w:noProof/>
              </w:rPr>
              <w:t xml:space="preserve">takeholder feedback confirms </w:t>
            </w:r>
            <w:r w:rsidR="00E129F0">
              <w:rPr>
                <w:noProof/>
              </w:rPr>
              <w:t xml:space="preserve">that </w:t>
            </w:r>
            <w:r w:rsidR="00BA5F4A">
              <w:rPr>
                <w:noProof/>
              </w:rPr>
              <w:t>this presents an</w:t>
            </w:r>
            <w:r w:rsidR="00E129F0">
              <w:rPr>
                <w:noProof/>
              </w:rPr>
              <w:t xml:space="preserve"> important </w:t>
            </w:r>
            <w:r w:rsidR="00BA5F4A">
              <w:rPr>
                <w:noProof/>
              </w:rPr>
              <w:t>benefit</w:t>
            </w:r>
            <w:r w:rsidR="00E129F0">
              <w:rPr>
                <w:noProof/>
              </w:rPr>
              <w:t xml:space="preserve"> </w:t>
            </w:r>
            <w:r w:rsidR="00FE0EB5">
              <w:rPr>
                <w:noProof/>
              </w:rPr>
              <w:t>to</w:t>
            </w:r>
            <w:r>
              <w:rPr>
                <w:noProof/>
              </w:rPr>
              <w:t xml:space="preserve"> </w:t>
            </w:r>
            <w:r w:rsidR="00B94B9C">
              <w:rPr>
                <w:noProof/>
              </w:rPr>
              <w:t>late-stage</w:t>
            </w:r>
            <w:r>
              <w:rPr>
                <w:noProof/>
              </w:rPr>
              <w:t xml:space="preserve"> </w:t>
            </w:r>
            <w:r w:rsidR="290E6F5E">
              <w:rPr>
                <w:noProof/>
              </w:rPr>
              <w:t>s</w:t>
            </w:r>
            <w:r w:rsidR="735AFE6E">
              <w:rPr>
                <w:noProof/>
              </w:rPr>
              <w:t>caleup</w:t>
            </w:r>
            <w:r w:rsidR="290E6F5E">
              <w:rPr>
                <w:noProof/>
              </w:rPr>
              <w:t>s</w:t>
            </w:r>
            <w:r>
              <w:rPr>
                <w:noProof/>
              </w:rPr>
              <w:t xml:space="preserve"> and </w:t>
            </w:r>
            <w:r w:rsidR="00B94B9C">
              <w:rPr>
                <w:noProof/>
              </w:rPr>
              <w:t xml:space="preserve">other </w:t>
            </w:r>
            <w:r>
              <w:rPr>
                <w:noProof/>
              </w:rPr>
              <w:t>IPO-ready companies</w:t>
            </w:r>
            <w:r w:rsidR="00BA5F4A">
              <w:rPr>
                <w:noProof/>
              </w:rPr>
              <w:t xml:space="preserve">, despite the costs of legal conversion being </w:t>
            </w:r>
            <w:r w:rsidR="00770BFD">
              <w:rPr>
                <w:noProof/>
              </w:rPr>
              <w:t xml:space="preserve">low when compared with </w:t>
            </w:r>
            <w:r w:rsidR="004D68D8">
              <w:rPr>
                <w:noProof/>
              </w:rPr>
              <w:t>the</w:t>
            </w:r>
            <w:r w:rsidR="00770BFD">
              <w:rPr>
                <w:noProof/>
              </w:rPr>
              <w:t xml:space="preserve"> overall costs of </w:t>
            </w:r>
            <w:r w:rsidR="004D68D8">
              <w:rPr>
                <w:noProof/>
              </w:rPr>
              <w:t>going public</w:t>
            </w:r>
            <w:r w:rsidR="00B94B9C">
              <w:rPr>
                <w:noProof/>
              </w:rPr>
              <w:t>.</w:t>
            </w:r>
            <w:r w:rsidR="00E129F0">
              <w:rPr>
                <w:noProof/>
              </w:rPr>
              <w:t xml:space="preserve"> </w:t>
            </w:r>
            <w:r w:rsidR="004B4C4C">
              <w:rPr>
                <w:noProof/>
              </w:rPr>
              <w:t>H</w:t>
            </w:r>
            <w:r w:rsidR="00E129F0">
              <w:rPr>
                <w:noProof/>
              </w:rPr>
              <w:t xml:space="preserve">owever, </w:t>
            </w:r>
            <w:r w:rsidR="00173610">
              <w:rPr>
                <w:noProof/>
              </w:rPr>
              <w:t>no</w:t>
            </w:r>
            <w:r w:rsidR="0068574F">
              <w:rPr>
                <w:noProof/>
              </w:rPr>
              <w:t xml:space="preserve"> signifi</w:t>
            </w:r>
            <w:r w:rsidR="00B76D7B">
              <w:rPr>
                <w:noProof/>
              </w:rPr>
              <w:t>cant</w:t>
            </w:r>
            <w:r w:rsidR="00173610">
              <w:rPr>
                <w:noProof/>
              </w:rPr>
              <w:t xml:space="preserve"> additional reduction in administrative costs is assumed here given that th</w:t>
            </w:r>
            <w:r w:rsidR="004D68D8">
              <w:rPr>
                <w:noProof/>
              </w:rPr>
              <w:t>is</w:t>
            </w:r>
            <w:r w:rsidR="00173610">
              <w:rPr>
                <w:noProof/>
              </w:rPr>
              <w:t xml:space="preserve"> benefit </w:t>
            </w:r>
            <w:r w:rsidR="004D68D8">
              <w:rPr>
                <w:noProof/>
              </w:rPr>
              <w:t xml:space="preserve">would </w:t>
            </w:r>
            <w:r w:rsidR="00173610">
              <w:rPr>
                <w:noProof/>
              </w:rPr>
              <w:t xml:space="preserve">arise </w:t>
            </w:r>
            <w:r w:rsidR="004D68D8">
              <w:rPr>
                <w:noProof/>
              </w:rPr>
              <w:t>only for the small group of IPO-ready companies</w:t>
            </w:r>
            <w:r w:rsidR="00173610">
              <w:rPr>
                <w:noProof/>
              </w:rPr>
              <w:t xml:space="preserve"> and </w:t>
            </w:r>
            <w:r w:rsidR="004D68D8">
              <w:rPr>
                <w:noProof/>
              </w:rPr>
              <w:t>is</w:t>
            </w:r>
            <w:r w:rsidR="00173610">
              <w:rPr>
                <w:noProof/>
              </w:rPr>
              <w:t xml:space="preserve"> not easily monetis</w:t>
            </w:r>
            <w:r w:rsidR="00086DD9">
              <w:rPr>
                <w:noProof/>
              </w:rPr>
              <w:t>able.</w:t>
            </w:r>
            <w:r>
              <w:rPr>
                <w:noProof/>
              </w:rPr>
              <w:t xml:space="preserve"> </w:t>
            </w:r>
          </w:p>
        </w:tc>
      </w:tr>
      <w:tr w:rsidR="00DF5E69" w:rsidRPr="00DC6DD8" w14:paraId="291C0116" w14:textId="77777777" w:rsidTr="00DF5E69">
        <w:tc>
          <w:tcPr>
            <w:tcW w:w="2122" w:type="dxa"/>
            <w:vAlign w:val="center"/>
          </w:tcPr>
          <w:p w14:paraId="74D53EAB" w14:textId="77777777" w:rsidR="00DF5E69" w:rsidRPr="00154739" w:rsidRDefault="00DF5E69" w:rsidP="00DF5E69">
            <w:pPr>
              <w:rPr>
                <w:b/>
                <w:noProof/>
                <w:szCs w:val="20"/>
              </w:rPr>
            </w:pPr>
            <w:r w:rsidRPr="00154739">
              <w:rPr>
                <w:b/>
                <w:noProof/>
                <w:szCs w:val="20"/>
              </w:rPr>
              <w:t>Administrative and adjustment costs</w:t>
            </w:r>
          </w:p>
        </w:tc>
        <w:tc>
          <w:tcPr>
            <w:tcW w:w="1508" w:type="dxa"/>
          </w:tcPr>
          <w:p w14:paraId="33D224D3" w14:textId="41DD90B4" w:rsidR="00DF5E69" w:rsidRPr="00170FBB" w:rsidRDefault="00DF5E69" w:rsidP="00DF5E69">
            <w:pPr>
              <w:rPr>
                <w:noProof/>
                <w:sz w:val="18"/>
                <w:szCs w:val="18"/>
              </w:rPr>
            </w:pPr>
            <w:r w:rsidRPr="00170FBB">
              <w:rPr>
                <w:noProof/>
                <w:sz w:val="18"/>
                <w:szCs w:val="18"/>
              </w:rPr>
              <w:t>Qualitative score 0-5</w:t>
            </w:r>
          </w:p>
        </w:tc>
        <w:tc>
          <w:tcPr>
            <w:tcW w:w="1042" w:type="dxa"/>
          </w:tcPr>
          <w:p w14:paraId="1FDB927D" w14:textId="75AD43D7" w:rsidR="00DF5E69" w:rsidRPr="00237C9B" w:rsidRDefault="00FD34EC" w:rsidP="00237C9B">
            <w:pPr>
              <w:jc w:val="center"/>
              <w:rPr>
                <w:noProof/>
                <w:szCs w:val="20"/>
              </w:rPr>
            </w:pPr>
            <w:r w:rsidRPr="00237C9B">
              <w:rPr>
                <w:noProof/>
                <w:szCs w:val="20"/>
              </w:rPr>
              <w:t>1</w:t>
            </w:r>
          </w:p>
        </w:tc>
        <w:tc>
          <w:tcPr>
            <w:tcW w:w="996" w:type="dxa"/>
          </w:tcPr>
          <w:p w14:paraId="458F8519" w14:textId="02D75ED8" w:rsidR="00DF5E69" w:rsidRPr="00237C9B" w:rsidRDefault="006C4FA8" w:rsidP="00237C9B">
            <w:pPr>
              <w:jc w:val="center"/>
              <w:rPr>
                <w:noProof/>
                <w:szCs w:val="20"/>
              </w:rPr>
            </w:pPr>
            <w:r w:rsidRPr="00237C9B">
              <w:rPr>
                <w:noProof/>
                <w:szCs w:val="20"/>
              </w:rPr>
              <w:t>1</w:t>
            </w:r>
          </w:p>
        </w:tc>
        <w:tc>
          <w:tcPr>
            <w:tcW w:w="994" w:type="dxa"/>
          </w:tcPr>
          <w:p w14:paraId="2DF1F90F" w14:textId="161FB2F0" w:rsidR="00DF5E69" w:rsidRPr="00237C9B" w:rsidRDefault="006C4FA8" w:rsidP="00237C9B">
            <w:pPr>
              <w:jc w:val="center"/>
              <w:rPr>
                <w:noProof/>
                <w:szCs w:val="20"/>
              </w:rPr>
            </w:pPr>
            <w:r w:rsidRPr="00237C9B">
              <w:rPr>
                <w:noProof/>
                <w:szCs w:val="20"/>
              </w:rPr>
              <w:t>1</w:t>
            </w:r>
          </w:p>
        </w:tc>
        <w:tc>
          <w:tcPr>
            <w:tcW w:w="7508" w:type="dxa"/>
          </w:tcPr>
          <w:p w14:paraId="6B582E76" w14:textId="3AAA9DAC" w:rsidR="00713E6C" w:rsidRPr="00713E6C" w:rsidRDefault="00713E6C" w:rsidP="00713E6C">
            <w:pPr>
              <w:jc w:val="both"/>
              <w:rPr>
                <w:noProof/>
                <w:szCs w:val="20"/>
                <w:lang w:val="en-IE"/>
              </w:rPr>
            </w:pPr>
            <w:r w:rsidRPr="00713E6C">
              <w:rPr>
                <w:noProof/>
                <w:szCs w:val="20"/>
                <w:lang w:val="en-IE"/>
              </w:rPr>
              <w:t xml:space="preserve">Policy Option 7a introduces limited adjustment costs linked to the move towards </w:t>
            </w:r>
            <w:r w:rsidR="006C08AD">
              <w:rPr>
                <w:noProof/>
                <w:szCs w:val="20"/>
                <w:lang w:val="en-IE"/>
              </w:rPr>
              <w:t xml:space="preserve">a </w:t>
            </w:r>
            <w:r w:rsidRPr="00713E6C">
              <w:rPr>
                <w:noProof/>
                <w:szCs w:val="20"/>
                <w:lang w:val="en-IE"/>
              </w:rPr>
              <w:t>fully digital execution of share transfers</w:t>
            </w:r>
            <w:r w:rsidR="00F9636D">
              <w:rPr>
                <w:noProof/>
                <w:szCs w:val="20"/>
                <w:lang w:val="en-IE"/>
              </w:rPr>
              <w:t xml:space="preserve"> and </w:t>
            </w:r>
            <w:r w:rsidRPr="00713E6C">
              <w:rPr>
                <w:noProof/>
                <w:szCs w:val="20"/>
                <w:lang w:val="en-IE"/>
              </w:rPr>
              <w:t xml:space="preserve">mainly </w:t>
            </w:r>
            <w:r w:rsidR="00F9636D">
              <w:rPr>
                <w:noProof/>
                <w:szCs w:val="20"/>
                <w:lang w:val="en-IE"/>
              </w:rPr>
              <w:t>due</w:t>
            </w:r>
            <w:r w:rsidRPr="00713E6C">
              <w:rPr>
                <w:noProof/>
                <w:szCs w:val="20"/>
                <w:lang w:val="en-IE"/>
              </w:rPr>
              <w:t xml:space="preserve"> to familiarisation with digital workflows, electronic identification or authentication tools. These costs are one-off</w:t>
            </w:r>
            <w:r w:rsidR="00F575FD">
              <w:rPr>
                <w:noProof/>
                <w:szCs w:val="20"/>
                <w:lang w:val="en-IE"/>
              </w:rPr>
              <w:t xml:space="preserve"> and small given the </w:t>
            </w:r>
            <w:r w:rsidR="00121F3F">
              <w:rPr>
                <w:noProof/>
                <w:szCs w:val="20"/>
                <w:lang w:val="en-IE"/>
              </w:rPr>
              <w:t xml:space="preserve">already </w:t>
            </w:r>
            <w:r w:rsidRPr="00713E6C">
              <w:rPr>
                <w:noProof/>
                <w:szCs w:val="20"/>
                <w:lang w:val="en-IE"/>
              </w:rPr>
              <w:t xml:space="preserve">ongoing digitalisation trends in many Member States. Importantly, PO7a does not introduce any new substantive compliance obligations for companies, nor does it require changes to governance structures or record-keeping rules. </w:t>
            </w:r>
          </w:p>
          <w:p w14:paraId="5B497EA7" w14:textId="0C455B65" w:rsidR="00713E6C" w:rsidRPr="00713E6C" w:rsidRDefault="00713E6C" w:rsidP="00713E6C">
            <w:pPr>
              <w:jc w:val="both"/>
              <w:rPr>
                <w:noProof/>
                <w:szCs w:val="20"/>
                <w:lang w:val="en-IE"/>
              </w:rPr>
            </w:pPr>
            <w:r w:rsidRPr="00713E6C">
              <w:rPr>
                <w:noProof/>
                <w:szCs w:val="20"/>
                <w:lang w:val="en-IE"/>
              </w:rPr>
              <w:t xml:space="preserve">While PO7b </w:t>
            </w:r>
            <w:r w:rsidR="00CD0CE5">
              <w:rPr>
                <w:noProof/>
                <w:szCs w:val="20"/>
                <w:lang w:val="en-IE"/>
              </w:rPr>
              <w:t xml:space="preserve">removes the </w:t>
            </w:r>
            <w:r w:rsidR="00CD0CE5" w:rsidRPr="00CD0CE5">
              <w:rPr>
                <w:noProof/>
                <w:szCs w:val="20"/>
              </w:rPr>
              <w:t xml:space="preserve">mandatory intermediary involvement </w:t>
            </w:r>
            <w:r w:rsidR="00CD0CE5">
              <w:rPr>
                <w:noProof/>
                <w:szCs w:val="20"/>
              </w:rPr>
              <w:t>and therefore,</w:t>
            </w:r>
            <w:r>
              <w:rPr>
                <w:noProof/>
                <w:szCs w:val="20"/>
              </w:rPr>
              <w:t xml:space="preserve"> </w:t>
            </w:r>
            <w:r w:rsidRPr="00713E6C">
              <w:rPr>
                <w:noProof/>
                <w:szCs w:val="20"/>
                <w:lang w:val="en-IE"/>
              </w:rPr>
              <w:t xml:space="preserve">reallocates responsibility for evidencing share ownership to companies, this does not constitute a new compliance obligation. </w:t>
            </w:r>
            <w:r w:rsidR="00493BEC">
              <w:rPr>
                <w:noProof/>
                <w:szCs w:val="20"/>
                <w:lang w:val="en-IE"/>
              </w:rPr>
              <w:t>Under PO7b</w:t>
            </w:r>
            <w:r w:rsidR="007C57D5" w:rsidRPr="007C57D5">
              <w:rPr>
                <w:noProof/>
                <w:szCs w:val="20"/>
              </w:rPr>
              <w:t>, companies would need to maintain a reliable, up-to-date and accessible record of shareholders, capable of evidencing ownership, issuing shareholding certificates where required, and ensuring transparency</w:t>
            </w:r>
            <w:r w:rsidR="00D05AC6">
              <w:rPr>
                <w:noProof/>
                <w:szCs w:val="20"/>
              </w:rPr>
              <w:t>; however</w:t>
            </w:r>
            <w:r w:rsidR="00335891">
              <w:rPr>
                <w:noProof/>
                <w:szCs w:val="20"/>
              </w:rPr>
              <w:t xml:space="preserve">, </w:t>
            </w:r>
            <w:r w:rsidR="00D05AC6">
              <w:rPr>
                <w:noProof/>
                <w:szCs w:val="20"/>
              </w:rPr>
              <w:t>m</w:t>
            </w:r>
            <w:r w:rsidRPr="00713E6C">
              <w:rPr>
                <w:noProof/>
                <w:szCs w:val="20"/>
                <w:lang w:val="en-IE"/>
              </w:rPr>
              <w:t>aintaining an accurate shareholders’ register is already a</w:t>
            </w:r>
            <w:r w:rsidR="004D64A4">
              <w:rPr>
                <w:noProof/>
                <w:szCs w:val="20"/>
                <w:lang w:val="en-IE"/>
              </w:rPr>
              <w:t xml:space="preserve">n obligation </w:t>
            </w:r>
            <w:r w:rsidRPr="00713E6C">
              <w:rPr>
                <w:noProof/>
                <w:szCs w:val="20"/>
                <w:lang w:val="en-IE"/>
              </w:rPr>
              <w:t xml:space="preserve">in all Member States. The additional effort </w:t>
            </w:r>
            <w:r w:rsidR="0097278A">
              <w:rPr>
                <w:noProof/>
                <w:szCs w:val="20"/>
                <w:lang w:val="en-IE"/>
              </w:rPr>
              <w:t xml:space="preserve">for companies </w:t>
            </w:r>
            <w:r w:rsidRPr="00713E6C">
              <w:rPr>
                <w:noProof/>
                <w:szCs w:val="20"/>
                <w:lang w:val="en-IE"/>
              </w:rPr>
              <w:t xml:space="preserve">to verify and record transfers </w:t>
            </w:r>
            <w:r w:rsidR="00D82121">
              <w:rPr>
                <w:noProof/>
                <w:szCs w:val="20"/>
                <w:lang w:val="en-IE"/>
              </w:rPr>
              <w:t xml:space="preserve">and update the register </w:t>
            </w:r>
            <w:r w:rsidRPr="00713E6C">
              <w:rPr>
                <w:noProof/>
                <w:szCs w:val="20"/>
                <w:lang w:val="en-IE"/>
              </w:rPr>
              <w:t xml:space="preserve">is </w:t>
            </w:r>
            <w:r w:rsidR="00D82121">
              <w:rPr>
                <w:noProof/>
                <w:szCs w:val="20"/>
                <w:lang w:val="en-IE"/>
              </w:rPr>
              <w:t>assumed to be</w:t>
            </w:r>
            <w:r w:rsidRPr="00713E6C">
              <w:rPr>
                <w:noProof/>
                <w:szCs w:val="20"/>
                <w:lang w:val="en-IE"/>
              </w:rPr>
              <w:t xml:space="preserve"> limited</w:t>
            </w:r>
            <w:r w:rsidR="00F4771B">
              <w:rPr>
                <w:noProof/>
                <w:szCs w:val="20"/>
                <w:lang w:val="en-IE"/>
              </w:rPr>
              <w:t xml:space="preserve"> and</w:t>
            </w:r>
            <w:r w:rsidRPr="00713E6C">
              <w:rPr>
                <w:noProof/>
                <w:szCs w:val="20"/>
                <w:lang w:val="en-IE"/>
              </w:rPr>
              <w:t xml:space="preserve"> absorbed within existing governance arrangements. </w:t>
            </w:r>
          </w:p>
          <w:p w14:paraId="36EC7A49" w14:textId="5811224A" w:rsidR="00EC4FF8" w:rsidRPr="00713E6C" w:rsidRDefault="00861430" w:rsidP="00861430">
            <w:pPr>
              <w:jc w:val="both"/>
              <w:rPr>
                <w:noProof/>
                <w:szCs w:val="20"/>
              </w:rPr>
            </w:pPr>
            <w:r>
              <w:rPr>
                <w:noProof/>
                <w:szCs w:val="20"/>
                <w:lang w:val="en-IE"/>
              </w:rPr>
              <w:t xml:space="preserve">Finally, </w:t>
            </w:r>
            <w:r w:rsidR="00713E6C" w:rsidRPr="00713E6C">
              <w:rPr>
                <w:noProof/>
                <w:szCs w:val="20"/>
                <w:lang w:val="en-IE"/>
              </w:rPr>
              <w:t xml:space="preserve">Policy Option 7c does not impose new obligations on companies unless a company voluntarily decides to pursue a listing. Any preparatory adjustments linked to IPO readiness (e.g. enhanced governance or disclosure systems) are inherent to the listing decision itself and arise </w:t>
            </w:r>
            <w:r w:rsidR="002E183E">
              <w:rPr>
                <w:noProof/>
                <w:szCs w:val="20"/>
                <w:lang w:val="en-IE"/>
              </w:rPr>
              <w:t>in any case</w:t>
            </w:r>
            <w:r w:rsidR="00713E6C" w:rsidRPr="00713E6C">
              <w:rPr>
                <w:noProof/>
                <w:szCs w:val="20"/>
                <w:lang w:val="en-IE"/>
              </w:rPr>
              <w:t xml:space="preserve">, irrespective of corporate legal form. </w:t>
            </w:r>
          </w:p>
        </w:tc>
      </w:tr>
      <w:tr w:rsidR="00DF5E69" w:rsidRPr="00DC6DD8" w14:paraId="065C2CE9" w14:textId="77777777" w:rsidTr="00DF5E69">
        <w:tc>
          <w:tcPr>
            <w:tcW w:w="14170" w:type="dxa"/>
            <w:gridSpan w:val="6"/>
            <w:shd w:val="clear" w:color="auto" w:fill="92D050"/>
            <w:vAlign w:val="center"/>
          </w:tcPr>
          <w:p w14:paraId="3262762B" w14:textId="77777777" w:rsidR="00DF5E69" w:rsidRPr="00DC6DD8" w:rsidRDefault="00DF5E69" w:rsidP="00DF5E69">
            <w:pPr>
              <w:rPr>
                <w:b/>
                <w:noProof/>
                <w:szCs w:val="20"/>
              </w:rPr>
            </w:pPr>
            <w:r w:rsidRPr="00D345EC">
              <w:rPr>
                <w:b/>
                <w:noProof/>
                <w:sz w:val="24"/>
                <w:szCs w:val="24"/>
              </w:rPr>
              <w:t>Public authorities</w:t>
            </w:r>
          </w:p>
        </w:tc>
      </w:tr>
      <w:tr w:rsidR="00DF5E69" w:rsidRPr="00DC6DD8" w14:paraId="74B4B0F3" w14:textId="77777777" w:rsidTr="00DF5E69">
        <w:tc>
          <w:tcPr>
            <w:tcW w:w="2122" w:type="dxa"/>
          </w:tcPr>
          <w:p w14:paraId="19339F98" w14:textId="77777777" w:rsidR="00DF5E69" w:rsidRPr="0074616C" w:rsidRDefault="00DF5E69" w:rsidP="00DF5E69">
            <w:pPr>
              <w:rPr>
                <w:b/>
                <w:noProof/>
                <w:szCs w:val="20"/>
              </w:rPr>
            </w:pPr>
            <w:r>
              <w:rPr>
                <w:b/>
                <w:noProof/>
                <w:szCs w:val="20"/>
              </w:rPr>
              <w:t>Costs</w:t>
            </w:r>
          </w:p>
        </w:tc>
        <w:tc>
          <w:tcPr>
            <w:tcW w:w="1508" w:type="dxa"/>
          </w:tcPr>
          <w:p w14:paraId="6C7E3F7E" w14:textId="77777777" w:rsidR="00DF5E69" w:rsidRPr="00170FBB" w:rsidRDefault="00DF5E69" w:rsidP="00DF5E69">
            <w:pPr>
              <w:rPr>
                <w:noProof/>
                <w:sz w:val="18"/>
                <w:szCs w:val="18"/>
              </w:rPr>
            </w:pPr>
            <w:r w:rsidRPr="00170FBB">
              <w:rPr>
                <w:noProof/>
                <w:sz w:val="18"/>
                <w:szCs w:val="18"/>
              </w:rPr>
              <w:t>Score 0-5</w:t>
            </w:r>
          </w:p>
        </w:tc>
        <w:tc>
          <w:tcPr>
            <w:tcW w:w="1042" w:type="dxa"/>
          </w:tcPr>
          <w:p w14:paraId="4256A43B" w14:textId="0242BE02" w:rsidR="00DF5E69" w:rsidRPr="00F5054C" w:rsidRDefault="00CC1744" w:rsidP="00F5054C">
            <w:pPr>
              <w:jc w:val="center"/>
              <w:rPr>
                <w:noProof/>
                <w:szCs w:val="20"/>
              </w:rPr>
            </w:pPr>
            <w:r w:rsidRPr="00F5054C">
              <w:rPr>
                <w:noProof/>
                <w:szCs w:val="20"/>
              </w:rPr>
              <w:t>1</w:t>
            </w:r>
          </w:p>
        </w:tc>
        <w:tc>
          <w:tcPr>
            <w:tcW w:w="996" w:type="dxa"/>
          </w:tcPr>
          <w:p w14:paraId="10E75529" w14:textId="1C972274" w:rsidR="00DF5E69" w:rsidRPr="00F5054C" w:rsidRDefault="00CC1744" w:rsidP="00F5054C">
            <w:pPr>
              <w:jc w:val="center"/>
              <w:rPr>
                <w:noProof/>
                <w:szCs w:val="20"/>
              </w:rPr>
            </w:pPr>
            <w:r w:rsidRPr="00F5054C">
              <w:rPr>
                <w:noProof/>
                <w:szCs w:val="20"/>
              </w:rPr>
              <w:t>2</w:t>
            </w:r>
          </w:p>
        </w:tc>
        <w:tc>
          <w:tcPr>
            <w:tcW w:w="994" w:type="dxa"/>
          </w:tcPr>
          <w:p w14:paraId="15BAC4B0" w14:textId="7237AC1E" w:rsidR="00DF5E69" w:rsidRPr="00F5054C" w:rsidDel="00073540" w:rsidRDefault="00CC1744" w:rsidP="00F5054C">
            <w:pPr>
              <w:jc w:val="center"/>
              <w:rPr>
                <w:noProof/>
                <w:szCs w:val="20"/>
              </w:rPr>
            </w:pPr>
            <w:r w:rsidRPr="00F5054C">
              <w:rPr>
                <w:noProof/>
                <w:szCs w:val="20"/>
              </w:rPr>
              <w:t>2</w:t>
            </w:r>
          </w:p>
        </w:tc>
        <w:tc>
          <w:tcPr>
            <w:tcW w:w="7508" w:type="dxa"/>
          </w:tcPr>
          <w:p w14:paraId="2D9F7E28" w14:textId="7145978F" w:rsidR="00516F05" w:rsidRDefault="00516F05" w:rsidP="00DB07FF">
            <w:pPr>
              <w:jc w:val="both"/>
              <w:rPr>
                <w:noProof/>
                <w:szCs w:val="20"/>
              </w:rPr>
            </w:pPr>
            <w:r w:rsidRPr="00516F05">
              <w:rPr>
                <w:noProof/>
                <w:szCs w:val="20"/>
              </w:rPr>
              <w:t xml:space="preserve">Policy Option 7a would entail limited one-off adjustment costs for public authorities, </w:t>
            </w:r>
            <w:r w:rsidR="008E7914">
              <w:rPr>
                <w:noProof/>
                <w:szCs w:val="20"/>
              </w:rPr>
              <w:t xml:space="preserve">including </w:t>
            </w:r>
            <w:r w:rsidR="008E7914" w:rsidRPr="00516F05">
              <w:rPr>
                <w:noProof/>
                <w:szCs w:val="20"/>
              </w:rPr>
              <w:t>notaries or other intermediaries</w:t>
            </w:r>
            <w:r w:rsidR="008E7914">
              <w:rPr>
                <w:noProof/>
                <w:szCs w:val="20"/>
              </w:rPr>
              <w:t>,</w:t>
            </w:r>
            <w:r w:rsidR="008E7914" w:rsidRPr="00516F05">
              <w:rPr>
                <w:noProof/>
                <w:szCs w:val="20"/>
              </w:rPr>
              <w:t xml:space="preserve"> </w:t>
            </w:r>
            <w:r w:rsidRPr="00516F05">
              <w:rPr>
                <w:noProof/>
                <w:szCs w:val="20"/>
              </w:rPr>
              <w:t>mainly linked to ensuring digital infrastructures</w:t>
            </w:r>
            <w:r w:rsidR="006C30A4">
              <w:rPr>
                <w:noProof/>
                <w:szCs w:val="20"/>
              </w:rPr>
              <w:t xml:space="preserve"> with</w:t>
            </w:r>
            <w:r w:rsidRPr="00516F05">
              <w:rPr>
                <w:noProof/>
                <w:szCs w:val="20"/>
              </w:rPr>
              <w:t xml:space="preserve"> authentication tools </w:t>
            </w:r>
            <w:r w:rsidR="00C05DF3">
              <w:rPr>
                <w:noProof/>
                <w:szCs w:val="20"/>
              </w:rPr>
              <w:t xml:space="preserve">that </w:t>
            </w:r>
            <w:r w:rsidRPr="00516F05">
              <w:rPr>
                <w:noProof/>
                <w:szCs w:val="20"/>
              </w:rPr>
              <w:t>can support fully digital share-transfer procedures</w:t>
            </w:r>
            <w:r w:rsidR="00865342">
              <w:rPr>
                <w:noProof/>
                <w:szCs w:val="20"/>
              </w:rPr>
              <w:t xml:space="preserve">, </w:t>
            </w:r>
            <w:r w:rsidR="006C30A4">
              <w:rPr>
                <w:noProof/>
                <w:szCs w:val="20"/>
              </w:rPr>
              <w:t xml:space="preserve">to </w:t>
            </w:r>
            <w:r w:rsidRPr="00516F05">
              <w:rPr>
                <w:noProof/>
                <w:szCs w:val="20"/>
              </w:rPr>
              <w:t>adapt</w:t>
            </w:r>
            <w:r w:rsidR="006C30A4">
              <w:rPr>
                <w:noProof/>
                <w:szCs w:val="20"/>
              </w:rPr>
              <w:t>ing</w:t>
            </w:r>
            <w:r w:rsidRPr="00516F05">
              <w:rPr>
                <w:noProof/>
                <w:szCs w:val="20"/>
              </w:rPr>
              <w:t xml:space="preserve"> workflows to online service provision, potentially requiring training, procedural updates and IT adjustments.</w:t>
            </w:r>
            <w:r w:rsidR="00DB07FF">
              <w:rPr>
                <w:noProof/>
                <w:szCs w:val="20"/>
              </w:rPr>
              <w:t xml:space="preserve"> </w:t>
            </w:r>
            <w:r w:rsidRPr="00516F05">
              <w:rPr>
                <w:noProof/>
                <w:szCs w:val="20"/>
              </w:rPr>
              <w:t xml:space="preserve">According to the </w:t>
            </w:r>
            <w:r w:rsidR="006C30A4">
              <w:rPr>
                <w:noProof/>
                <w:szCs w:val="20"/>
              </w:rPr>
              <w:t>p</w:t>
            </w:r>
            <w:r w:rsidRPr="00516F05">
              <w:rPr>
                <w:noProof/>
                <w:szCs w:val="20"/>
              </w:rPr>
              <w:t xml:space="preserve">ublic </w:t>
            </w:r>
            <w:r w:rsidR="006C30A4">
              <w:rPr>
                <w:noProof/>
                <w:szCs w:val="20"/>
              </w:rPr>
              <w:t>c</w:t>
            </w:r>
            <w:r w:rsidRPr="00516F05">
              <w:rPr>
                <w:noProof/>
                <w:szCs w:val="20"/>
              </w:rPr>
              <w:t xml:space="preserve">onsultation, around 80% of respondents identified lack of digitalisation as causing practical difficulties to a large or very large extent, suggesting that existing systems already generate inefficiencies. </w:t>
            </w:r>
          </w:p>
          <w:p w14:paraId="39184FA8" w14:textId="509A0E6A" w:rsidR="00DF5E69" w:rsidRPr="00516F05" w:rsidRDefault="008F1AB2" w:rsidP="003E2D05">
            <w:pPr>
              <w:jc w:val="both"/>
              <w:rPr>
                <w:noProof/>
                <w:szCs w:val="20"/>
              </w:rPr>
            </w:pPr>
            <w:r w:rsidRPr="008F1AB2">
              <w:rPr>
                <w:noProof/>
                <w:szCs w:val="20"/>
              </w:rPr>
              <w:t xml:space="preserve">Under Policy Option 7b, </w:t>
            </w:r>
            <w:r w:rsidR="00833687">
              <w:rPr>
                <w:noProof/>
                <w:szCs w:val="20"/>
              </w:rPr>
              <w:t>t</w:t>
            </w:r>
            <w:r w:rsidRPr="008F1AB2">
              <w:rPr>
                <w:noProof/>
                <w:szCs w:val="20"/>
              </w:rPr>
              <w:t xml:space="preserve">he removal of mandatory intermediary involvement does not </w:t>
            </w:r>
            <w:r w:rsidR="00833687">
              <w:rPr>
                <w:noProof/>
                <w:szCs w:val="20"/>
              </w:rPr>
              <w:t xml:space="preserve">introduce any new </w:t>
            </w:r>
            <w:r w:rsidRPr="008F1AB2">
              <w:rPr>
                <w:noProof/>
                <w:szCs w:val="20"/>
              </w:rPr>
              <w:t>filing</w:t>
            </w:r>
            <w:r w:rsidR="005A3469">
              <w:rPr>
                <w:noProof/>
                <w:szCs w:val="20"/>
              </w:rPr>
              <w:t>,</w:t>
            </w:r>
            <w:r w:rsidRPr="008F1AB2">
              <w:rPr>
                <w:noProof/>
                <w:szCs w:val="20"/>
              </w:rPr>
              <w:t xml:space="preserve"> supervisory </w:t>
            </w:r>
            <w:r w:rsidR="005A3469">
              <w:rPr>
                <w:noProof/>
                <w:szCs w:val="20"/>
              </w:rPr>
              <w:t xml:space="preserve">or enforcement </w:t>
            </w:r>
            <w:r w:rsidRPr="008F1AB2">
              <w:rPr>
                <w:noProof/>
                <w:szCs w:val="20"/>
              </w:rPr>
              <w:t xml:space="preserve">tasks for </w:t>
            </w:r>
            <w:r w:rsidR="005A3469">
              <w:rPr>
                <w:noProof/>
                <w:szCs w:val="20"/>
              </w:rPr>
              <w:t xml:space="preserve">business </w:t>
            </w:r>
            <w:r w:rsidRPr="008F1AB2">
              <w:rPr>
                <w:noProof/>
                <w:szCs w:val="20"/>
              </w:rPr>
              <w:t>regist</w:t>
            </w:r>
            <w:r w:rsidR="005A3469">
              <w:rPr>
                <w:noProof/>
                <w:szCs w:val="20"/>
              </w:rPr>
              <w:t>e</w:t>
            </w:r>
            <w:r w:rsidRPr="008F1AB2">
              <w:rPr>
                <w:noProof/>
                <w:szCs w:val="20"/>
              </w:rPr>
              <w:t>rs or courts</w:t>
            </w:r>
            <w:r w:rsidR="00B40E7F">
              <w:rPr>
                <w:noProof/>
                <w:szCs w:val="20"/>
              </w:rPr>
              <w:t xml:space="preserve"> but there would be reduction in activity and revenue loss for </w:t>
            </w:r>
            <w:r w:rsidR="00C61605">
              <w:rPr>
                <w:noProof/>
                <w:szCs w:val="20"/>
              </w:rPr>
              <w:t xml:space="preserve">intermediaries, including </w:t>
            </w:r>
            <w:r w:rsidRPr="008F1AB2">
              <w:rPr>
                <w:noProof/>
                <w:szCs w:val="20"/>
              </w:rPr>
              <w:t>notaries</w:t>
            </w:r>
            <w:r w:rsidR="00C61605">
              <w:rPr>
                <w:noProof/>
                <w:szCs w:val="20"/>
              </w:rPr>
              <w:t>,</w:t>
            </w:r>
            <w:r w:rsidRPr="008F1AB2">
              <w:rPr>
                <w:noProof/>
                <w:szCs w:val="20"/>
              </w:rPr>
              <w:t xml:space="preserve"> in </w:t>
            </w:r>
            <w:r w:rsidR="00C61605">
              <w:rPr>
                <w:noProof/>
                <w:szCs w:val="20"/>
              </w:rPr>
              <w:t>those</w:t>
            </w:r>
            <w:r w:rsidRPr="008F1AB2">
              <w:rPr>
                <w:noProof/>
                <w:szCs w:val="20"/>
              </w:rPr>
              <w:t xml:space="preserve"> Member States </w:t>
            </w:r>
            <w:r w:rsidR="00C61605">
              <w:rPr>
                <w:noProof/>
                <w:szCs w:val="20"/>
              </w:rPr>
              <w:t xml:space="preserve">where they are involved in share transfers. </w:t>
            </w:r>
            <w:r w:rsidR="00F15A5B" w:rsidRPr="00F15A5B">
              <w:rPr>
                <w:noProof/>
                <w:szCs w:val="20"/>
              </w:rPr>
              <w:t xml:space="preserve">Policy Option 7c does not impose additional administrative obligations on public authorities </w:t>
            </w:r>
            <w:r w:rsidR="00247B36">
              <w:rPr>
                <w:noProof/>
                <w:szCs w:val="20"/>
              </w:rPr>
              <w:t>as a</w:t>
            </w:r>
            <w:r w:rsidR="00F15A5B" w:rsidRPr="00F15A5B">
              <w:rPr>
                <w:noProof/>
                <w:szCs w:val="20"/>
              </w:rPr>
              <w:t xml:space="preserve">ny supervisory or regulatory costs linked to IPOs already exist under EU and national securities law and would arise irrespective of the corporate legal form used. </w:t>
            </w:r>
          </w:p>
        </w:tc>
      </w:tr>
      <w:tr w:rsidR="00DF5E69" w:rsidRPr="00DC6DD8" w14:paraId="2B0288A6" w14:textId="77777777" w:rsidTr="00DF5E69">
        <w:tc>
          <w:tcPr>
            <w:tcW w:w="2122" w:type="dxa"/>
          </w:tcPr>
          <w:p w14:paraId="52F56113" w14:textId="77777777" w:rsidR="00DF5E69" w:rsidRDefault="00DF5E69" w:rsidP="00DF5E69">
            <w:pPr>
              <w:rPr>
                <w:b/>
                <w:noProof/>
                <w:szCs w:val="20"/>
              </w:rPr>
            </w:pPr>
            <w:r>
              <w:rPr>
                <w:b/>
                <w:noProof/>
                <w:szCs w:val="20"/>
              </w:rPr>
              <w:t>Benefits</w:t>
            </w:r>
          </w:p>
        </w:tc>
        <w:tc>
          <w:tcPr>
            <w:tcW w:w="1508" w:type="dxa"/>
          </w:tcPr>
          <w:p w14:paraId="2A99E70D" w14:textId="77777777" w:rsidR="00DF5E69" w:rsidRPr="00170FBB" w:rsidRDefault="00DF5E69" w:rsidP="00DF5E69">
            <w:pPr>
              <w:rPr>
                <w:noProof/>
                <w:sz w:val="18"/>
                <w:szCs w:val="18"/>
              </w:rPr>
            </w:pPr>
            <w:r w:rsidRPr="00170FBB">
              <w:rPr>
                <w:noProof/>
                <w:sz w:val="18"/>
                <w:szCs w:val="18"/>
              </w:rPr>
              <w:t>Score 0-5</w:t>
            </w:r>
          </w:p>
        </w:tc>
        <w:tc>
          <w:tcPr>
            <w:tcW w:w="1042" w:type="dxa"/>
          </w:tcPr>
          <w:p w14:paraId="6D41ACB2" w14:textId="5A7FC03C" w:rsidR="00DF5E69" w:rsidRPr="00AD7A98" w:rsidRDefault="003E2D05" w:rsidP="00AD7A98">
            <w:pPr>
              <w:jc w:val="center"/>
              <w:rPr>
                <w:noProof/>
                <w:szCs w:val="20"/>
              </w:rPr>
            </w:pPr>
            <w:r w:rsidRPr="00AD7A98">
              <w:rPr>
                <w:noProof/>
                <w:szCs w:val="20"/>
              </w:rPr>
              <w:t>1</w:t>
            </w:r>
          </w:p>
        </w:tc>
        <w:tc>
          <w:tcPr>
            <w:tcW w:w="996" w:type="dxa"/>
          </w:tcPr>
          <w:p w14:paraId="0B8B13BD" w14:textId="2A933100" w:rsidR="00DF5E69" w:rsidRPr="00AD7A98" w:rsidRDefault="003E2D05" w:rsidP="00AD7A98">
            <w:pPr>
              <w:jc w:val="center"/>
              <w:rPr>
                <w:noProof/>
                <w:szCs w:val="20"/>
              </w:rPr>
            </w:pPr>
            <w:r w:rsidRPr="00AD7A98">
              <w:rPr>
                <w:noProof/>
                <w:szCs w:val="20"/>
              </w:rPr>
              <w:t>1</w:t>
            </w:r>
          </w:p>
        </w:tc>
        <w:tc>
          <w:tcPr>
            <w:tcW w:w="994" w:type="dxa"/>
          </w:tcPr>
          <w:p w14:paraId="718102DD" w14:textId="445B962D" w:rsidR="00DF5E69" w:rsidRPr="00AD7A98" w:rsidDel="00073540" w:rsidRDefault="003E2D05" w:rsidP="00AD7A98">
            <w:pPr>
              <w:jc w:val="center"/>
              <w:rPr>
                <w:noProof/>
                <w:szCs w:val="20"/>
              </w:rPr>
            </w:pPr>
            <w:r w:rsidRPr="00AD7A98">
              <w:rPr>
                <w:noProof/>
                <w:szCs w:val="20"/>
              </w:rPr>
              <w:t>1</w:t>
            </w:r>
          </w:p>
        </w:tc>
        <w:tc>
          <w:tcPr>
            <w:tcW w:w="7508" w:type="dxa"/>
          </w:tcPr>
          <w:p w14:paraId="7D57C3E1" w14:textId="23560BA3" w:rsidR="00AC61E8" w:rsidRPr="00AC61E8" w:rsidRDefault="00A07D2B" w:rsidP="00AD7A98">
            <w:pPr>
              <w:spacing w:before="0"/>
              <w:jc w:val="both"/>
              <w:rPr>
                <w:noProof/>
                <w:szCs w:val="20"/>
              </w:rPr>
            </w:pPr>
            <w:r w:rsidRPr="00A07D2B">
              <w:rPr>
                <w:noProof/>
                <w:szCs w:val="20"/>
              </w:rPr>
              <w:t>PO7a would generate moderate efficiency gains for public authorities by reducing the handling of paper-based procedures, physical appointments</w:t>
            </w:r>
            <w:r w:rsidR="00CF5E31">
              <w:rPr>
                <w:noProof/>
                <w:szCs w:val="20"/>
              </w:rPr>
              <w:t xml:space="preserve">, </w:t>
            </w:r>
            <w:r w:rsidRPr="00A07D2B">
              <w:rPr>
                <w:noProof/>
                <w:szCs w:val="20"/>
              </w:rPr>
              <w:t>reduce error rates and improve procedural traceability.</w:t>
            </w:r>
            <w:r w:rsidR="00566237">
              <w:rPr>
                <w:noProof/>
                <w:szCs w:val="20"/>
              </w:rPr>
              <w:t xml:space="preserve"> These</w:t>
            </w:r>
            <w:r w:rsidR="00445CBF">
              <w:rPr>
                <w:noProof/>
                <w:szCs w:val="20"/>
              </w:rPr>
              <w:t xml:space="preserve"> efficiency</w:t>
            </w:r>
            <w:r w:rsidR="00566237">
              <w:rPr>
                <w:noProof/>
                <w:szCs w:val="20"/>
              </w:rPr>
              <w:t xml:space="preserve"> gains would also apply </w:t>
            </w:r>
            <w:r w:rsidR="00692DDC">
              <w:rPr>
                <w:noProof/>
                <w:szCs w:val="20"/>
              </w:rPr>
              <w:t>under PO7b and PO7c</w:t>
            </w:r>
            <w:r w:rsidR="0054729F" w:rsidRPr="0054729F">
              <w:rPr>
                <w:noProof/>
                <w:szCs w:val="20"/>
              </w:rPr>
              <w:t xml:space="preserve">. </w:t>
            </w:r>
          </w:p>
        </w:tc>
      </w:tr>
      <w:tr w:rsidR="00DF5E69" w:rsidRPr="00DC6DD8" w14:paraId="2A15D627" w14:textId="77777777" w:rsidTr="00DF5E69">
        <w:tc>
          <w:tcPr>
            <w:tcW w:w="14170" w:type="dxa"/>
            <w:gridSpan w:val="6"/>
            <w:shd w:val="clear" w:color="auto" w:fill="92D050"/>
          </w:tcPr>
          <w:p w14:paraId="1B41102A" w14:textId="77777777" w:rsidR="00DF5E69" w:rsidRPr="006E78FA" w:rsidRDefault="00DF5E69" w:rsidP="00DF5E69">
            <w:pPr>
              <w:rPr>
                <w:b/>
                <w:bCs/>
                <w:noProof/>
                <w:szCs w:val="20"/>
              </w:rPr>
            </w:pPr>
            <w:r w:rsidRPr="00D345EC">
              <w:rPr>
                <w:b/>
                <w:noProof/>
                <w:sz w:val="24"/>
                <w:szCs w:val="24"/>
              </w:rPr>
              <w:t>Economy and society at large</w:t>
            </w:r>
          </w:p>
        </w:tc>
      </w:tr>
      <w:tr w:rsidR="00DF5E69" w:rsidRPr="00DC6DD8" w14:paraId="09960638" w14:textId="77777777" w:rsidTr="00DF5E69">
        <w:tc>
          <w:tcPr>
            <w:tcW w:w="2122" w:type="dxa"/>
          </w:tcPr>
          <w:p w14:paraId="22C5672B" w14:textId="77777777" w:rsidR="00DF5E69" w:rsidRPr="0074616C" w:rsidRDefault="00DF5E69" w:rsidP="00DF5E69">
            <w:pPr>
              <w:rPr>
                <w:b/>
                <w:noProof/>
                <w:szCs w:val="20"/>
              </w:rPr>
            </w:pPr>
            <w:r>
              <w:rPr>
                <w:b/>
                <w:noProof/>
                <w:szCs w:val="20"/>
              </w:rPr>
              <w:t>Functioning of the internal market and competitiveness</w:t>
            </w:r>
          </w:p>
        </w:tc>
        <w:tc>
          <w:tcPr>
            <w:tcW w:w="1508" w:type="dxa"/>
          </w:tcPr>
          <w:p w14:paraId="0A139DAA" w14:textId="77777777" w:rsidR="00DF5E69" w:rsidRPr="00DC6DD8" w:rsidRDefault="00DF5E69" w:rsidP="00DF5E69">
            <w:pPr>
              <w:rPr>
                <w:noProof/>
                <w:szCs w:val="20"/>
              </w:rPr>
            </w:pPr>
            <w:r w:rsidRPr="00170FBB">
              <w:rPr>
                <w:noProof/>
                <w:sz w:val="18"/>
                <w:szCs w:val="18"/>
              </w:rPr>
              <w:t>Score 0-5</w:t>
            </w:r>
          </w:p>
        </w:tc>
        <w:tc>
          <w:tcPr>
            <w:tcW w:w="1042" w:type="dxa"/>
          </w:tcPr>
          <w:p w14:paraId="2D942959" w14:textId="46474148" w:rsidR="00DF5E69" w:rsidRPr="00AD7A98" w:rsidRDefault="002802A7" w:rsidP="00AD7A98">
            <w:pPr>
              <w:jc w:val="center"/>
              <w:rPr>
                <w:noProof/>
                <w:szCs w:val="20"/>
              </w:rPr>
            </w:pPr>
            <w:r w:rsidRPr="00AD7A98">
              <w:rPr>
                <w:noProof/>
                <w:szCs w:val="20"/>
              </w:rPr>
              <w:t>2</w:t>
            </w:r>
          </w:p>
        </w:tc>
        <w:tc>
          <w:tcPr>
            <w:tcW w:w="996" w:type="dxa"/>
          </w:tcPr>
          <w:p w14:paraId="280303B7" w14:textId="36657907" w:rsidR="00DF5E69" w:rsidRPr="00AD7A98" w:rsidRDefault="002802A7" w:rsidP="00AD7A98">
            <w:pPr>
              <w:jc w:val="center"/>
              <w:rPr>
                <w:noProof/>
                <w:szCs w:val="20"/>
              </w:rPr>
            </w:pPr>
            <w:r w:rsidRPr="00AD7A98">
              <w:rPr>
                <w:noProof/>
                <w:szCs w:val="20"/>
              </w:rPr>
              <w:t>3</w:t>
            </w:r>
          </w:p>
        </w:tc>
        <w:tc>
          <w:tcPr>
            <w:tcW w:w="994" w:type="dxa"/>
          </w:tcPr>
          <w:p w14:paraId="16B248CB" w14:textId="6AB32598" w:rsidR="00DF5E69" w:rsidRPr="00AD7A98" w:rsidDel="00073540" w:rsidRDefault="002802A7" w:rsidP="00AD7A98">
            <w:pPr>
              <w:jc w:val="center"/>
              <w:rPr>
                <w:noProof/>
                <w:szCs w:val="20"/>
              </w:rPr>
            </w:pPr>
            <w:r w:rsidRPr="00AD7A98">
              <w:rPr>
                <w:noProof/>
                <w:szCs w:val="20"/>
              </w:rPr>
              <w:t>4</w:t>
            </w:r>
          </w:p>
        </w:tc>
        <w:tc>
          <w:tcPr>
            <w:tcW w:w="7508" w:type="dxa"/>
          </w:tcPr>
          <w:p w14:paraId="509F47E5" w14:textId="05ED85AC" w:rsidR="00C3161E" w:rsidRDefault="002574E4" w:rsidP="00254F07">
            <w:pPr>
              <w:spacing w:after="0"/>
              <w:jc w:val="both"/>
              <w:rPr>
                <w:noProof/>
                <w:szCs w:val="20"/>
              </w:rPr>
            </w:pPr>
            <w:r>
              <w:rPr>
                <w:noProof/>
                <w:szCs w:val="20"/>
              </w:rPr>
              <w:t>All the policy options</w:t>
            </w:r>
            <w:r w:rsidR="009449D5" w:rsidRPr="009449D5">
              <w:rPr>
                <w:noProof/>
                <w:szCs w:val="20"/>
              </w:rPr>
              <w:t xml:space="preserve"> would contribute to the functioning of the internal market by making share transfers faster and more predictable across borders</w:t>
            </w:r>
            <w:r w:rsidR="00412CF9">
              <w:rPr>
                <w:noProof/>
                <w:szCs w:val="20"/>
              </w:rPr>
              <w:t xml:space="preserve"> </w:t>
            </w:r>
            <w:r w:rsidR="00D623CA">
              <w:rPr>
                <w:noProof/>
                <w:szCs w:val="20"/>
              </w:rPr>
              <w:t xml:space="preserve">through digital means and </w:t>
            </w:r>
            <w:r w:rsidR="009449D5" w:rsidRPr="009449D5">
              <w:rPr>
                <w:noProof/>
                <w:szCs w:val="20"/>
              </w:rPr>
              <w:t>lower</w:t>
            </w:r>
            <w:r w:rsidR="00D623CA">
              <w:rPr>
                <w:noProof/>
                <w:szCs w:val="20"/>
              </w:rPr>
              <w:t>ing</w:t>
            </w:r>
            <w:r w:rsidR="009449D5" w:rsidRPr="009449D5">
              <w:rPr>
                <w:noProof/>
                <w:szCs w:val="20"/>
              </w:rPr>
              <w:t xml:space="preserve"> transaction frictions that disproportionately affect cross-border investors. </w:t>
            </w:r>
            <w:r>
              <w:rPr>
                <w:noProof/>
                <w:szCs w:val="20"/>
              </w:rPr>
              <w:t>By</w:t>
            </w:r>
            <w:r w:rsidR="00BF1F36" w:rsidRPr="00BF1F36">
              <w:rPr>
                <w:noProof/>
                <w:szCs w:val="20"/>
              </w:rPr>
              <w:t xml:space="preserve"> eliminating legal asymmetries between notarial </w:t>
            </w:r>
            <w:r w:rsidR="00A713CC">
              <w:rPr>
                <w:noProof/>
                <w:szCs w:val="20"/>
              </w:rPr>
              <w:t>and non-notar</w:t>
            </w:r>
            <w:r w:rsidR="00254F07">
              <w:rPr>
                <w:noProof/>
                <w:szCs w:val="20"/>
              </w:rPr>
              <w:t>ial</w:t>
            </w:r>
            <w:r w:rsidR="00A713CC">
              <w:rPr>
                <w:noProof/>
                <w:szCs w:val="20"/>
              </w:rPr>
              <w:t xml:space="preserve"> </w:t>
            </w:r>
            <w:r w:rsidR="00BF1F36" w:rsidRPr="00BF1F36">
              <w:rPr>
                <w:noProof/>
                <w:szCs w:val="20"/>
              </w:rPr>
              <w:t>Member States</w:t>
            </w:r>
            <w:r w:rsidR="00F24DAB">
              <w:rPr>
                <w:noProof/>
                <w:szCs w:val="20"/>
              </w:rPr>
              <w:t xml:space="preserve">, and </w:t>
            </w:r>
            <w:r w:rsidR="00A713CC">
              <w:rPr>
                <w:noProof/>
                <w:szCs w:val="20"/>
              </w:rPr>
              <w:t>by</w:t>
            </w:r>
            <w:r w:rsidR="00BF1F36" w:rsidRPr="00BF1F36">
              <w:rPr>
                <w:noProof/>
                <w:szCs w:val="20"/>
              </w:rPr>
              <w:t xml:space="preserve"> facilitating cross-border investment and </w:t>
            </w:r>
            <w:r w:rsidR="009837E4">
              <w:rPr>
                <w:noProof/>
                <w:szCs w:val="20"/>
              </w:rPr>
              <w:t xml:space="preserve">supporting </w:t>
            </w:r>
            <w:r w:rsidR="00BF1F36" w:rsidRPr="00BF1F36">
              <w:rPr>
                <w:noProof/>
                <w:szCs w:val="20"/>
              </w:rPr>
              <w:t xml:space="preserve">secondary markets for private </w:t>
            </w:r>
            <w:r w:rsidR="00E846C6">
              <w:rPr>
                <w:noProof/>
                <w:szCs w:val="20"/>
              </w:rPr>
              <w:t>equity</w:t>
            </w:r>
            <w:r w:rsidR="00EE433F">
              <w:rPr>
                <w:noProof/>
                <w:szCs w:val="20"/>
              </w:rPr>
              <w:t xml:space="preserve"> thanks to reduced </w:t>
            </w:r>
            <w:r w:rsidR="00EE433F" w:rsidRPr="00BF1F36">
              <w:rPr>
                <w:noProof/>
                <w:szCs w:val="20"/>
              </w:rPr>
              <w:t>transaction costs</w:t>
            </w:r>
            <w:r>
              <w:rPr>
                <w:noProof/>
                <w:szCs w:val="20"/>
              </w:rPr>
              <w:t xml:space="preserve">, </w:t>
            </w:r>
            <w:r w:rsidRPr="00BF1F36">
              <w:rPr>
                <w:noProof/>
                <w:szCs w:val="20"/>
              </w:rPr>
              <w:t>PO7b delivers a stronger contribution to internal market integration</w:t>
            </w:r>
            <w:r>
              <w:rPr>
                <w:noProof/>
                <w:szCs w:val="20"/>
              </w:rPr>
              <w:t xml:space="preserve"> and </w:t>
            </w:r>
            <w:r w:rsidR="002A078B">
              <w:rPr>
                <w:noProof/>
                <w:szCs w:val="20"/>
              </w:rPr>
              <w:t>also</w:t>
            </w:r>
            <w:r w:rsidR="00BF1F36" w:rsidRPr="00BF1F36">
              <w:rPr>
                <w:noProof/>
                <w:szCs w:val="20"/>
              </w:rPr>
              <w:t xml:space="preserve"> enhances EU competitiveness</w:t>
            </w:r>
            <w:r w:rsidR="009837E4">
              <w:rPr>
                <w:noProof/>
                <w:szCs w:val="20"/>
              </w:rPr>
              <w:t>,</w:t>
            </w:r>
            <w:r w:rsidR="00BF1F36" w:rsidRPr="00BF1F36">
              <w:rPr>
                <w:noProof/>
                <w:szCs w:val="20"/>
              </w:rPr>
              <w:t xml:space="preserve"> improving capital mobility and reducing home bias.</w:t>
            </w:r>
            <w:r w:rsidR="00A713CC">
              <w:rPr>
                <w:noProof/>
                <w:szCs w:val="20"/>
              </w:rPr>
              <w:t xml:space="preserve"> </w:t>
            </w:r>
            <w:r w:rsidR="00254F07">
              <w:rPr>
                <w:noProof/>
                <w:szCs w:val="20"/>
              </w:rPr>
              <w:t>PO7b would also enhance the competitiveness and attractiveness of the internal market compared to third</w:t>
            </w:r>
            <w:r w:rsidR="009837E4">
              <w:rPr>
                <w:noProof/>
                <w:szCs w:val="20"/>
              </w:rPr>
              <w:t>-</w:t>
            </w:r>
            <w:r w:rsidR="00254F07">
              <w:rPr>
                <w:noProof/>
                <w:szCs w:val="20"/>
              </w:rPr>
              <w:t xml:space="preserve">country </w:t>
            </w:r>
            <w:r w:rsidR="00254F07" w:rsidRPr="0089048C">
              <w:rPr>
                <w:noProof/>
                <w:szCs w:val="20"/>
              </w:rPr>
              <w:t>jurisdictions with more flexible private-law execution (e.g. Delaware</w:t>
            </w:r>
            <w:r w:rsidR="00917FED">
              <w:rPr>
                <w:noProof/>
                <w:szCs w:val="20"/>
              </w:rPr>
              <w:t xml:space="preserve"> and UK</w:t>
            </w:r>
            <w:r w:rsidR="00254F07" w:rsidRPr="0089048C">
              <w:rPr>
                <w:noProof/>
                <w:szCs w:val="20"/>
              </w:rPr>
              <w:t xml:space="preserve">), where comparable secondary transfers </w:t>
            </w:r>
            <w:r w:rsidR="009E61FD">
              <w:rPr>
                <w:noProof/>
                <w:szCs w:val="20"/>
              </w:rPr>
              <w:t>require fewer formal</w:t>
            </w:r>
            <w:r w:rsidR="00BB401F">
              <w:rPr>
                <w:noProof/>
                <w:szCs w:val="20"/>
              </w:rPr>
              <w:t>ities</w:t>
            </w:r>
            <w:r w:rsidR="00254F07" w:rsidRPr="0089048C">
              <w:rPr>
                <w:noProof/>
                <w:szCs w:val="20"/>
              </w:rPr>
              <w:t xml:space="preserve">. </w:t>
            </w:r>
            <w:r w:rsidR="00B011F8">
              <w:rPr>
                <w:noProof/>
                <w:szCs w:val="20"/>
              </w:rPr>
              <w:t>P</w:t>
            </w:r>
            <w:r w:rsidR="00AB3679" w:rsidRPr="00AB3679">
              <w:rPr>
                <w:noProof/>
                <w:szCs w:val="20"/>
              </w:rPr>
              <w:t>O7c offers the strongest positive impact on the functioning of the internal market and EU competitiveness</w:t>
            </w:r>
            <w:r w:rsidR="00527044">
              <w:rPr>
                <w:noProof/>
                <w:szCs w:val="20"/>
              </w:rPr>
              <w:t xml:space="preserve"> b</w:t>
            </w:r>
            <w:r w:rsidR="00AB3679" w:rsidRPr="00AB3679">
              <w:rPr>
                <w:noProof/>
                <w:szCs w:val="20"/>
              </w:rPr>
              <w:t xml:space="preserve">y </w:t>
            </w:r>
            <w:r w:rsidR="00B011F8">
              <w:rPr>
                <w:noProof/>
                <w:szCs w:val="20"/>
              </w:rPr>
              <w:t xml:space="preserve">additionally </w:t>
            </w:r>
            <w:r w:rsidR="00527044">
              <w:rPr>
                <w:noProof/>
                <w:szCs w:val="20"/>
              </w:rPr>
              <w:t xml:space="preserve">allowing Member States to </w:t>
            </w:r>
            <w:r w:rsidR="00B011F8">
              <w:rPr>
                <w:noProof/>
                <w:szCs w:val="20"/>
              </w:rPr>
              <w:t>grant</w:t>
            </w:r>
            <w:r w:rsidR="00AB3679" w:rsidRPr="00AB3679">
              <w:rPr>
                <w:noProof/>
                <w:szCs w:val="20"/>
              </w:rPr>
              <w:t xml:space="preserve"> 28</w:t>
            </w:r>
            <w:r w:rsidR="00AB3679" w:rsidRPr="006574BF">
              <w:rPr>
                <w:noProof/>
                <w:szCs w:val="20"/>
              </w:rPr>
              <w:t>th</w:t>
            </w:r>
            <w:r w:rsidR="00AB3679" w:rsidRPr="00AB3679">
              <w:rPr>
                <w:noProof/>
                <w:szCs w:val="20"/>
              </w:rPr>
              <w:t xml:space="preserve"> regime companies</w:t>
            </w:r>
            <w:r w:rsidR="00B011F8">
              <w:rPr>
                <w:noProof/>
                <w:szCs w:val="20"/>
              </w:rPr>
              <w:t xml:space="preserve"> </w:t>
            </w:r>
            <w:r w:rsidR="00AB3679" w:rsidRPr="00AB3679">
              <w:rPr>
                <w:noProof/>
                <w:szCs w:val="20"/>
              </w:rPr>
              <w:t xml:space="preserve">access </w:t>
            </w:r>
            <w:r w:rsidR="00B011F8">
              <w:rPr>
                <w:noProof/>
                <w:szCs w:val="20"/>
              </w:rPr>
              <w:t>to</w:t>
            </w:r>
            <w:r w:rsidR="00AB3679" w:rsidRPr="00AB3679">
              <w:rPr>
                <w:noProof/>
                <w:szCs w:val="20"/>
              </w:rPr>
              <w:t xml:space="preserve"> public equity markets without mandatory conversion</w:t>
            </w:r>
            <w:r w:rsidR="00527044">
              <w:rPr>
                <w:noProof/>
                <w:szCs w:val="20"/>
              </w:rPr>
              <w:t>.</w:t>
            </w:r>
            <w:r w:rsidR="00AB3679" w:rsidRPr="00AB3679">
              <w:rPr>
                <w:noProof/>
                <w:szCs w:val="20"/>
              </w:rPr>
              <w:t xml:space="preserve"> </w:t>
            </w:r>
            <w:r w:rsidR="00527044">
              <w:rPr>
                <w:noProof/>
                <w:szCs w:val="20"/>
              </w:rPr>
              <w:t xml:space="preserve">In those Member States that would </w:t>
            </w:r>
            <w:r w:rsidR="006827FD">
              <w:rPr>
                <w:noProof/>
                <w:szCs w:val="20"/>
              </w:rPr>
              <w:t>choose this option</w:t>
            </w:r>
            <w:r w:rsidR="00527044">
              <w:rPr>
                <w:noProof/>
                <w:szCs w:val="20"/>
              </w:rPr>
              <w:t xml:space="preserve">, </w:t>
            </w:r>
            <w:r w:rsidR="00AB3679" w:rsidRPr="00AB3679">
              <w:rPr>
                <w:noProof/>
                <w:szCs w:val="20"/>
              </w:rPr>
              <w:t xml:space="preserve">it </w:t>
            </w:r>
            <w:r w:rsidR="00527044">
              <w:rPr>
                <w:noProof/>
                <w:szCs w:val="20"/>
              </w:rPr>
              <w:t>would</w:t>
            </w:r>
            <w:r w:rsidR="00AB3679" w:rsidRPr="00AB3679">
              <w:rPr>
                <w:noProof/>
                <w:szCs w:val="20"/>
              </w:rPr>
              <w:t xml:space="preserve"> </w:t>
            </w:r>
            <w:r w:rsidR="00074B6E" w:rsidRPr="00AB3679">
              <w:rPr>
                <w:noProof/>
                <w:szCs w:val="20"/>
              </w:rPr>
              <w:t>enhanc</w:t>
            </w:r>
            <w:r w:rsidR="00074B6E">
              <w:rPr>
                <w:noProof/>
                <w:szCs w:val="20"/>
              </w:rPr>
              <w:t>e</w:t>
            </w:r>
            <w:r w:rsidR="00074B6E" w:rsidRPr="00AB3679">
              <w:rPr>
                <w:noProof/>
                <w:szCs w:val="20"/>
              </w:rPr>
              <w:t xml:space="preserve"> the Union’s attractiveness as a place to scale and exit innovative companies</w:t>
            </w:r>
            <w:r w:rsidR="00C80B50">
              <w:rPr>
                <w:noProof/>
                <w:szCs w:val="20"/>
              </w:rPr>
              <w:t xml:space="preserve"> </w:t>
            </w:r>
            <w:r w:rsidR="00705223" w:rsidRPr="00705223">
              <w:rPr>
                <w:noProof/>
                <w:szCs w:val="20"/>
              </w:rPr>
              <w:t xml:space="preserve">and </w:t>
            </w:r>
            <w:r w:rsidR="00404F77">
              <w:rPr>
                <w:noProof/>
                <w:szCs w:val="20"/>
              </w:rPr>
              <w:t>it would</w:t>
            </w:r>
            <w:r w:rsidR="00705223" w:rsidRPr="00705223">
              <w:rPr>
                <w:noProof/>
                <w:szCs w:val="20"/>
              </w:rPr>
              <w:t xml:space="preserve"> </w:t>
            </w:r>
            <w:r w:rsidR="00705223" w:rsidRPr="00DA3FC8">
              <w:rPr>
                <w:noProof/>
                <w:szCs w:val="20"/>
              </w:rPr>
              <w:t>strengthen the credibility of the EU framework as a viable alternative to non-EU jurisdictions</w:t>
            </w:r>
            <w:r w:rsidR="00555B84">
              <w:rPr>
                <w:noProof/>
                <w:szCs w:val="20"/>
              </w:rPr>
              <w:t>.</w:t>
            </w:r>
            <w:r w:rsidR="00C80B50">
              <w:rPr>
                <w:noProof/>
                <w:szCs w:val="20"/>
              </w:rPr>
              <w:t xml:space="preserve"> </w:t>
            </w:r>
            <w:r w:rsidR="00555B84">
              <w:rPr>
                <w:noProof/>
                <w:szCs w:val="20"/>
              </w:rPr>
              <w:t>F</w:t>
            </w:r>
            <w:r w:rsidR="00AB3679" w:rsidRPr="00AB3679">
              <w:rPr>
                <w:noProof/>
                <w:szCs w:val="20"/>
              </w:rPr>
              <w:t>eedback</w:t>
            </w:r>
            <w:r w:rsidR="00555B84">
              <w:rPr>
                <w:noProof/>
                <w:szCs w:val="20"/>
              </w:rPr>
              <w:t xml:space="preserve"> from workshops with companies</w:t>
            </w:r>
            <w:r w:rsidR="00AB3679" w:rsidRPr="00AB3679">
              <w:rPr>
                <w:noProof/>
                <w:szCs w:val="20"/>
              </w:rPr>
              <w:t xml:space="preserve"> and bilateral interviews confirmed that </w:t>
            </w:r>
            <w:r w:rsidR="00E36CB8">
              <w:rPr>
                <w:noProof/>
                <w:szCs w:val="20"/>
              </w:rPr>
              <w:t>a need for</w:t>
            </w:r>
            <w:r w:rsidR="00AB3679" w:rsidRPr="00AB3679">
              <w:rPr>
                <w:noProof/>
                <w:szCs w:val="20"/>
              </w:rPr>
              <w:t xml:space="preserve"> conversion</w:t>
            </w:r>
            <w:r w:rsidR="00862841">
              <w:rPr>
                <w:noProof/>
                <w:szCs w:val="20"/>
              </w:rPr>
              <w:t xml:space="preserve"> into a national public </w:t>
            </w:r>
            <w:r w:rsidR="00D25239">
              <w:rPr>
                <w:noProof/>
                <w:szCs w:val="20"/>
              </w:rPr>
              <w:t>company legal form</w:t>
            </w:r>
            <w:r w:rsidR="00862841">
              <w:rPr>
                <w:noProof/>
                <w:szCs w:val="20"/>
              </w:rPr>
              <w:t xml:space="preserve"> before</w:t>
            </w:r>
            <w:r w:rsidR="00D25239">
              <w:rPr>
                <w:noProof/>
                <w:szCs w:val="20"/>
              </w:rPr>
              <w:t xml:space="preserve"> entering public equity markets</w:t>
            </w:r>
            <w:r w:rsidR="00862841">
              <w:rPr>
                <w:noProof/>
                <w:szCs w:val="20"/>
              </w:rPr>
              <w:t xml:space="preserve"> </w:t>
            </w:r>
            <w:r w:rsidR="009D0549">
              <w:rPr>
                <w:noProof/>
                <w:szCs w:val="20"/>
              </w:rPr>
              <w:t>would</w:t>
            </w:r>
            <w:r w:rsidR="00AB3679" w:rsidRPr="00AB3679">
              <w:rPr>
                <w:noProof/>
                <w:szCs w:val="20"/>
              </w:rPr>
              <w:t xml:space="preserve"> weaken the value proposition </w:t>
            </w:r>
            <w:r w:rsidR="009D0549">
              <w:rPr>
                <w:noProof/>
                <w:szCs w:val="20"/>
              </w:rPr>
              <w:t>of the 28</w:t>
            </w:r>
            <w:r w:rsidR="009D0549" w:rsidRPr="00985A45">
              <w:rPr>
                <w:noProof/>
                <w:szCs w:val="20"/>
                <w:vertAlign w:val="superscript"/>
              </w:rPr>
              <w:t>th</w:t>
            </w:r>
            <w:r w:rsidR="009D0549">
              <w:rPr>
                <w:noProof/>
                <w:szCs w:val="20"/>
              </w:rPr>
              <w:t xml:space="preserve"> regime</w:t>
            </w:r>
            <w:r w:rsidR="00AB3679" w:rsidRPr="00AB3679">
              <w:rPr>
                <w:noProof/>
                <w:szCs w:val="20"/>
              </w:rPr>
              <w:t xml:space="preserve"> at the IPO stage. </w:t>
            </w:r>
          </w:p>
        </w:tc>
      </w:tr>
    </w:tbl>
    <w:p w14:paraId="452A9F1F" w14:textId="77777777" w:rsidR="00DF5E69" w:rsidRDefault="00DF5E69" w:rsidP="00AE04B0">
      <w:pPr>
        <w:tabs>
          <w:tab w:val="left" w:pos="170"/>
        </w:tabs>
        <w:rPr>
          <w:noProof/>
        </w:rPr>
      </w:pPr>
    </w:p>
    <w:p w14:paraId="66DD999C" w14:textId="77777777" w:rsidR="000F07E3" w:rsidRPr="00DC59F6" w:rsidRDefault="000F07E3" w:rsidP="00025EAA">
      <w:pPr>
        <w:rPr>
          <w:noProof/>
          <w:lang w:val="en-IE"/>
        </w:rPr>
      </w:pPr>
    </w:p>
    <w:p w14:paraId="664F3096" w14:textId="77777777" w:rsidR="003C52CD" w:rsidRDefault="003C52CD" w:rsidP="003C52CD">
      <w:pPr>
        <w:rPr>
          <w:noProof/>
        </w:rPr>
      </w:pPr>
    </w:p>
    <w:p w14:paraId="50B31AA9" w14:textId="77777777" w:rsidR="003C52CD" w:rsidRDefault="003C52CD" w:rsidP="003C52CD">
      <w:pPr>
        <w:rPr>
          <w:noProof/>
        </w:rPr>
      </w:pPr>
    </w:p>
    <w:p w14:paraId="523B5AC7" w14:textId="77777777" w:rsidR="00AE04B0" w:rsidRDefault="00AE04B0" w:rsidP="00AE04B0">
      <w:pPr>
        <w:tabs>
          <w:tab w:val="left" w:pos="170"/>
        </w:tabs>
        <w:rPr>
          <w:noProof/>
        </w:rPr>
      </w:pPr>
    </w:p>
    <w:p w14:paraId="5424A976" w14:textId="77777777" w:rsidR="003C52CD" w:rsidRDefault="003C52CD" w:rsidP="003C52CD">
      <w:pPr>
        <w:rPr>
          <w:noProof/>
        </w:rPr>
      </w:pPr>
    </w:p>
    <w:p w14:paraId="78F13DFC" w14:textId="77777777" w:rsidR="00AE04B0" w:rsidRDefault="00AE04B0" w:rsidP="00AE04B0">
      <w:pPr>
        <w:tabs>
          <w:tab w:val="left" w:pos="170"/>
        </w:tabs>
        <w:rPr>
          <w:noProof/>
        </w:rPr>
      </w:pPr>
    </w:p>
    <w:p w14:paraId="239901D7" w14:textId="77777777" w:rsidR="003C52CD" w:rsidRDefault="003C52CD" w:rsidP="003C52CD">
      <w:pPr>
        <w:rPr>
          <w:noProof/>
        </w:rPr>
        <w:sectPr w:rsidR="003C52CD" w:rsidSect="00637669">
          <w:headerReference w:type="default" r:id="rId28"/>
          <w:footerReference w:type="default" r:id="rId29"/>
          <w:pgSz w:w="16838" w:h="11906" w:orient="landscape"/>
          <w:pgMar w:top="1701" w:right="1418" w:bottom="1418" w:left="1418" w:header="567" w:footer="340" w:gutter="0"/>
          <w:cols w:space="708"/>
          <w:docGrid w:linePitch="360"/>
        </w:sectPr>
      </w:pPr>
    </w:p>
    <w:p w14:paraId="3E299A60" w14:textId="77777777" w:rsidR="003C52CD" w:rsidRPr="00C457EC" w:rsidRDefault="003C52CD" w:rsidP="00C4288E">
      <w:pPr>
        <w:pStyle w:val="Heading1"/>
        <w:numPr>
          <w:ilvl w:val="1"/>
          <w:numId w:val="14"/>
        </w:numPr>
        <w:tabs>
          <w:tab w:val="num" w:pos="360"/>
          <w:tab w:val="num" w:pos="1200"/>
        </w:tabs>
        <w:ind w:left="788" w:hanging="431"/>
        <w:rPr>
          <w:noProof/>
          <w:szCs w:val="24"/>
        </w:rPr>
      </w:pPr>
      <w:bookmarkStart w:id="67" w:name="_Toc126870458"/>
      <w:bookmarkStart w:id="68" w:name="_Toc126873041"/>
      <w:bookmarkStart w:id="69" w:name="_Toc126916127"/>
      <w:bookmarkStart w:id="70" w:name="_Toc126916942"/>
      <w:bookmarkStart w:id="71" w:name="_Toc126919388"/>
      <w:bookmarkStart w:id="72" w:name="_Toc126919843"/>
      <w:bookmarkStart w:id="73" w:name="_Toc126928436"/>
      <w:bookmarkStart w:id="74" w:name="_Toc126930813"/>
      <w:r w:rsidRPr="00C457EC">
        <w:rPr>
          <w:noProof/>
          <w:szCs w:val="24"/>
        </w:rPr>
        <w:t>Coherence of the policy options</w:t>
      </w:r>
      <w:bookmarkEnd w:id="67"/>
      <w:bookmarkEnd w:id="68"/>
      <w:bookmarkEnd w:id="69"/>
      <w:bookmarkEnd w:id="70"/>
      <w:bookmarkEnd w:id="71"/>
      <w:bookmarkEnd w:id="72"/>
      <w:bookmarkEnd w:id="73"/>
      <w:bookmarkEnd w:id="74"/>
    </w:p>
    <w:p w14:paraId="101DDACC" w14:textId="77777777" w:rsidR="001B263E" w:rsidRPr="009705F3" w:rsidRDefault="003C52CD" w:rsidP="00AF679D">
      <w:pPr>
        <w:pStyle w:val="Heading2"/>
        <w:numPr>
          <w:ilvl w:val="0"/>
          <w:numId w:val="0"/>
        </w:numPr>
        <w:ind w:left="680"/>
        <w:jc w:val="both"/>
        <w:rPr>
          <w:rFonts w:eastAsia="Courier New"/>
          <w:i/>
          <w:iCs/>
          <w:noProof/>
          <w:u w:val="single"/>
        </w:rPr>
      </w:pPr>
      <w:bookmarkStart w:id="75" w:name="_Toc126870459"/>
      <w:bookmarkStart w:id="76" w:name="_Toc126873042"/>
      <w:bookmarkStart w:id="77" w:name="_Toc126916128"/>
      <w:bookmarkStart w:id="78" w:name="_Toc126916943"/>
      <w:bookmarkStart w:id="79" w:name="_Toc126919389"/>
      <w:bookmarkStart w:id="80" w:name="_Toc126919844"/>
      <w:bookmarkStart w:id="81" w:name="_Toc126928437"/>
      <w:bookmarkStart w:id="82" w:name="_Toc126930814"/>
      <w:r w:rsidRPr="00C15741">
        <w:rPr>
          <w:rFonts w:eastAsia="Courier New"/>
          <w:noProof/>
          <w:u w:val="single"/>
        </w:rPr>
        <w:t xml:space="preserve">Policy options 1 </w:t>
      </w:r>
      <w:bookmarkEnd w:id="75"/>
      <w:bookmarkEnd w:id="76"/>
      <w:bookmarkEnd w:id="77"/>
      <w:bookmarkEnd w:id="78"/>
      <w:bookmarkEnd w:id="79"/>
      <w:bookmarkEnd w:id="80"/>
      <w:bookmarkEnd w:id="81"/>
      <w:bookmarkEnd w:id="82"/>
      <w:r w:rsidR="001B263E" w:rsidRPr="004C378E">
        <w:rPr>
          <w:rFonts w:eastAsia="Courier New"/>
          <w:noProof/>
          <w:u w:val="single"/>
        </w:rPr>
        <w:t>to</w:t>
      </w:r>
      <w:r w:rsidR="001B263E" w:rsidRPr="009705F3">
        <w:rPr>
          <w:rFonts w:eastAsia="Courier New"/>
          <w:i/>
          <w:iCs/>
          <w:noProof/>
          <w:u w:val="single"/>
        </w:rPr>
        <w:t xml:space="preserve"> </w:t>
      </w:r>
      <w:r w:rsidR="001B263E" w:rsidRPr="004C378E">
        <w:rPr>
          <w:rFonts w:eastAsia="Courier New"/>
          <w:noProof/>
          <w:u w:val="single"/>
        </w:rPr>
        <w:t>provide a harmonised company legal form for entrepreneurs</w:t>
      </w:r>
    </w:p>
    <w:p w14:paraId="645F8957" w14:textId="531AC8B6" w:rsidR="001B263E" w:rsidRPr="009705F3" w:rsidRDefault="001B263E" w:rsidP="00C4288E">
      <w:pPr>
        <w:pStyle w:val="Heading2"/>
        <w:numPr>
          <w:ilvl w:val="0"/>
          <w:numId w:val="15"/>
        </w:numPr>
        <w:jc w:val="both"/>
        <w:rPr>
          <w:rFonts w:eastAsia="Courier New"/>
          <w:b w:val="0"/>
          <w:bCs w:val="0"/>
          <w:noProof/>
          <w:sz w:val="20"/>
          <w:szCs w:val="24"/>
        </w:rPr>
      </w:pPr>
      <w:r w:rsidRPr="009705F3">
        <w:rPr>
          <w:rFonts w:eastAsia="Courier New"/>
          <w:b w:val="0"/>
          <w:bCs w:val="0"/>
          <w:noProof/>
          <w:sz w:val="20"/>
          <w:szCs w:val="24"/>
        </w:rPr>
        <w:t>Policy option 1a - Introduce a new harmonised legal form for a 28</w:t>
      </w:r>
      <w:r w:rsidRPr="006574BF">
        <w:rPr>
          <w:rFonts w:eastAsia="Courier New"/>
          <w:b w:val="0"/>
          <w:noProof/>
          <w:sz w:val="20"/>
          <w:szCs w:val="24"/>
        </w:rPr>
        <w:t>th</w:t>
      </w:r>
      <w:r w:rsidRPr="009705F3">
        <w:rPr>
          <w:rFonts w:eastAsia="Courier New"/>
          <w:b w:val="0"/>
          <w:bCs w:val="0"/>
          <w:noProof/>
          <w:sz w:val="20"/>
          <w:szCs w:val="24"/>
        </w:rPr>
        <w:t xml:space="preserve"> regime company with a recognisable EU brand</w:t>
      </w:r>
      <w:r w:rsidR="00921B04">
        <w:rPr>
          <w:rFonts w:eastAsia="Courier New"/>
          <w:b w:val="0"/>
          <w:bCs w:val="0"/>
          <w:noProof/>
          <w:sz w:val="20"/>
          <w:szCs w:val="24"/>
        </w:rPr>
        <w:t>, to be set up by n</w:t>
      </w:r>
      <w:r w:rsidRPr="009705F3">
        <w:rPr>
          <w:rFonts w:eastAsia="Courier New"/>
          <w:b w:val="0"/>
          <w:bCs w:val="0"/>
          <w:noProof/>
          <w:sz w:val="20"/>
          <w:szCs w:val="24"/>
        </w:rPr>
        <w:t>atural persons as founders.</w:t>
      </w:r>
    </w:p>
    <w:p w14:paraId="4024C884" w14:textId="38008A00" w:rsidR="001B263E" w:rsidRPr="009705F3" w:rsidRDefault="001B263E" w:rsidP="00C4288E">
      <w:pPr>
        <w:pStyle w:val="Heading2"/>
        <w:numPr>
          <w:ilvl w:val="0"/>
          <w:numId w:val="15"/>
        </w:numPr>
        <w:jc w:val="both"/>
        <w:rPr>
          <w:rFonts w:eastAsia="Courier New"/>
          <w:b w:val="0"/>
          <w:bCs w:val="0"/>
          <w:noProof/>
          <w:sz w:val="20"/>
          <w:szCs w:val="24"/>
        </w:rPr>
      </w:pPr>
      <w:r w:rsidRPr="009705F3">
        <w:rPr>
          <w:rFonts w:eastAsia="Courier New"/>
          <w:b w:val="0"/>
          <w:bCs w:val="0"/>
          <w:noProof/>
          <w:sz w:val="20"/>
          <w:szCs w:val="24"/>
        </w:rPr>
        <w:t xml:space="preserve">Policy option 1b - Option 1a + </w:t>
      </w:r>
      <w:r w:rsidR="00620502">
        <w:rPr>
          <w:rFonts w:eastAsia="Courier New"/>
          <w:b w:val="0"/>
          <w:bCs w:val="0"/>
          <w:noProof/>
          <w:sz w:val="20"/>
          <w:szCs w:val="24"/>
        </w:rPr>
        <w:t xml:space="preserve">to be set up </w:t>
      </w:r>
      <w:r w:rsidRPr="009705F3">
        <w:rPr>
          <w:rFonts w:eastAsia="Courier New"/>
          <w:b w:val="0"/>
          <w:bCs w:val="0"/>
          <w:noProof/>
          <w:sz w:val="20"/>
          <w:szCs w:val="24"/>
        </w:rPr>
        <w:t xml:space="preserve">also </w:t>
      </w:r>
      <w:r w:rsidR="00620502">
        <w:rPr>
          <w:rFonts w:eastAsia="Courier New"/>
          <w:b w:val="0"/>
          <w:bCs w:val="0"/>
          <w:noProof/>
          <w:sz w:val="20"/>
          <w:szCs w:val="24"/>
        </w:rPr>
        <w:t>by</w:t>
      </w:r>
      <w:r w:rsidRPr="009705F3">
        <w:rPr>
          <w:rFonts w:eastAsia="Courier New"/>
          <w:b w:val="0"/>
          <w:bCs w:val="0"/>
          <w:noProof/>
          <w:sz w:val="20"/>
          <w:szCs w:val="24"/>
        </w:rPr>
        <w:t xml:space="preserve"> legal persons (28</w:t>
      </w:r>
      <w:r w:rsidRPr="006574BF">
        <w:rPr>
          <w:rFonts w:eastAsia="Courier New"/>
          <w:b w:val="0"/>
          <w:noProof/>
          <w:sz w:val="20"/>
          <w:szCs w:val="24"/>
        </w:rPr>
        <w:t>th</w:t>
      </w:r>
      <w:r w:rsidRPr="009705F3">
        <w:rPr>
          <w:rFonts w:eastAsia="Courier New"/>
          <w:b w:val="0"/>
          <w:bCs w:val="0"/>
          <w:noProof/>
          <w:sz w:val="20"/>
          <w:szCs w:val="24"/>
        </w:rPr>
        <w:t xml:space="preserve"> regime subsidiaries)</w:t>
      </w:r>
      <w:r w:rsidR="00620502">
        <w:rPr>
          <w:rFonts w:eastAsia="Courier New"/>
          <w:b w:val="0"/>
          <w:bCs w:val="0"/>
          <w:noProof/>
          <w:sz w:val="20"/>
          <w:szCs w:val="24"/>
        </w:rPr>
        <w:t>, with a possibility for e</w:t>
      </w:r>
      <w:r w:rsidRPr="009705F3">
        <w:rPr>
          <w:rFonts w:eastAsia="Courier New"/>
          <w:b w:val="0"/>
          <w:bCs w:val="0"/>
          <w:noProof/>
          <w:sz w:val="20"/>
          <w:szCs w:val="24"/>
        </w:rPr>
        <w:t xml:space="preserve">xisting companies </w:t>
      </w:r>
      <w:r w:rsidR="00620502">
        <w:rPr>
          <w:rFonts w:eastAsia="Courier New"/>
          <w:b w:val="0"/>
          <w:bCs w:val="0"/>
          <w:noProof/>
          <w:sz w:val="20"/>
          <w:szCs w:val="24"/>
        </w:rPr>
        <w:t xml:space="preserve">to </w:t>
      </w:r>
      <w:r w:rsidRPr="009705F3">
        <w:rPr>
          <w:rFonts w:eastAsia="Courier New"/>
          <w:b w:val="0"/>
          <w:bCs w:val="0"/>
          <w:noProof/>
          <w:sz w:val="20"/>
          <w:szCs w:val="24"/>
        </w:rPr>
        <w:t>convert through domestic conversion</w:t>
      </w:r>
      <w:r w:rsidR="00903BEB">
        <w:rPr>
          <w:rFonts w:eastAsia="Courier New"/>
          <w:b w:val="0"/>
          <w:bCs w:val="0"/>
          <w:noProof/>
          <w:sz w:val="20"/>
          <w:szCs w:val="24"/>
        </w:rPr>
        <w:t>s, and with</w:t>
      </w:r>
      <w:r w:rsidRPr="009705F3">
        <w:rPr>
          <w:rFonts w:eastAsia="Courier New"/>
          <w:b w:val="0"/>
          <w:bCs w:val="0"/>
          <w:noProof/>
          <w:sz w:val="20"/>
          <w:szCs w:val="24"/>
        </w:rPr>
        <w:t xml:space="preserve"> harmonised rules for setting up of branches of 28th regime companies.</w:t>
      </w:r>
    </w:p>
    <w:p w14:paraId="5E2D37BC" w14:textId="07BAE357" w:rsidR="001B263E" w:rsidRPr="009705F3" w:rsidRDefault="001B263E" w:rsidP="00C4288E">
      <w:pPr>
        <w:pStyle w:val="Heading2"/>
        <w:numPr>
          <w:ilvl w:val="0"/>
          <w:numId w:val="15"/>
        </w:numPr>
        <w:jc w:val="both"/>
        <w:rPr>
          <w:rFonts w:eastAsia="Courier New"/>
          <w:b w:val="0"/>
          <w:bCs w:val="0"/>
          <w:noProof/>
          <w:sz w:val="20"/>
          <w:szCs w:val="24"/>
        </w:rPr>
      </w:pPr>
      <w:r w:rsidRPr="009705F3">
        <w:rPr>
          <w:rFonts w:eastAsia="Courier New"/>
          <w:b w:val="0"/>
          <w:bCs w:val="0"/>
          <w:noProof/>
          <w:sz w:val="20"/>
          <w:szCs w:val="24"/>
        </w:rPr>
        <w:t xml:space="preserve">Policy option 1c - Option 1b + </w:t>
      </w:r>
      <w:r w:rsidR="00903BEB">
        <w:rPr>
          <w:rFonts w:eastAsia="Courier New"/>
          <w:b w:val="0"/>
          <w:bCs w:val="0"/>
          <w:noProof/>
          <w:sz w:val="20"/>
          <w:szCs w:val="24"/>
        </w:rPr>
        <w:t xml:space="preserve">a possibility for </w:t>
      </w:r>
      <w:r w:rsidRPr="009705F3">
        <w:rPr>
          <w:rFonts w:eastAsia="Courier New"/>
          <w:b w:val="0"/>
          <w:bCs w:val="0"/>
          <w:noProof/>
          <w:sz w:val="20"/>
          <w:szCs w:val="24"/>
        </w:rPr>
        <w:t xml:space="preserve">existing companies </w:t>
      </w:r>
      <w:r w:rsidR="00903BEB">
        <w:rPr>
          <w:rFonts w:eastAsia="Courier New"/>
          <w:b w:val="0"/>
          <w:bCs w:val="0"/>
          <w:noProof/>
          <w:sz w:val="20"/>
          <w:szCs w:val="24"/>
        </w:rPr>
        <w:t xml:space="preserve">to </w:t>
      </w:r>
      <w:r w:rsidRPr="009705F3">
        <w:rPr>
          <w:rFonts w:eastAsia="Courier New"/>
          <w:b w:val="0"/>
          <w:bCs w:val="0"/>
          <w:noProof/>
          <w:sz w:val="20"/>
          <w:szCs w:val="24"/>
        </w:rPr>
        <w:t>create a 28</w:t>
      </w:r>
      <w:r w:rsidRPr="006574BF">
        <w:rPr>
          <w:rFonts w:eastAsia="Courier New"/>
          <w:b w:val="0"/>
          <w:noProof/>
          <w:sz w:val="20"/>
          <w:szCs w:val="24"/>
        </w:rPr>
        <w:t>th</w:t>
      </w:r>
      <w:r w:rsidRPr="009705F3">
        <w:rPr>
          <w:rFonts w:eastAsia="Courier New"/>
          <w:b w:val="0"/>
          <w:bCs w:val="0"/>
          <w:noProof/>
          <w:sz w:val="20"/>
          <w:szCs w:val="24"/>
        </w:rPr>
        <w:t xml:space="preserve"> regime company through a cross-border conversion, division or merger in accordance with Directive 2019/2121.</w:t>
      </w:r>
    </w:p>
    <w:tbl>
      <w:tblPr>
        <w:tblStyle w:val="TableGrid"/>
        <w:tblW w:w="9889" w:type="dxa"/>
        <w:tblLook w:val="04A0" w:firstRow="1" w:lastRow="0" w:firstColumn="1" w:lastColumn="0" w:noHBand="0" w:noVBand="1"/>
      </w:tblPr>
      <w:tblGrid>
        <w:gridCol w:w="1766"/>
        <w:gridCol w:w="823"/>
        <w:gridCol w:w="828"/>
        <w:gridCol w:w="828"/>
        <w:gridCol w:w="5644"/>
      </w:tblGrid>
      <w:tr w:rsidR="003C52CD" w:rsidRPr="00566C3C" w14:paraId="1848BE50" w14:textId="77777777">
        <w:tc>
          <w:tcPr>
            <w:tcW w:w="1766" w:type="dxa"/>
            <w:shd w:val="clear" w:color="auto" w:fill="95B3D7" w:themeFill="accent1" w:themeFillTint="99"/>
          </w:tcPr>
          <w:p w14:paraId="04B6C596" w14:textId="77777777" w:rsidR="003C52CD" w:rsidRPr="005A23B4" w:rsidRDefault="003C52CD">
            <w:pPr>
              <w:rPr>
                <w:rFonts w:cstheme="minorHAnsi"/>
                <w:b/>
                <w:noProof/>
                <w:szCs w:val="20"/>
              </w:rPr>
            </w:pPr>
            <w:r w:rsidRPr="005A23B4">
              <w:rPr>
                <w:rFonts w:cstheme="minorHAnsi"/>
                <w:b/>
                <w:noProof/>
                <w:szCs w:val="20"/>
              </w:rPr>
              <w:t>Unit of measurement</w:t>
            </w:r>
          </w:p>
        </w:tc>
        <w:tc>
          <w:tcPr>
            <w:tcW w:w="823" w:type="dxa"/>
            <w:shd w:val="clear" w:color="auto" w:fill="95B3D7" w:themeFill="accent1" w:themeFillTint="99"/>
          </w:tcPr>
          <w:p w14:paraId="72C6AFFB" w14:textId="77777777" w:rsidR="003C52CD" w:rsidRPr="005A23B4" w:rsidRDefault="003C52CD">
            <w:pPr>
              <w:rPr>
                <w:rFonts w:cstheme="minorHAnsi"/>
                <w:b/>
                <w:noProof/>
                <w:szCs w:val="20"/>
              </w:rPr>
            </w:pPr>
            <w:r w:rsidRPr="005A23B4">
              <w:rPr>
                <w:rFonts w:cstheme="minorHAnsi"/>
                <w:b/>
                <w:noProof/>
                <w:szCs w:val="20"/>
              </w:rPr>
              <w:t xml:space="preserve">PO1a </w:t>
            </w:r>
          </w:p>
        </w:tc>
        <w:tc>
          <w:tcPr>
            <w:tcW w:w="828" w:type="dxa"/>
            <w:shd w:val="clear" w:color="auto" w:fill="95B3D7" w:themeFill="accent1" w:themeFillTint="99"/>
          </w:tcPr>
          <w:p w14:paraId="4B5A1BA1" w14:textId="77777777" w:rsidR="003C52CD" w:rsidRPr="005A23B4" w:rsidRDefault="003C52CD">
            <w:pPr>
              <w:rPr>
                <w:rFonts w:cstheme="minorHAnsi"/>
                <w:b/>
                <w:noProof/>
                <w:szCs w:val="20"/>
              </w:rPr>
            </w:pPr>
            <w:r w:rsidRPr="005A23B4">
              <w:rPr>
                <w:rFonts w:cstheme="minorHAnsi"/>
                <w:b/>
                <w:noProof/>
                <w:szCs w:val="20"/>
              </w:rPr>
              <w:t>PO1b</w:t>
            </w:r>
          </w:p>
          <w:p w14:paraId="5AE2DB9C" w14:textId="77777777" w:rsidR="003C52CD" w:rsidRPr="005A23B4" w:rsidRDefault="003C52CD">
            <w:pPr>
              <w:rPr>
                <w:rFonts w:cstheme="minorHAnsi"/>
                <w:b/>
                <w:noProof/>
                <w:szCs w:val="20"/>
              </w:rPr>
            </w:pPr>
          </w:p>
        </w:tc>
        <w:tc>
          <w:tcPr>
            <w:tcW w:w="828" w:type="dxa"/>
            <w:shd w:val="clear" w:color="auto" w:fill="95B3D7" w:themeFill="accent1" w:themeFillTint="99"/>
          </w:tcPr>
          <w:p w14:paraId="4C0FCDA2" w14:textId="77777777" w:rsidR="003C52CD" w:rsidRPr="005A23B4" w:rsidRDefault="003C52CD">
            <w:pPr>
              <w:rPr>
                <w:rFonts w:cstheme="minorHAnsi"/>
                <w:b/>
                <w:noProof/>
                <w:szCs w:val="20"/>
              </w:rPr>
            </w:pPr>
            <w:r w:rsidRPr="005A23B4">
              <w:rPr>
                <w:rFonts w:cstheme="minorHAnsi"/>
                <w:b/>
                <w:noProof/>
                <w:szCs w:val="20"/>
              </w:rPr>
              <w:t>PO1c</w:t>
            </w:r>
          </w:p>
          <w:p w14:paraId="15509127" w14:textId="77777777" w:rsidR="003C52CD" w:rsidRPr="005A23B4" w:rsidRDefault="003C52CD">
            <w:pPr>
              <w:rPr>
                <w:rFonts w:cstheme="minorHAnsi"/>
                <w:b/>
                <w:noProof/>
                <w:szCs w:val="20"/>
              </w:rPr>
            </w:pPr>
          </w:p>
        </w:tc>
        <w:tc>
          <w:tcPr>
            <w:tcW w:w="5644" w:type="dxa"/>
            <w:shd w:val="clear" w:color="auto" w:fill="95B3D7" w:themeFill="accent1" w:themeFillTint="99"/>
          </w:tcPr>
          <w:p w14:paraId="4EDD3BB7" w14:textId="77777777" w:rsidR="003C52CD" w:rsidRPr="005A23B4" w:rsidRDefault="003C52CD">
            <w:pPr>
              <w:rPr>
                <w:rFonts w:cstheme="minorHAnsi"/>
                <w:b/>
                <w:noProof/>
                <w:szCs w:val="20"/>
              </w:rPr>
            </w:pPr>
            <w:r w:rsidRPr="005A23B4">
              <w:rPr>
                <w:rFonts w:cstheme="minorHAnsi"/>
                <w:b/>
                <w:noProof/>
                <w:szCs w:val="20"/>
              </w:rPr>
              <w:t>Motivation</w:t>
            </w:r>
          </w:p>
        </w:tc>
      </w:tr>
      <w:tr w:rsidR="003C52CD" w:rsidRPr="00566C3C" w14:paraId="731C04EF" w14:textId="77777777">
        <w:tc>
          <w:tcPr>
            <w:tcW w:w="1766" w:type="dxa"/>
          </w:tcPr>
          <w:p w14:paraId="39B9CCF1" w14:textId="77777777" w:rsidR="003C52CD" w:rsidRPr="005A23B4" w:rsidRDefault="003C52CD">
            <w:pPr>
              <w:rPr>
                <w:rFonts w:cstheme="minorHAnsi"/>
                <w:b/>
                <w:noProof/>
                <w:szCs w:val="20"/>
              </w:rPr>
            </w:pPr>
            <w:r w:rsidRPr="005A23B4">
              <w:rPr>
                <w:rFonts w:cstheme="minorHAnsi"/>
                <w:noProof/>
                <w:szCs w:val="20"/>
              </w:rPr>
              <w:t xml:space="preserve">Score 1-5 </w:t>
            </w:r>
          </w:p>
        </w:tc>
        <w:tc>
          <w:tcPr>
            <w:tcW w:w="823" w:type="dxa"/>
          </w:tcPr>
          <w:p w14:paraId="27F81723" w14:textId="43920F60" w:rsidR="003C52CD" w:rsidRPr="00F14C04" w:rsidRDefault="00CD5217" w:rsidP="00F14C04">
            <w:pPr>
              <w:jc w:val="center"/>
              <w:rPr>
                <w:rFonts w:cstheme="minorHAnsi"/>
                <w:bCs/>
                <w:noProof/>
                <w:szCs w:val="20"/>
              </w:rPr>
            </w:pPr>
            <w:r>
              <w:rPr>
                <w:rFonts w:cstheme="minorHAnsi"/>
                <w:bCs/>
                <w:noProof/>
                <w:szCs w:val="20"/>
              </w:rPr>
              <w:t>3</w:t>
            </w:r>
          </w:p>
        </w:tc>
        <w:tc>
          <w:tcPr>
            <w:tcW w:w="828" w:type="dxa"/>
          </w:tcPr>
          <w:p w14:paraId="739C6E88" w14:textId="3E80CE9D" w:rsidR="003C52CD" w:rsidRPr="00F14C04" w:rsidRDefault="00CD5217" w:rsidP="00F14C04">
            <w:pPr>
              <w:jc w:val="center"/>
              <w:rPr>
                <w:rFonts w:cstheme="minorHAnsi"/>
                <w:bCs/>
                <w:noProof/>
                <w:szCs w:val="20"/>
              </w:rPr>
            </w:pPr>
            <w:r>
              <w:rPr>
                <w:rFonts w:cstheme="minorHAnsi"/>
                <w:bCs/>
                <w:noProof/>
                <w:szCs w:val="20"/>
              </w:rPr>
              <w:t>4</w:t>
            </w:r>
          </w:p>
        </w:tc>
        <w:tc>
          <w:tcPr>
            <w:tcW w:w="828" w:type="dxa"/>
          </w:tcPr>
          <w:p w14:paraId="534948EC" w14:textId="345F8E6B" w:rsidR="003C52CD" w:rsidRPr="00F14C04" w:rsidRDefault="00CD5217" w:rsidP="00F14C04">
            <w:pPr>
              <w:jc w:val="center"/>
              <w:rPr>
                <w:rFonts w:cstheme="minorHAnsi"/>
                <w:bCs/>
                <w:noProof/>
                <w:szCs w:val="20"/>
              </w:rPr>
            </w:pPr>
            <w:r>
              <w:rPr>
                <w:rFonts w:cstheme="minorHAnsi"/>
                <w:bCs/>
                <w:noProof/>
                <w:szCs w:val="20"/>
              </w:rPr>
              <w:t>4</w:t>
            </w:r>
          </w:p>
        </w:tc>
        <w:tc>
          <w:tcPr>
            <w:tcW w:w="5644" w:type="dxa"/>
          </w:tcPr>
          <w:p w14:paraId="4C3699D6" w14:textId="1311FF45" w:rsidR="00F14C04" w:rsidRDefault="003C52CD" w:rsidP="00F14C04">
            <w:pPr>
              <w:jc w:val="both"/>
              <w:rPr>
                <w:noProof/>
              </w:rPr>
            </w:pPr>
            <w:r w:rsidRPr="0CC5BB1D">
              <w:rPr>
                <w:noProof/>
                <w:u w:val="single"/>
              </w:rPr>
              <w:t>Internal coherence:</w:t>
            </w:r>
            <w:r w:rsidRPr="0CC5BB1D">
              <w:rPr>
                <w:noProof/>
              </w:rPr>
              <w:t xml:space="preserve"> </w:t>
            </w:r>
            <w:r w:rsidR="00C42566" w:rsidRPr="0CC5BB1D">
              <w:rPr>
                <w:noProof/>
              </w:rPr>
              <w:t xml:space="preserve">Policy options 1a, 1b and 1c are all coherent and </w:t>
            </w:r>
            <w:r w:rsidR="0059178F" w:rsidRPr="0CC5BB1D">
              <w:rPr>
                <w:noProof/>
              </w:rPr>
              <w:t xml:space="preserve">complementary with the other options of the initiative. </w:t>
            </w:r>
            <w:r w:rsidR="007F4595" w:rsidRPr="0CC5BB1D">
              <w:rPr>
                <w:noProof/>
              </w:rPr>
              <w:t>While t</w:t>
            </w:r>
            <w:r w:rsidR="0059178F" w:rsidRPr="0CC5BB1D">
              <w:rPr>
                <w:noProof/>
              </w:rPr>
              <w:t xml:space="preserve">hey </w:t>
            </w:r>
            <w:r w:rsidR="00910D15" w:rsidRPr="0CC5BB1D">
              <w:rPr>
                <w:noProof/>
              </w:rPr>
              <w:t>will provide a common legal form with recognisable brand which is at the heart of the initiative</w:t>
            </w:r>
            <w:r w:rsidR="007F4595" w:rsidRPr="0CC5BB1D">
              <w:rPr>
                <w:noProof/>
              </w:rPr>
              <w:t>, t</w:t>
            </w:r>
            <w:r w:rsidR="00910D15" w:rsidRPr="0CC5BB1D">
              <w:rPr>
                <w:noProof/>
              </w:rPr>
              <w:t xml:space="preserve">he </w:t>
            </w:r>
            <w:r w:rsidR="006550D2" w:rsidRPr="0CC5BB1D">
              <w:rPr>
                <w:noProof/>
              </w:rPr>
              <w:t xml:space="preserve">other </w:t>
            </w:r>
            <w:r w:rsidR="00910D15" w:rsidRPr="0CC5BB1D">
              <w:rPr>
                <w:noProof/>
              </w:rPr>
              <w:t xml:space="preserve">policy options </w:t>
            </w:r>
            <w:r w:rsidR="00525D56" w:rsidRPr="0CC5BB1D">
              <w:rPr>
                <w:noProof/>
              </w:rPr>
              <w:t xml:space="preserve">will provide </w:t>
            </w:r>
            <w:r w:rsidR="007F4595" w:rsidRPr="0CC5BB1D">
              <w:rPr>
                <w:noProof/>
              </w:rPr>
              <w:t xml:space="preserve">complementary </w:t>
            </w:r>
            <w:r w:rsidR="00C77126" w:rsidRPr="0CC5BB1D">
              <w:rPr>
                <w:noProof/>
              </w:rPr>
              <w:t xml:space="preserve">common </w:t>
            </w:r>
            <w:r w:rsidR="00D82BC4" w:rsidRPr="0CC5BB1D">
              <w:rPr>
                <w:noProof/>
              </w:rPr>
              <w:t xml:space="preserve">rules and </w:t>
            </w:r>
            <w:r w:rsidR="00525D56" w:rsidRPr="0CC5BB1D">
              <w:rPr>
                <w:noProof/>
              </w:rPr>
              <w:t xml:space="preserve">procedures </w:t>
            </w:r>
            <w:r w:rsidR="002B5985" w:rsidRPr="0CC5BB1D">
              <w:rPr>
                <w:noProof/>
              </w:rPr>
              <w:t>relevant for different parts of the</w:t>
            </w:r>
            <w:r w:rsidR="00DB37B2" w:rsidRPr="0CC5BB1D">
              <w:rPr>
                <w:noProof/>
              </w:rPr>
              <w:t xml:space="preserve"> companies’</w:t>
            </w:r>
            <w:r w:rsidR="007303FE" w:rsidRPr="0CC5BB1D">
              <w:rPr>
                <w:noProof/>
              </w:rPr>
              <w:t>,</w:t>
            </w:r>
            <w:r w:rsidR="00DB37B2" w:rsidRPr="0CC5BB1D">
              <w:rPr>
                <w:noProof/>
              </w:rPr>
              <w:t xml:space="preserve"> in particular</w:t>
            </w:r>
            <w:r w:rsidR="002B5985" w:rsidRPr="0CC5BB1D">
              <w:rPr>
                <w:noProof/>
              </w:rPr>
              <w:t xml:space="preserve"> </w:t>
            </w:r>
            <w:r w:rsidR="4F824169" w:rsidRPr="0CC5BB1D">
              <w:rPr>
                <w:noProof/>
              </w:rPr>
              <w:t>s</w:t>
            </w:r>
            <w:r w:rsidR="799426C6" w:rsidRPr="0CC5BB1D">
              <w:rPr>
                <w:noProof/>
              </w:rPr>
              <w:t>tartup</w:t>
            </w:r>
            <w:r w:rsidR="4F824169" w:rsidRPr="0CC5BB1D">
              <w:rPr>
                <w:noProof/>
              </w:rPr>
              <w:t>s’</w:t>
            </w:r>
            <w:r w:rsidR="002B5985" w:rsidRPr="0CC5BB1D">
              <w:rPr>
                <w:noProof/>
              </w:rPr>
              <w:t xml:space="preserve"> and </w:t>
            </w:r>
            <w:r w:rsidR="4F824169" w:rsidRPr="39C6EFBE">
              <w:rPr>
                <w:noProof/>
              </w:rPr>
              <w:t>s</w:t>
            </w:r>
            <w:r w:rsidR="6DC592A7" w:rsidRPr="39C6EFBE">
              <w:rPr>
                <w:noProof/>
              </w:rPr>
              <w:t>caleup</w:t>
            </w:r>
            <w:r w:rsidR="4F824169" w:rsidRPr="39C6EFBE">
              <w:rPr>
                <w:noProof/>
              </w:rPr>
              <w:t>s’</w:t>
            </w:r>
            <w:r w:rsidR="007303FE" w:rsidRPr="0CC5BB1D">
              <w:rPr>
                <w:noProof/>
              </w:rPr>
              <w:t>,</w:t>
            </w:r>
            <w:r w:rsidR="002B5985" w:rsidRPr="0CC5BB1D">
              <w:rPr>
                <w:noProof/>
              </w:rPr>
              <w:t xml:space="preserve"> life cycle</w:t>
            </w:r>
            <w:r w:rsidR="002E1268" w:rsidRPr="0CC5BB1D">
              <w:rPr>
                <w:noProof/>
              </w:rPr>
              <w:t>. For instance</w:t>
            </w:r>
            <w:r w:rsidR="002B5985" w:rsidRPr="0CC5BB1D">
              <w:rPr>
                <w:noProof/>
              </w:rPr>
              <w:t xml:space="preserve">, </w:t>
            </w:r>
            <w:r w:rsidR="002E1268" w:rsidRPr="0CC5BB1D">
              <w:rPr>
                <w:noProof/>
              </w:rPr>
              <w:t>policy options 2 and 3 will</w:t>
            </w:r>
            <w:r w:rsidR="00C77126" w:rsidRPr="0CC5BB1D">
              <w:rPr>
                <w:noProof/>
              </w:rPr>
              <w:t xml:space="preserve"> </w:t>
            </w:r>
            <w:r w:rsidR="007F4595" w:rsidRPr="0CC5BB1D">
              <w:rPr>
                <w:noProof/>
              </w:rPr>
              <w:t xml:space="preserve">ensure that a founder can set up </w:t>
            </w:r>
            <w:r w:rsidR="004B630E" w:rsidRPr="0CC5BB1D">
              <w:rPr>
                <w:noProof/>
              </w:rPr>
              <w:t xml:space="preserve">a </w:t>
            </w:r>
            <w:r w:rsidR="00CD4B35" w:rsidRPr="0CC5BB1D">
              <w:rPr>
                <w:noProof/>
              </w:rPr>
              <w:t>28</w:t>
            </w:r>
            <w:r w:rsidR="00CD4B35" w:rsidRPr="0CC5BB1D">
              <w:rPr>
                <w:noProof/>
                <w:vertAlign w:val="superscript"/>
              </w:rPr>
              <w:t>th</w:t>
            </w:r>
            <w:r w:rsidR="00CD4B35" w:rsidRPr="0CC5BB1D">
              <w:rPr>
                <w:noProof/>
              </w:rPr>
              <w:t xml:space="preserve"> regime </w:t>
            </w:r>
            <w:r w:rsidR="007F4595" w:rsidRPr="0CC5BB1D">
              <w:rPr>
                <w:noProof/>
              </w:rPr>
              <w:t xml:space="preserve">company in a simple and efficient way. </w:t>
            </w:r>
            <w:r w:rsidR="006D5512" w:rsidRPr="0CC5BB1D">
              <w:rPr>
                <w:noProof/>
              </w:rPr>
              <w:t>T</w:t>
            </w:r>
            <w:r w:rsidR="007D4009" w:rsidRPr="0CC5BB1D">
              <w:rPr>
                <w:noProof/>
              </w:rPr>
              <w:t>he</w:t>
            </w:r>
            <w:r w:rsidR="009F0BE0" w:rsidRPr="0CC5BB1D">
              <w:rPr>
                <w:noProof/>
              </w:rPr>
              <w:t xml:space="preserve"> option </w:t>
            </w:r>
            <w:r w:rsidR="007D4009" w:rsidRPr="0CC5BB1D">
              <w:rPr>
                <w:noProof/>
              </w:rPr>
              <w:t>5</w:t>
            </w:r>
            <w:r w:rsidR="00A236FE" w:rsidRPr="0CC5BB1D">
              <w:rPr>
                <w:noProof/>
              </w:rPr>
              <w:t xml:space="preserve"> will </w:t>
            </w:r>
            <w:r w:rsidR="00C1656F" w:rsidRPr="0CC5BB1D">
              <w:rPr>
                <w:rFonts w:eastAsia="Times New Roman"/>
                <w:noProof/>
              </w:rPr>
              <w:t xml:space="preserve">make it easier for </w:t>
            </w:r>
            <w:r w:rsidR="00BC0813" w:rsidRPr="0CC5BB1D">
              <w:rPr>
                <w:rFonts w:eastAsia="Times New Roman"/>
                <w:noProof/>
              </w:rPr>
              <w:t>28</w:t>
            </w:r>
            <w:r w:rsidR="00BC0813" w:rsidRPr="0CC5BB1D">
              <w:rPr>
                <w:rFonts w:eastAsia="Times New Roman"/>
                <w:noProof/>
                <w:vertAlign w:val="superscript"/>
              </w:rPr>
              <w:t>th</w:t>
            </w:r>
            <w:r w:rsidR="00BC0813" w:rsidRPr="0CC5BB1D">
              <w:rPr>
                <w:rFonts w:eastAsia="Times New Roman"/>
                <w:noProof/>
              </w:rPr>
              <w:t xml:space="preserve"> regime </w:t>
            </w:r>
            <w:r w:rsidR="00C1656F" w:rsidRPr="0CC5BB1D">
              <w:rPr>
                <w:rFonts w:eastAsia="Times New Roman"/>
                <w:noProof/>
              </w:rPr>
              <w:t>companies to attract and retain talent</w:t>
            </w:r>
            <w:r w:rsidR="0011439A" w:rsidRPr="0CC5BB1D">
              <w:rPr>
                <w:rFonts w:eastAsia="Times New Roman"/>
                <w:noProof/>
              </w:rPr>
              <w:t>; policy options 6 will</w:t>
            </w:r>
            <w:r w:rsidR="00C1656F" w:rsidRPr="0CC5BB1D">
              <w:rPr>
                <w:noProof/>
              </w:rPr>
              <w:t xml:space="preserve"> </w:t>
            </w:r>
            <w:r w:rsidR="00A236FE" w:rsidRPr="0CC5BB1D">
              <w:rPr>
                <w:noProof/>
              </w:rPr>
              <w:t xml:space="preserve">ensure </w:t>
            </w:r>
            <w:r w:rsidR="0011439A" w:rsidRPr="0CC5BB1D">
              <w:rPr>
                <w:noProof/>
              </w:rPr>
              <w:t xml:space="preserve">a flexible governance and capital regime, including </w:t>
            </w:r>
            <w:r w:rsidR="008A5CCA" w:rsidRPr="0CC5BB1D">
              <w:rPr>
                <w:noProof/>
              </w:rPr>
              <w:t>a</w:t>
            </w:r>
            <w:r w:rsidR="00A236FE" w:rsidRPr="0CC5BB1D">
              <w:rPr>
                <w:noProof/>
              </w:rPr>
              <w:t xml:space="preserve"> minimum capital requirement adapted to the needs of the </w:t>
            </w:r>
            <w:r w:rsidR="62A6BDFB" w:rsidRPr="0CC5BB1D">
              <w:rPr>
                <w:noProof/>
              </w:rPr>
              <w:t>s</w:t>
            </w:r>
            <w:r w:rsidR="0CF8D73A" w:rsidRPr="0CC5BB1D">
              <w:rPr>
                <w:noProof/>
              </w:rPr>
              <w:t>tartup</w:t>
            </w:r>
            <w:r w:rsidR="00A236FE" w:rsidRPr="0CC5BB1D">
              <w:rPr>
                <w:noProof/>
              </w:rPr>
              <w:t xml:space="preserve"> founders. </w:t>
            </w:r>
            <w:r w:rsidR="000D4B24" w:rsidRPr="0CC5BB1D">
              <w:rPr>
                <w:noProof/>
              </w:rPr>
              <w:t xml:space="preserve">In addition, policy options </w:t>
            </w:r>
            <w:r w:rsidR="007D4009" w:rsidRPr="0CC5BB1D">
              <w:rPr>
                <w:noProof/>
              </w:rPr>
              <w:t>6</w:t>
            </w:r>
            <w:r w:rsidR="006D5512" w:rsidRPr="0CC5BB1D">
              <w:rPr>
                <w:noProof/>
              </w:rPr>
              <w:t xml:space="preserve"> and 7 </w:t>
            </w:r>
            <w:r w:rsidR="008A5CCA" w:rsidRPr="0CC5BB1D">
              <w:rPr>
                <w:noProof/>
              </w:rPr>
              <w:t xml:space="preserve">will </w:t>
            </w:r>
            <w:r w:rsidR="006D5512" w:rsidRPr="0CC5BB1D">
              <w:rPr>
                <w:noProof/>
              </w:rPr>
              <w:t>ensure that the 28</w:t>
            </w:r>
            <w:r w:rsidR="006D5512" w:rsidRPr="0CC5BB1D">
              <w:rPr>
                <w:noProof/>
                <w:vertAlign w:val="superscript"/>
              </w:rPr>
              <w:t>th</w:t>
            </w:r>
            <w:r w:rsidR="006D5512" w:rsidRPr="0CC5BB1D">
              <w:rPr>
                <w:noProof/>
              </w:rPr>
              <w:t xml:space="preserve"> regime company can </w:t>
            </w:r>
            <w:r w:rsidR="009F0BE0" w:rsidRPr="0CC5BB1D">
              <w:rPr>
                <w:noProof/>
              </w:rPr>
              <w:t xml:space="preserve">have a simple and efficient rules for attracting investment </w:t>
            </w:r>
            <w:r w:rsidR="00C608B8" w:rsidRPr="0CC5BB1D">
              <w:rPr>
                <w:noProof/>
              </w:rPr>
              <w:t xml:space="preserve">to be able to </w:t>
            </w:r>
            <w:r w:rsidR="0EDC4311" w:rsidRPr="39C6EFBE">
              <w:rPr>
                <w:noProof/>
              </w:rPr>
              <w:t>s</w:t>
            </w:r>
            <w:r w:rsidR="308A6F70" w:rsidRPr="39C6EFBE">
              <w:rPr>
                <w:noProof/>
              </w:rPr>
              <w:t>caleup</w:t>
            </w:r>
            <w:r w:rsidR="00C608B8" w:rsidRPr="0CC5BB1D">
              <w:rPr>
                <w:noProof/>
              </w:rPr>
              <w:t xml:space="preserve"> while polic</w:t>
            </w:r>
            <w:r w:rsidR="00DF0AE8" w:rsidRPr="0CC5BB1D">
              <w:rPr>
                <w:noProof/>
              </w:rPr>
              <w:t>y</w:t>
            </w:r>
            <w:r w:rsidR="00C608B8" w:rsidRPr="0CC5BB1D">
              <w:rPr>
                <w:noProof/>
              </w:rPr>
              <w:t xml:space="preserve"> option 4 </w:t>
            </w:r>
            <w:r w:rsidR="00DF0AE8" w:rsidRPr="0CC5BB1D">
              <w:rPr>
                <w:noProof/>
              </w:rPr>
              <w:t>p</w:t>
            </w:r>
            <w:r w:rsidR="006D5512" w:rsidRPr="0CC5BB1D">
              <w:rPr>
                <w:noProof/>
              </w:rPr>
              <w:t>rovide for simple and efficient rules in case of closure of a 28</w:t>
            </w:r>
            <w:r w:rsidR="006D5512" w:rsidRPr="0CC5BB1D">
              <w:rPr>
                <w:noProof/>
                <w:vertAlign w:val="superscript"/>
              </w:rPr>
              <w:t>th</w:t>
            </w:r>
            <w:r w:rsidR="006D5512" w:rsidRPr="0CC5BB1D">
              <w:rPr>
                <w:noProof/>
              </w:rPr>
              <w:t xml:space="preserve"> regime company</w:t>
            </w:r>
            <w:r w:rsidR="00DF0AE8" w:rsidRPr="0CC5BB1D">
              <w:rPr>
                <w:noProof/>
              </w:rPr>
              <w:t xml:space="preserve">. </w:t>
            </w:r>
          </w:p>
          <w:p w14:paraId="307AD3CC" w14:textId="36655F53" w:rsidR="003C52CD" w:rsidRPr="00A8376E" w:rsidRDefault="003C52CD" w:rsidP="00F14C04">
            <w:pPr>
              <w:jc w:val="both"/>
              <w:rPr>
                <w:noProof/>
              </w:rPr>
            </w:pPr>
            <w:r w:rsidRPr="0CC5BB1D">
              <w:rPr>
                <w:noProof/>
                <w:u w:val="single"/>
              </w:rPr>
              <w:t>External coherence:</w:t>
            </w:r>
            <w:r w:rsidRPr="0CC5BB1D">
              <w:rPr>
                <w:i/>
                <w:noProof/>
              </w:rPr>
              <w:t xml:space="preserve"> </w:t>
            </w:r>
            <w:r w:rsidR="005A31A5" w:rsidRPr="0CC5BB1D">
              <w:rPr>
                <w:noProof/>
              </w:rPr>
              <w:t xml:space="preserve">By providing a harmonised company legal form addressing the </w:t>
            </w:r>
            <w:r w:rsidR="00314E02" w:rsidRPr="0CC5BB1D">
              <w:rPr>
                <w:noProof/>
              </w:rPr>
              <w:t>28</w:t>
            </w:r>
            <w:r w:rsidR="00314E02" w:rsidRPr="0CC5BB1D">
              <w:rPr>
                <w:noProof/>
                <w:vertAlign w:val="superscript"/>
              </w:rPr>
              <w:t>th</w:t>
            </w:r>
            <w:r w:rsidR="00314E02" w:rsidRPr="0CC5BB1D">
              <w:rPr>
                <w:noProof/>
              </w:rPr>
              <w:t xml:space="preserve"> regime company’s </w:t>
            </w:r>
            <w:r w:rsidR="005A31A5" w:rsidRPr="0CC5BB1D">
              <w:rPr>
                <w:noProof/>
              </w:rPr>
              <w:t>whole life cycle</w:t>
            </w:r>
            <w:r w:rsidR="00314E02" w:rsidRPr="0CC5BB1D">
              <w:rPr>
                <w:noProof/>
              </w:rPr>
              <w:t>,</w:t>
            </w:r>
            <w:r w:rsidR="005A31A5" w:rsidRPr="0CC5BB1D">
              <w:rPr>
                <w:noProof/>
              </w:rPr>
              <w:t xml:space="preserve"> </w:t>
            </w:r>
            <w:r w:rsidR="00314E02" w:rsidRPr="0CC5BB1D">
              <w:rPr>
                <w:noProof/>
              </w:rPr>
              <w:t>t</w:t>
            </w:r>
            <w:r w:rsidR="00B86061" w:rsidRPr="0CC5BB1D">
              <w:rPr>
                <w:noProof/>
              </w:rPr>
              <w:t>hese options are coherent with the</w:t>
            </w:r>
            <w:r w:rsidR="00A65C3B" w:rsidRPr="0CC5BB1D">
              <w:rPr>
                <w:noProof/>
              </w:rPr>
              <w:t xml:space="preserve"> </w:t>
            </w:r>
            <w:r w:rsidR="005A31A5" w:rsidRPr="0CC5BB1D">
              <w:rPr>
                <w:noProof/>
              </w:rPr>
              <w:t>objectives of the Competitiveness Compass to make it possible for innovative companies to benefit from a single, harmonised set of EU-wide rules wherever they invest and operate in the Single Market</w:t>
            </w:r>
            <w:r w:rsidR="003E4835" w:rsidRPr="0CC5BB1D">
              <w:rPr>
                <w:noProof/>
              </w:rPr>
              <w:t>.</w:t>
            </w:r>
            <w:r w:rsidR="00FC709F" w:rsidRPr="0CC5BB1D">
              <w:rPr>
                <w:noProof/>
              </w:rPr>
              <w:t xml:space="preserve"> They</w:t>
            </w:r>
            <w:r w:rsidR="0025054F" w:rsidRPr="0CC5BB1D">
              <w:rPr>
                <w:noProof/>
              </w:rPr>
              <w:t xml:space="preserve"> also</w:t>
            </w:r>
            <w:r w:rsidR="00FC709F" w:rsidRPr="0CC5BB1D">
              <w:rPr>
                <w:noProof/>
              </w:rPr>
              <w:t xml:space="preserve"> directly respond to the announcement of a</w:t>
            </w:r>
            <w:r w:rsidR="00B97727" w:rsidRPr="0CC5BB1D">
              <w:rPr>
                <w:noProof/>
              </w:rPr>
              <w:t>n</w:t>
            </w:r>
            <w:r w:rsidR="00FC709F" w:rsidRPr="0CC5BB1D">
              <w:rPr>
                <w:noProof/>
              </w:rPr>
              <w:t xml:space="preserve"> EU corporate legal framework in the Single Market </w:t>
            </w:r>
            <w:r w:rsidR="00357C6E" w:rsidRPr="0CC5BB1D">
              <w:rPr>
                <w:noProof/>
              </w:rPr>
              <w:t xml:space="preserve">and the </w:t>
            </w:r>
            <w:r w:rsidR="230960E9" w:rsidRPr="0CC5BB1D">
              <w:rPr>
                <w:noProof/>
              </w:rPr>
              <w:t>S</w:t>
            </w:r>
            <w:r w:rsidR="18D5AE9D" w:rsidRPr="0CC5BB1D">
              <w:rPr>
                <w:noProof/>
              </w:rPr>
              <w:t>tartup</w:t>
            </w:r>
            <w:r w:rsidR="00357C6E" w:rsidRPr="0CC5BB1D">
              <w:rPr>
                <w:noProof/>
              </w:rPr>
              <w:t xml:space="preserve"> and </w:t>
            </w:r>
            <w:r w:rsidR="230960E9" w:rsidRPr="39C6EFBE">
              <w:rPr>
                <w:noProof/>
              </w:rPr>
              <w:t>s</w:t>
            </w:r>
            <w:r w:rsidR="1687D48C" w:rsidRPr="39C6EFBE">
              <w:rPr>
                <w:noProof/>
              </w:rPr>
              <w:t>caleup</w:t>
            </w:r>
            <w:r w:rsidR="00357C6E" w:rsidRPr="0CC5BB1D">
              <w:rPr>
                <w:noProof/>
              </w:rPr>
              <w:t xml:space="preserve"> </w:t>
            </w:r>
            <w:r w:rsidR="00FC709F" w:rsidRPr="0CC5BB1D">
              <w:rPr>
                <w:noProof/>
              </w:rPr>
              <w:t>Strateg</w:t>
            </w:r>
            <w:r w:rsidR="00357C6E" w:rsidRPr="0CC5BB1D">
              <w:rPr>
                <w:noProof/>
              </w:rPr>
              <w:t>ies</w:t>
            </w:r>
            <w:r w:rsidR="00FC709F" w:rsidRPr="0CC5BB1D">
              <w:rPr>
                <w:noProof/>
              </w:rPr>
              <w:t>.</w:t>
            </w:r>
            <w:r w:rsidR="008B5F9E">
              <w:rPr>
                <w:noProof/>
              </w:rPr>
              <w:t xml:space="preserve"> PO1c will be also coherent with the Cross-Border Mobility Directive (EU) 2025/25.</w:t>
            </w:r>
          </w:p>
        </w:tc>
      </w:tr>
    </w:tbl>
    <w:p w14:paraId="0649AD6D" w14:textId="46C81848" w:rsidR="00EC71E4" w:rsidRPr="009705F3" w:rsidRDefault="003C52CD" w:rsidP="00AF679D">
      <w:pPr>
        <w:pStyle w:val="Heading2"/>
        <w:numPr>
          <w:ilvl w:val="0"/>
          <w:numId w:val="0"/>
        </w:numPr>
        <w:ind w:left="680"/>
        <w:jc w:val="both"/>
        <w:rPr>
          <w:rFonts w:eastAsia="Courier New"/>
          <w:i/>
          <w:iCs/>
          <w:noProof/>
          <w:u w:val="single"/>
        </w:rPr>
      </w:pPr>
      <w:bookmarkStart w:id="83" w:name="_Toc126870460"/>
      <w:bookmarkStart w:id="84" w:name="_Toc126873043"/>
      <w:bookmarkStart w:id="85" w:name="_Toc126916129"/>
      <w:bookmarkStart w:id="86" w:name="_Toc126916944"/>
      <w:bookmarkStart w:id="87" w:name="_Toc126919390"/>
      <w:bookmarkStart w:id="88" w:name="_Toc126919845"/>
      <w:bookmarkStart w:id="89" w:name="_Toc126928438"/>
      <w:bookmarkStart w:id="90" w:name="_Toc126930815"/>
      <w:r w:rsidRPr="0CC5BB1D">
        <w:rPr>
          <w:rFonts w:eastAsia="Courier New"/>
          <w:noProof/>
          <w:u w:val="single"/>
        </w:rPr>
        <w:t xml:space="preserve">Policy options 2 </w:t>
      </w:r>
      <w:bookmarkEnd w:id="83"/>
      <w:bookmarkEnd w:id="84"/>
      <w:bookmarkEnd w:id="85"/>
      <w:bookmarkEnd w:id="86"/>
      <w:bookmarkEnd w:id="87"/>
      <w:bookmarkEnd w:id="88"/>
      <w:bookmarkEnd w:id="89"/>
      <w:bookmarkEnd w:id="90"/>
      <w:r w:rsidR="00DC4AA1" w:rsidRPr="0CC5BB1D">
        <w:rPr>
          <w:rFonts w:eastAsia="Courier New"/>
          <w:noProof/>
          <w:u w:val="single"/>
        </w:rPr>
        <w:t xml:space="preserve">to make registration of </w:t>
      </w:r>
      <w:r>
        <w:rPr>
          <w:rFonts w:eastAsia="Courier New"/>
          <w:noProof/>
          <w:u w:val="single"/>
        </w:rPr>
        <w:t xml:space="preserve">companies, in particular </w:t>
      </w:r>
      <w:r w:rsidR="00DC4AA1" w:rsidRPr="0CC5BB1D">
        <w:rPr>
          <w:rFonts w:eastAsia="Courier New"/>
          <w:noProof/>
          <w:u w:val="single"/>
        </w:rPr>
        <w:t>s</w:t>
      </w:r>
      <w:r w:rsidR="7B0A1C3A" w:rsidRPr="0CC5BB1D">
        <w:rPr>
          <w:rFonts w:eastAsia="Courier New"/>
          <w:noProof/>
          <w:u w:val="single"/>
        </w:rPr>
        <w:t>tartup</w:t>
      </w:r>
      <w:r w:rsidR="00DC4AA1" w:rsidRPr="0CC5BB1D">
        <w:rPr>
          <w:rFonts w:eastAsia="Courier New"/>
          <w:noProof/>
          <w:u w:val="single"/>
        </w:rPr>
        <w:t>s quicker and simple</w:t>
      </w:r>
      <w:r w:rsidR="00EC71E4" w:rsidRPr="004C378E">
        <w:rPr>
          <w:rFonts w:eastAsia="Courier New"/>
          <w:noProof/>
          <w:u w:val="single"/>
        </w:rPr>
        <w:t>r</w:t>
      </w:r>
    </w:p>
    <w:p w14:paraId="479B4BD9" w14:textId="56E22966" w:rsidR="00DC4AA1" w:rsidRDefault="00DC4AA1" w:rsidP="00C4288E">
      <w:pPr>
        <w:pStyle w:val="ListParagraph"/>
        <w:numPr>
          <w:ilvl w:val="0"/>
          <w:numId w:val="15"/>
        </w:numPr>
        <w:tabs>
          <w:tab w:val="left" w:pos="170"/>
        </w:tabs>
        <w:jc w:val="both"/>
        <w:rPr>
          <w:noProof/>
        </w:rPr>
      </w:pPr>
      <w:r>
        <w:rPr>
          <w:noProof/>
        </w:rPr>
        <w:t xml:space="preserve">Policy option 2a - </w:t>
      </w:r>
      <w:r w:rsidRPr="004C599B">
        <w:rPr>
          <w:noProof/>
        </w:rPr>
        <w:t>Create an EU single interface based on BRIS for the registration of 28</w:t>
      </w:r>
      <w:r w:rsidRPr="004C3D71">
        <w:rPr>
          <w:noProof/>
        </w:rPr>
        <w:t>th</w:t>
      </w:r>
      <w:r w:rsidRPr="004C599B">
        <w:rPr>
          <w:noProof/>
        </w:rPr>
        <w:t xml:space="preserve"> regime companies with harmonised bilingual templates (EN/national language) and preventive administrative, judicial or notarial control</w:t>
      </w:r>
      <w:r>
        <w:rPr>
          <w:noProof/>
        </w:rPr>
        <w:t>.</w:t>
      </w:r>
    </w:p>
    <w:p w14:paraId="2BB994C2" w14:textId="7D4A678A" w:rsidR="00DC4AA1" w:rsidRDefault="00DC4AA1" w:rsidP="00C4288E">
      <w:pPr>
        <w:pStyle w:val="ListParagraph"/>
        <w:numPr>
          <w:ilvl w:val="0"/>
          <w:numId w:val="15"/>
        </w:numPr>
        <w:tabs>
          <w:tab w:val="left" w:pos="170"/>
        </w:tabs>
        <w:jc w:val="both"/>
        <w:rPr>
          <w:noProof/>
        </w:rPr>
      </w:pPr>
      <w:r>
        <w:rPr>
          <w:noProof/>
        </w:rPr>
        <w:t xml:space="preserve">Policy option 2b - </w:t>
      </w:r>
      <w:r w:rsidRPr="00926445">
        <w:rPr>
          <w:noProof/>
        </w:rPr>
        <w:t xml:space="preserve">Option </w:t>
      </w:r>
      <w:r>
        <w:rPr>
          <w:noProof/>
        </w:rPr>
        <w:t>2</w:t>
      </w:r>
      <w:r w:rsidRPr="00926445">
        <w:rPr>
          <w:noProof/>
        </w:rPr>
        <w:t xml:space="preserve">a + </w:t>
      </w:r>
      <w:r w:rsidRPr="004C599B">
        <w:rPr>
          <w:noProof/>
        </w:rPr>
        <w:t>introduc</w:t>
      </w:r>
      <w:r w:rsidR="00261E14">
        <w:rPr>
          <w:noProof/>
        </w:rPr>
        <w:t>e</w:t>
      </w:r>
      <w:r w:rsidRPr="004C599B">
        <w:rPr>
          <w:noProof/>
        </w:rPr>
        <w:t xml:space="preserve"> a deadline </w:t>
      </w:r>
      <w:r w:rsidR="00F2179F">
        <w:rPr>
          <w:noProof/>
        </w:rPr>
        <w:t>(</w:t>
      </w:r>
      <w:r w:rsidR="00625F86">
        <w:rPr>
          <w:noProof/>
        </w:rPr>
        <w:t>48 hours</w:t>
      </w:r>
      <w:r w:rsidR="00F2179F">
        <w:rPr>
          <w:noProof/>
        </w:rPr>
        <w:t xml:space="preserve">) </w:t>
      </w:r>
      <w:r w:rsidRPr="004C599B">
        <w:rPr>
          <w:noProof/>
        </w:rPr>
        <w:t xml:space="preserve">and cost ceiling </w:t>
      </w:r>
      <w:r w:rsidR="00625F86">
        <w:rPr>
          <w:noProof/>
        </w:rPr>
        <w:t xml:space="preserve">of </w:t>
      </w:r>
      <w:r w:rsidR="00596185">
        <w:rPr>
          <w:rFonts w:cs="Arial"/>
          <w:noProof/>
          <w:szCs w:val="20"/>
        </w:rPr>
        <w:t>EUR </w:t>
      </w:r>
      <w:r w:rsidR="00367021">
        <w:rPr>
          <w:rFonts w:cs="Arial"/>
          <w:noProof/>
          <w:szCs w:val="20"/>
        </w:rPr>
        <w:t xml:space="preserve">100 to complete the registration including </w:t>
      </w:r>
      <w:r w:rsidRPr="004C599B">
        <w:rPr>
          <w:noProof/>
        </w:rPr>
        <w:t>the preventive administrative, judicial or notarial control when the standardised template is used by founders as natural persons</w:t>
      </w:r>
      <w:r>
        <w:rPr>
          <w:noProof/>
        </w:rPr>
        <w:t>.</w:t>
      </w:r>
    </w:p>
    <w:p w14:paraId="2D526E97" w14:textId="75056AE8" w:rsidR="00DC4AA1" w:rsidRDefault="00DC4AA1" w:rsidP="00C4288E">
      <w:pPr>
        <w:pStyle w:val="ListParagraph"/>
        <w:numPr>
          <w:ilvl w:val="0"/>
          <w:numId w:val="15"/>
        </w:numPr>
        <w:tabs>
          <w:tab w:val="left" w:pos="170"/>
        </w:tabs>
        <w:spacing w:before="0" w:after="0"/>
        <w:jc w:val="both"/>
        <w:rPr>
          <w:noProof/>
        </w:rPr>
      </w:pPr>
      <w:r>
        <w:rPr>
          <w:noProof/>
        </w:rPr>
        <w:t xml:space="preserve">Policy option 2c - </w:t>
      </w:r>
      <w:r w:rsidRPr="004C599B">
        <w:rPr>
          <w:noProof/>
        </w:rPr>
        <w:t xml:space="preserve">As option 2b but with </w:t>
      </w:r>
      <w:r w:rsidR="00980122" w:rsidRPr="0048126E">
        <w:rPr>
          <w:rFonts w:cs="Arial"/>
          <w:noProof/>
          <w:szCs w:val="20"/>
        </w:rPr>
        <w:t>preventive control by judicial or administrative authorities (excluding notaries) when the standardized template is used by founders as natural persons</w:t>
      </w:r>
      <w:r>
        <w:rPr>
          <w:noProof/>
        </w:rPr>
        <w:t>.</w:t>
      </w:r>
    </w:p>
    <w:p w14:paraId="6B290C12" w14:textId="77777777" w:rsidR="00DC4AA1" w:rsidRDefault="00DC4AA1" w:rsidP="00DC4AA1">
      <w:pPr>
        <w:tabs>
          <w:tab w:val="left" w:pos="170"/>
        </w:tabs>
        <w:spacing w:before="0" w:after="0"/>
        <w:jc w:val="both"/>
        <w:rPr>
          <w:noProof/>
        </w:rPr>
      </w:pPr>
    </w:p>
    <w:tbl>
      <w:tblPr>
        <w:tblStyle w:val="TableGrid"/>
        <w:tblW w:w="9889" w:type="dxa"/>
        <w:tblLook w:val="04A0" w:firstRow="1" w:lastRow="0" w:firstColumn="1" w:lastColumn="0" w:noHBand="0" w:noVBand="1"/>
      </w:tblPr>
      <w:tblGrid>
        <w:gridCol w:w="1767"/>
        <w:gridCol w:w="842"/>
        <w:gridCol w:w="848"/>
        <w:gridCol w:w="845"/>
        <w:gridCol w:w="5587"/>
      </w:tblGrid>
      <w:tr w:rsidR="008308FE" w:rsidRPr="00566C3C" w14:paraId="488CD7FC" w14:textId="77777777">
        <w:tc>
          <w:tcPr>
            <w:tcW w:w="1418" w:type="dxa"/>
            <w:shd w:val="clear" w:color="auto" w:fill="95B3D7" w:themeFill="accent1" w:themeFillTint="99"/>
          </w:tcPr>
          <w:p w14:paraId="15D4810F" w14:textId="77777777" w:rsidR="008308FE" w:rsidRPr="005A23B4" w:rsidRDefault="008308FE">
            <w:pPr>
              <w:rPr>
                <w:rFonts w:cstheme="minorHAnsi"/>
                <w:b/>
                <w:noProof/>
                <w:szCs w:val="20"/>
              </w:rPr>
            </w:pPr>
            <w:r w:rsidRPr="005A23B4">
              <w:rPr>
                <w:rFonts w:cstheme="minorHAnsi"/>
                <w:b/>
                <w:noProof/>
                <w:szCs w:val="20"/>
              </w:rPr>
              <w:t>Unit of measurement</w:t>
            </w:r>
          </w:p>
        </w:tc>
        <w:tc>
          <w:tcPr>
            <w:tcW w:w="845" w:type="dxa"/>
            <w:shd w:val="clear" w:color="auto" w:fill="95B3D7" w:themeFill="accent1" w:themeFillTint="99"/>
          </w:tcPr>
          <w:p w14:paraId="1467CC2E" w14:textId="01167871" w:rsidR="008308FE" w:rsidRPr="005A23B4" w:rsidRDefault="008308FE">
            <w:pPr>
              <w:rPr>
                <w:rFonts w:cstheme="minorHAnsi"/>
                <w:b/>
                <w:noProof/>
                <w:szCs w:val="20"/>
              </w:rPr>
            </w:pPr>
            <w:r w:rsidRPr="005A23B4">
              <w:rPr>
                <w:rFonts w:cstheme="minorHAnsi"/>
                <w:b/>
                <w:noProof/>
                <w:szCs w:val="20"/>
              </w:rPr>
              <w:t>PO</w:t>
            </w:r>
            <w:r>
              <w:rPr>
                <w:rFonts w:cstheme="minorHAnsi"/>
                <w:b/>
                <w:noProof/>
                <w:szCs w:val="20"/>
              </w:rPr>
              <w:t>2</w:t>
            </w:r>
            <w:r w:rsidRPr="005A23B4">
              <w:rPr>
                <w:rFonts w:cstheme="minorHAnsi"/>
                <w:b/>
                <w:noProof/>
                <w:szCs w:val="20"/>
              </w:rPr>
              <w:t>a</w:t>
            </w:r>
          </w:p>
          <w:p w14:paraId="6D10CF3C" w14:textId="77777777" w:rsidR="008308FE" w:rsidRPr="005A23B4" w:rsidRDefault="008308FE">
            <w:pPr>
              <w:rPr>
                <w:rFonts w:cstheme="minorHAnsi"/>
                <w:b/>
                <w:noProof/>
                <w:szCs w:val="20"/>
              </w:rPr>
            </w:pPr>
          </w:p>
        </w:tc>
        <w:tc>
          <w:tcPr>
            <w:tcW w:w="851" w:type="dxa"/>
            <w:shd w:val="clear" w:color="auto" w:fill="95B3D7" w:themeFill="accent1" w:themeFillTint="99"/>
          </w:tcPr>
          <w:p w14:paraId="38EB186C" w14:textId="53DCA256" w:rsidR="008308FE" w:rsidRPr="005A23B4" w:rsidRDefault="008308FE">
            <w:pPr>
              <w:rPr>
                <w:rFonts w:cstheme="minorHAnsi"/>
                <w:b/>
                <w:noProof/>
                <w:szCs w:val="20"/>
              </w:rPr>
            </w:pPr>
            <w:r w:rsidRPr="005A23B4">
              <w:rPr>
                <w:rFonts w:cstheme="minorHAnsi"/>
                <w:b/>
                <w:noProof/>
                <w:szCs w:val="20"/>
              </w:rPr>
              <w:t>PO</w:t>
            </w:r>
            <w:r>
              <w:rPr>
                <w:rFonts w:cstheme="minorHAnsi"/>
                <w:b/>
                <w:noProof/>
                <w:szCs w:val="20"/>
              </w:rPr>
              <w:t>2</w:t>
            </w:r>
            <w:r w:rsidRPr="005A23B4">
              <w:rPr>
                <w:rFonts w:cstheme="minorHAnsi"/>
                <w:b/>
                <w:noProof/>
                <w:szCs w:val="20"/>
              </w:rPr>
              <w:t>b</w:t>
            </w:r>
          </w:p>
        </w:tc>
        <w:tc>
          <w:tcPr>
            <w:tcW w:w="850" w:type="dxa"/>
            <w:shd w:val="clear" w:color="auto" w:fill="95B3D7" w:themeFill="accent1" w:themeFillTint="99"/>
          </w:tcPr>
          <w:p w14:paraId="2E14C92B" w14:textId="60FEDEC5" w:rsidR="008308FE" w:rsidRPr="005A23B4" w:rsidRDefault="008308FE">
            <w:pPr>
              <w:rPr>
                <w:rFonts w:cstheme="minorHAnsi"/>
                <w:b/>
                <w:noProof/>
                <w:szCs w:val="20"/>
              </w:rPr>
            </w:pPr>
            <w:r w:rsidRPr="005A23B4">
              <w:rPr>
                <w:rFonts w:cstheme="minorHAnsi"/>
                <w:b/>
                <w:noProof/>
                <w:szCs w:val="20"/>
              </w:rPr>
              <w:t>PO</w:t>
            </w:r>
            <w:r>
              <w:rPr>
                <w:rFonts w:cstheme="minorHAnsi"/>
                <w:b/>
                <w:noProof/>
                <w:szCs w:val="20"/>
              </w:rPr>
              <w:t>2</w:t>
            </w:r>
            <w:r w:rsidRPr="005A23B4">
              <w:rPr>
                <w:rFonts w:cstheme="minorHAnsi"/>
                <w:b/>
                <w:noProof/>
                <w:szCs w:val="20"/>
              </w:rPr>
              <w:t>c</w:t>
            </w:r>
          </w:p>
        </w:tc>
        <w:tc>
          <w:tcPr>
            <w:tcW w:w="5925" w:type="dxa"/>
            <w:shd w:val="clear" w:color="auto" w:fill="95B3D7" w:themeFill="accent1" w:themeFillTint="99"/>
          </w:tcPr>
          <w:p w14:paraId="6E76399B" w14:textId="77777777" w:rsidR="008308FE" w:rsidRPr="005A23B4" w:rsidRDefault="008308FE">
            <w:pPr>
              <w:rPr>
                <w:rFonts w:cstheme="minorHAnsi"/>
                <w:b/>
                <w:noProof/>
                <w:szCs w:val="20"/>
              </w:rPr>
            </w:pPr>
            <w:r w:rsidRPr="005A23B4">
              <w:rPr>
                <w:rFonts w:cstheme="minorHAnsi"/>
                <w:b/>
                <w:noProof/>
                <w:szCs w:val="20"/>
              </w:rPr>
              <w:t>Motivation</w:t>
            </w:r>
          </w:p>
        </w:tc>
      </w:tr>
      <w:tr w:rsidR="008308FE" w:rsidRPr="00566C3C" w14:paraId="71C6C652" w14:textId="77777777">
        <w:tc>
          <w:tcPr>
            <w:tcW w:w="1418" w:type="dxa"/>
          </w:tcPr>
          <w:p w14:paraId="5E46AEF2" w14:textId="77777777" w:rsidR="008308FE" w:rsidRPr="005A23B4" w:rsidRDefault="008308FE">
            <w:pPr>
              <w:rPr>
                <w:rFonts w:cstheme="minorHAnsi"/>
                <w:b/>
                <w:noProof/>
                <w:szCs w:val="20"/>
              </w:rPr>
            </w:pPr>
            <w:r w:rsidRPr="005A23B4">
              <w:rPr>
                <w:rFonts w:cstheme="minorHAnsi"/>
                <w:noProof/>
                <w:szCs w:val="20"/>
              </w:rPr>
              <w:t xml:space="preserve">Score 1-5 </w:t>
            </w:r>
          </w:p>
        </w:tc>
        <w:tc>
          <w:tcPr>
            <w:tcW w:w="845" w:type="dxa"/>
          </w:tcPr>
          <w:p w14:paraId="58B24FEE" w14:textId="1250A57B" w:rsidR="008308FE" w:rsidRPr="00912E52" w:rsidRDefault="00CD5217" w:rsidP="00912E52">
            <w:pPr>
              <w:jc w:val="center"/>
              <w:rPr>
                <w:rFonts w:cstheme="minorHAnsi"/>
                <w:noProof/>
                <w:szCs w:val="20"/>
              </w:rPr>
            </w:pPr>
            <w:r w:rsidRPr="00912E52">
              <w:rPr>
                <w:rFonts w:cstheme="minorHAnsi"/>
                <w:noProof/>
                <w:szCs w:val="20"/>
              </w:rPr>
              <w:t>3</w:t>
            </w:r>
          </w:p>
        </w:tc>
        <w:tc>
          <w:tcPr>
            <w:tcW w:w="851" w:type="dxa"/>
          </w:tcPr>
          <w:p w14:paraId="4BB14B61" w14:textId="53AF6A52" w:rsidR="008308FE" w:rsidRPr="00912E52" w:rsidRDefault="005C0B4D" w:rsidP="00912E52">
            <w:pPr>
              <w:jc w:val="center"/>
              <w:rPr>
                <w:rFonts w:cstheme="minorHAnsi"/>
                <w:noProof/>
                <w:szCs w:val="20"/>
              </w:rPr>
            </w:pPr>
            <w:r w:rsidRPr="00912E52">
              <w:rPr>
                <w:rFonts w:cstheme="minorHAnsi"/>
                <w:noProof/>
                <w:szCs w:val="20"/>
              </w:rPr>
              <w:t>4</w:t>
            </w:r>
          </w:p>
        </w:tc>
        <w:tc>
          <w:tcPr>
            <w:tcW w:w="850" w:type="dxa"/>
          </w:tcPr>
          <w:p w14:paraId="6BA5B3FC" w14:textId="717C2BEC" w:rsidR="008308FE" w:rsidRPr="00912E52" w:rsidRDefault="00061366" w:rsidP="00912E52">
            <w:pPr>
              <w:jc w:val="center"/>
              <w:rPr>
                <w:rFonts w:cstheme="minorHAnsi"/>
                <w:noProof/>
                <w:szCs w:val="20"/>
              </w:rPr>
            </w:pPr>
            <w:r>
              <w:rPr>
                <w:rFonts w:cstheme="minorHAnsi"/>
                <w:noProof/>
                <w:szCs w:val="20"/>
              </w:rPr>
              <w:t>4</w:t>
            </w:r>
          </w:p>
        </w:tc>
        <w:tc>
          <w:tcPr>
            <w:tcW w:w="5925" w:type="dxa"/>
          </w:tcPr>
          <w:p w14:paraId="15E85C5B" w14:textId="6BB6181A" w:rsidR="00723038" w:rsidRPr="005C0B4D" w:rsidRDefault="008308FE" w:rsidP="0005260E">
            <w:pPr>
              <w:jc w:val="both"/>
              <w:rPr>
                <w:rFonts w:cstheme="minorHAnsi"/>
                <w:noProof/>
                <w:szCs w:val="20"/>
              </w:rPr>
            </w:pPr>
            <w:r w:rsidRPr="00912E52">
              <w:rPr>
                <w:rFonts w:cstheme="minorHAnsi"/>
                <w:noProof/>
                <w:szCs w:val="20"/>
              </w:rPr>
              <w:t xml:space="preserve">Internal coherence: </w:t>
            </w:r>
            <w:r w:rsidR="00842A1E" w:rsidRPr="00912E52">
              <w:rPr>
                <w:rFonts w:cstheme="minorHAnsi"/>
                <w:noProof/>
                <w:szCs w:val="20"/>
              </w:rPr>
              <w:t xml:space="preserve">Policy options 2a, 2b and 2c are coherent with the other policy options as they </w:t>
            </w:r>
            <w:r w:rsidR="00483318" w:rsidRPr="00912E52">
              <w:rPr>
                <w:rFonts w:cstheme="minorHAnsi"/>
                <w:noProof/>
                <w:szCs w:val="20"/>
              </w:rPr>
              <w:t xml:space="preserve">provide a foundation for </w:t>
            </w:r>
            <w:r w:rsidR="00842A1E" w:rsidRPr="00912E52">
              <w:rPr>
                <w:rFonts w:cstheme="minorHAnsi"/>
                <w:noProof/>
                <w:szCs w:val="20"/>
              </w:rPr>
              <w:t xml:space="preserve">the </w:t>
            </w:r>
            <w:r w:rsidR="00483318" w:rsidRPr="00912E52">
              <w:rPr>
                <w:rFonts w:cstheme="minorHAnsi"/>
                <w:noProof/>
                <w:szCs w:val="20"/>
              </w:rPr>
              <w:t xml:space="preserve">legal </w:t>
            </w:r>
            <w:r w:rsidR="00842A1E" w:rsidRPr="00912E52">
              <w:rPr>
                <w:rFonts w:cstheme="minorHAnsi"/>
                <w:noProof/>
                <w:szCs w:val="20"/>
              </w:rPr>
              <w:t>framework govern</w:t>
            </w:r>
            <w:r w:rsidR="0005260E" w:rsidRPr="00912E52">
              <w:rPr>
                <w:rFonts w:cstheme="minorHAnsi"/>
                <w:noProof/>
                <w:szCs w:val="20"/>
              </w:rPr>
              <w:t>ing</w:t>
            </w:r>
            <w:r w:rsidR="00842A1E" w:rsidRPr="00912E52">
              <w:rPr>
                <w:rFonts w:cstheme="minorHAnsi"/>
                <w:noProof/>
                <w:szCs w:val="20"/>
              </w:rPr>
              <w:t xml:space="preserve"> the </w:t>
            </w:r>
            <w:r w:rsidR="0005260E" w:rsidRPr="00912E52">
              <w:rPr>
                <w:rFonts w:cstheme="minorHAnsi"/>
                <w:noProof/>
                <w:szCs w:val="20"/>
              </w:rPr>
              <w:t>28</w:t>
            </w:r>
            <w:r w:rsidR="0005260E" w:rsidRPr="00912E52">
              <w:rPr>
                <w:rFonts w:cstheme="minorHAnsi"/>
                <w:noProof/>
                <w:szCs w:val="20"/>
                <w:vertAlign w:val="superscript"/>
              </w:rPr>
              <w:t>th</w:t>
            </w:r>
            <w:r w:rsidR="0005260E" w:rsidRPr="00912E52">
              <w:rPr>
                <w:rFonts w:cstheme="minorHAnsi"/>
                <w:noProof/>
                <w:szCs w:val="20"/>
              </w:rPr>
              <w:t xml:space="preserve"> regime </w:t>
            </w:r>
            <w:r w:rsidR="00842A1E" w:rsidRPr="00912E52">
              <w:rPr>
                <w:rFonts w:cstheme="minorHAnsi"/>
                <w:noProof/>
                <w:szCs w:val="20"/>
              </w:rPr>
              <w:t>compan</w:t>
            </w:r>
            <w:r w:rsidR="0005260E" w:rsidRPr="00912E52">
              <w:rPr>
                <w:rFonts w:cstheme="minorHAnsi"/>
                <w:noProof/>
                <w:szCs w:val="20"/>
              </w:rPr>
              <w:t>ies.</w:t>
            </w:r>
            <w:r w:rsidR="003B2511" w:rsidRPr="00912E52">
              <w:rPr>
                <w:rFonts w:cstheme="minorHAnsi"/>
                <w:noProof/>
                <w:szCs w:val="20"/>
              </w:rPr>
              <w:t xml:space="preserve"> </w:t>
            </w:r>
            <w:r w:rsidR="00FD7239" w:rsidRPr="00912E52">
              <w:rPr>
                <w:rFonts w:cstheme="minorHAnsi"/>
                <w:noProof/>
                <w:szCs w:val="20"/>
              </w:rPr>
              <w:t>They are in particular coherent</w:t>
            </w:r>
            <w:r w:rsidR="003B2511" w:rsidRPr="00912E52">
              <w:rPr>
                <w:rFonts w:cstheme="minorHAnsi"/>
                <w:noProof/>
                <w:szCs w:val="20"/>
              </w:rPr>
              <w:t xml:space="preserve"> </w:t>
            </w:r>
            <w:r w:rsidR="00FD7239" w:rsidRPr="00912E52">
              <w:rPr>
                <w:rFonts w:cstheme="minorHAnsi"/>
                <w:noProof/>
                <w:szCs w:val="20"/>
              </w:rPr>
              <w:t xml:space="preserve">with options 3 as they </w:t>
            </w:r>
            <w:r w:rsidR="003B2511" w:rsidRPr="00912E52">
              <w:rPr>
                <w:rFonts w:cstheme="minorHAnsi"/>
                <w:noProof/>
                <w:szCs w:val="20"/>
              </w:rPr>
              <w:t xml:space="preserve">complement each other to provide for a quick and efficient setting up of a company both with the business registers and with other authorities relevant for the registration. </w:t>
            </w:r>
            <w:r w:rsidR="00A20250" w:rsidRPr="00912E52">
              <w:rPr>
                <w:rFonts w:cstheme="minorHAnsi"/>
                <w:noProof/>
                <w:szCs w:val="20"/>
              </w:rPr>
              <w:t>Policy option</w:t>
            </w:r>
            <w:r w:rsidR="00E64DF6">
              <w:rPr>
                <w:rFonts w:cstheme="minorHAnsi"/>
                <w:noProof/>
                <w:szCs w:val="20"/>
              </w:rPr>
              <w:t>s</w:t>
            </w:r>
            <w:r w:rsidR="00AF07BF" w:rsidRPr="00912E52">
              <w:rPr>
                <w:rFonts w:cstheme="minorHAnsi"/>
                <w:noProof/>
                <w:szCs w:val="20"/>
              </w:rPr>
              <w:t xml:space="preserve"> </w:t>
            </w:r>
            <w:r w:rsidR="005C0B4D" w:rsidRPr="00912E52">
              <w:rPr>
                <w:rFonts w:cstheme="minorHAnsi"/>
                <w:noProof/>
                <w:szCs w:val="20"/>
              </w:rPr>
              <w:t xml:space="preserve">2b </w:t>
            </w:r>
            <w:r w:rsidR="00C71C1D">
              <w:rPr>
                <w:rFonts w:cstheme="minorHAnsi"/>
                <w:noProof/>
                <w:szCs w:val="20"/>
              </w:rPr>
              <w:t>and</w:t>
            </w:r>
            <w:r w:rsidR="00796AA3" w:rsidRPr="00912E52">
              <w:rPr>
                <w:rFonts w:cstheme="minorHAnsi"/>
                <w:noProof/>
                <w:szCs w:val="20"/>
              </w:rPr>
              <w:t xml:space="preserve"> </w:t>
            </w:r>
            <w:r w:rsidR="00F415A5" w:rsidRPr="005C0B4D">
              <w:rPr>
                <w:noProof/>
              </w:rPr>
              <w:t>PO2c</w:t>
            </w:r>
            <w:r w:rsidR="00C71C1D">
              <w:rPr>
                <w:noProof/>
              </w:rPr>
              <w:t xml:space="preserve"> would be most coherent thanks to including a harmonised deadline and cost for registration</w:t>
            </w:r>
            <w:r w:rsidR="00F045D9" w:rsidRPr="005C0B4D">
              <w:rPr>
                <w:noProof/>
              </w:rPr>
              <w:t>.</w:t>
            </w:r>
          </w:p>
          <w:p w14:paraId="68326E85" w14:textId="5305F583" w:rsidR="008308FE" w:rsidRPr="005A23B4" w:rsidRDefault="008308FE" w:rsidP="00904E65">
            <w:pPr>
              <w:jc w:val="both"/>
              <w:rPr>
                <w:noProof/>
                <w:u w:val="single"/>
              </w:rPr>
            </w:pPr>
            <w:r w:rsidRPr="0CC5BB1D">
              <w:rPr>
                <w:noProof/>
                <w:u w:val="single"/>
              </w:rPr>
              <w:t>External coherence:</w:t>
            </w:r>
            <w:r w:rsidR="000C1833" w:rsidRPr="0CC5BB1D">
              <w:rPr>
                <w:noProof/>
                <w:u w:val="single"/>
              </w:rPr>
              <w:t xml:space="preserve"> </w:t>
            </w:r>
            <w:r w:rsidR="00B17FBC" w:rsidRPr="0CC5BB1D">
              <w:rPr>
                <w:noProof/>
              </w:rPr>
              <w:t>these policy options, and mostly PO</w:t>
            </w:r>
            <w:r w:rsidR="00904E65" w:rsidRPr="0CC5BB1D">
              <w:rPr>
                <w:noProof/>
              </w:rPr>
              <w:t xml:space="preserve">2b, will </w:t>
            </w:r>
            <w:r w:rsidR="00AD7BAA" w:rsidRPr="0CC5BB1D">
              <w:rPr>
                <w:noProof/>
              </w:rPr>
              <w:t xml:space="preserve">be in line with the </w:t>
            </w:r>
            <w:r w:rsidR="00904E65" w:rsidRPr="0CC5BB1D">
              <w:rPr>
                <w:noProof/>
              </w:rPr>
              <w:t xml:space="preserve">Single Market and </w:t>
            </w:r>
            <w:r w:rsidR="00F605A9" w:rsidRPr="0CC5BB1D">
              <w:rPr>
                <w:noProof/>
              </w:rPr>
              <w:t>S</w:t>
            </w:r>
            <w:r w:rsidR="4166E0CA" w:rsidRPr="0CC5BB1D">
              <w:rPr>
                <w:noProof/>
              </w:rPr>
              <w:t>tartup</w:t>
            </w:r>
            <w:r w:rsidR="00904E65" w:rsidRPr="0CC5BB1D">
              <w:rPr>
                <w:noProof/>
              </w:rPr>
              <w:t xml:space="preserve"> and </w:t>
            </w:r>
            <w:r w:rsidR="00F605A9" w:rsidRPr="39C6EFBE">
              <w:rPr>
                <w:noProof/>
              </w:rPr>
              <w:t>s</w:t>
            </w:r>
            <w:r w:rsidR="379A580B" w:rsidRPr="39C6EFBE">
              <w:rPr>
                <w:noProof/>
              </w:rPr>
              <w:t>caleup</w:t>
            </w:r>
            <w:r w:rsidR="00904E65" w:rsidRPr="0CC5BB1D">
              <w:rPr>
                <w:noProof/>
              </w:rPr>
              <w:t xml:space="preserve"> Strategies which </w:t>
            </w:r>
            <w:r w:rsidR="002024B1" w:rsidRPr="0CC5BB1D">
              <w:rPr>
                <w:noProof/>
              </w:rPr>
              <w:t>called for the possibility of enabling companies to establish in Europe more rapidly, ideally within 48 hours, under the 28th regime.</w:t>
            </w:r>
            <w:r w:rsidR="007B55DB" w:rsidRPr="0CC5BB1D">
              <w:rPr>
                <w:noProof/>
              </w:rPr>
              <w:t xml:space="preserve"> </w:t>
            </w:r>
            <w:r w:rsidR="00105937" w:rsidRPr="0CC5BB1D">
              <w:rPr>
                <w:noProof/>
              </w:rPr>
              <w:t xml:space="preserve">They will </w:t>
            </w:r>
            <w:r w:rsidR="00BB7BEB" w:rsidRPr="0CC5BB1D">
              <w:rPr>
                <w:noProof/>
              </w:rPr>
              <w:t xml:space="preserve">be coherent </w:t>
            </w:r>
            <w:r w:rsidR="004D37C8" w:rsidRPr="0CC5BB1D">
              <w:rPr>
                <w:noProof/>
              </w:rPr>
              <w:t xml:space="preserve">with </w:t>
            </w:r>
            <w:r w:rsidR="00E832F0" w:rsidRPr="0CC5BB1D">
              <w:rPr>
                <w:noProof/>
              </w:rPr>
              <w:t xml:space="preserve">– and build on - </w:t>
            </w:r>
            <w:r w:rsidR="00BB7BEB" w:rsidRPr="0CC5BB1D">
              <w:rPr>
                <w:noProof/>
              </w:rPr>
              <w:t xml:space="preserve">the </w:t>
            </w:r>
            <w:r w:rsidR="004D37C8" w:rsidRPr="0CC5BB1D">
              <w:rPr>
                <w:noProof/>
              </w:rPr>
              <w:t xml:space="preserve">digital </w:t>
            </w:r>
            <w:r w:rsidR="00DE49FD" w:rsidRPr="0CC5BB1D">
              <w:rPr>
                <w:noProof/>
              </w:rPr>
              <w:t xml:space="preserve">procedures </w:t>
            </w:r>
            <w:r w:rsidR="004D37C8" w:rsidRPr="0CC5BB1D">
              <w:rPr>
                <w:noProof/>
              </w:rPr>
              <w:t xml:space="preserve">and systems </w:t>
            </w:r>
            <w:r w:rsidR="00BB7BEB" w:rsidRPr="0CC5BB1D">
              <w:rPr>
                <w:noProof/>
              </w:rPr>
              <w:t>in the EU company law</w:t>
            </w:r>
            <w:r w:rsidR="00FE0FEB" w:rsidRPr="0CC5BB1D">
              <w:rPr>
                <w:noProof/>
              </w:rPr>
              <w:t>, and in particular on BRIS.</w:t>
            </w:r>
            <w:r w:rsidR="00BB7BEB" w:rsidRPr="0CC5BB1D">
              <w:rPr>
                <w:noProof/>
              </w:rPr>
              <w:t xml:space="preserve"> </w:t>
            </w:r>
            <w:r w:rsidR="008145E8" w:rsidRPr="0CC5BB1D">
              <w:rPr>
                <w:noProof/>
              </w:rPr>
              <w:t>As all these policy options integrate preventive control into the streamlined registration process for 28</w:t>
            </w:r>
            <w:r w:rsidR="008145E8" w:rsidRPr="0CC5BB1D">
              <w:rPr>
                <w:noProof/>
                <w:vertAlign w:val="superscript"/>
              </w:rPr>
              <w:t>th</w:t>
            </w:r>
            <w:r w:rsidR="008145E8" w:rsidRPr="0CC5BB1D">
              <w:rPr>
                <w:noProof/>
              </w:rPr>
              <w:t xml:space="preserve"> regime companies, they are in line with the </w:t>
            </w:r>
            <w:r w:rsidR="00AE0AD4" w:rsidRPr="0CC5BB1D">
              <w:rPr>
                <w:noProof/>
              </w:rPr>
              <w:t xml:space="preserve">Upgrading digital company Directive (EU) 2025/25, which </w:t>
            </w:r>
            <w:r w:rsidR="00A74526" w:rsidRPr="0CC5BB1D">
              <w:rPr>
                <w:noProof/>
              </w:rPr>
              <w:t xml:space="preserve">made </w:t>
            </w:r>
            <w:r w:rsidR="00A74526" w:rsidRPr="001E4D88">
              <w:rPr>
                <w:rFonts w:eastAsia="EC Square Sans Pro"/>
                <w:noProof/>
                <w:lang w:val="en-IE"/>
              </w:rPr>
              <w:t xml:space="preserve">the setting up of companies and filing </w:t>
            </w:r>
            <w:r w:rsidR="00F24614" w:rsidRPr="001E4D88">
              <w:rPr>
                <w:rFonts w:eastAsia="EC Square Sans Pro"/>
                <w:noProof/>
                <w:lang w:val="en-IE"/>
              </w:rPr>
              <w:t>in</w:t>
            </w:r>
            <w:r w:rsidR="00020648" w:rsidRPr="001E4D88">
              <w:rPr>
                <w:rFonts w:eastAsia="EC Square Sans Pro"/>
                <w:noProof/>
                <w:lang w:val="en-IE"/>
              </w:rPr>
              <w:t xml:space="preserve"> all Member States </w:t>
            </w:r>
            <w:r w:rsidR="00A74526" w:rsidRPr="001E4D88">
              <w:rPr>
                <w:rFonts w:eastAsia="EC Square Sans Pro"/>
                <w:noProof/>
                <w:lang w:val="en-IE"/>
              </w:rPr>
              <w:t xml:space="preserve">subject to mandatory preventive control, carried out by </w:t>
            </w:r>
            <w:r w:rsidR="00A74526" w:rsidRPr="001E4D88">
              <w:rPr>
                <w:rFonts w:eastAsia="EC Square Sans Pro"/>
                <w:noProof/>
              </w:rPr>
              <w:t>administrative or judicial authorities, or notaries</w:t>
            </w:r>
            <w:r w:rsidR="00020648" w:rsidRPr="001E4D88">
              <w:rPr>
                <w:rFonts w:eastAsia="EC Square Sans Pro"/>
                <w:noProof/>
              </w:rPr>
              <w:t>.</w:t>
            </w:r>
            <w:r w:rsidR="007F06F2" w:rsidRPr="001E4D88">
              <w:rPr>
                <w:rFonts w:eastAsia="EC Square Sans Pro"/>
                <w:noProof/>
              </w:rPr>
              <w:t xml:space="preserve"> </w:t>
            </w:r>
            <w:r w:rsidR="009902F6" w:rsidRPr="001E4D88">
              <w:rPr>
                <w:rFonts w:eastAsia="EC Square Sans Pro"/>
                <w:noProof/>
              </w:rPr>
              <w:t xml:space="preserve">These options are also coherent with the anti-money laundering and taxation policies aiming at </w:t>
            </w:r>
            <w:r w:rsidR="009902F6" w:rsidRPr="0CC5BB1D">
              <w:rPr>
                <w:rFonts w:eastAsia="Times New Roman"/>
                <w:noProof/>
                <w:lang w:val="en-IE"/>
              </w:rPr>
              <w:t>prevention of abusive or fraudulent letter-box companies linked to tax evasion and/or money laundering.</w:t>
            </w:r>
            <w:r w:rsidR="006E7F98" w:rsidRPr="0CC5BB1D">
              <w:rPr>
                <w:rFonts w:eastAsia="Times New Roman"/>
                <w:noProof/>
                <w:lang w:val="en-IE"/>
              </w:rPr>
              <w:t xml:space="preserve"> Finally, these options </w:t>
            </w:r>
            <w:r w:rsidR="006E7F98">
              <w:rPr>
                <w:noProof/>
              </w:rPr>
              <w:t>would be coherent with</w:t>
            </w:r>
            <w:r w:rsidR="008C7EC1">
              <w:rPr>
                <w:noProof/>
              </w:rPr>
              <w:t xml:space="preserve"> and rely on</w:t>
            </w:r>
            <w:r w:rsidR="006E7F98">
              <w:rPr>
                <w:noProof/>
              </w:rPr>
              <w:t xml:space="preserve"> the eIDAS framework under </w:t>
            </w:r>
            <w:r w:rsidR="006E7F98" w:rsidRPr="00936DCB">
              <w:rPr>
                <w:noProof/>
              </w:rPr>
              <w:t>Regulation (EU) No 910/2014</w:t>
            </w:r>
            <w:r w:rsidR="006E7F98">
              <w:rPr>
                <w:noProof/>
              </w:rPr>
              <w:t xml:space="preserve"> on </w:t>
            </w:r>
            <w:r w:rsidR="006E7F98" w:rsidRPr="001C5327">
              <w:rPr>
                <w:noProof/>
              </w:rPr>
              <w:t>electronic I</w:t>
            </w:r>
            <w:r w:rsidR="006E7F98">
              <w:rPr>
                <w:noProof/>
              </w:rPr>
              <w:t>d</w:t>
            </w:r>
            <w:r w:rsidR="006E7F98" w:rsidRPr="001C5327">
              <w:rPr>
                <w:noProof/>
              </w:rPr>
              <w:t xml:space="preserve">entification, </w:t>
            </w:r>
            <w:r w:rsidR="006E7F98">
              <w:rPr>
                <w:noProof/>
              </w:rPr>
              <w:t>a</w:t>
            </w:r>
            <w:r w:rsidR="006E7F98" w:rsidRPr="001C5327">
              <w:rPr>
                <w:noProof/>
              </w:rPr>
              <w:t xml:space="preserve">uthentication and trust </w:t>
            </w:r>
            <w:r w:rsidR="006E7F98">
              <w:rPr>
                <w:noProof/>
              </w:rPr>
              <w:t>s</w:t>
            </w:r>
            <w:r w:rsidR="006E7F98" w:rsidRPr="001C5327">
              <w:rPr>
                <w:noProof/>
              </w:rPr>
              <w:t>ervices</w:t>
            </w:r>
            <w:r w:rsidR="006E7F98" w:rsidRPr="00936DCB">
              <w:rPr>
                <w:noProof/>
              </w:rPr>
              <w:t>.</w:t>
            </w:r>
          </w:p>
        </w:tc>
      </w:tr>
    </w:tbl>
    <w:p w14:paraId="3D7A529D" w14:textId="77777777" w:rsidR="003C52CD" w:rsidRPr="005A23B4" w:rsidRDefault="003C52CD" w:rsidP="003C52CD">
      <w:pPr>
        <w:rPr>
          <w:noProof/>
          <w:szCs w:val="20"/>
        </w:rPr>
      </w:pPr>
    </w:p>
    <w:p w14:paraId="5184B4B1" w14:textId="27FE02C3" w:rsidR="00EC71E4" w:rsidRPr="00014C11" w:rsidRDefault="003C52CD">
      <w:pPr>
        <w:pStyle w:val="Heading2"/>
        <w:numPr>
          <w:ilvl w:val="0"/>
          <w:numId w:val="0"/>
        </w:numPr>
        <w:ind w:left="680"/>
        <w:rPr>
          <w:rFonts w:eastAsia="Courier New"/>
          <w:i/>
          <w:noProof/>
          <w:u w:val="single"/>
        </w:rPr>
      </w:pPr>
      <w:bookmarkStart w:id="91" w:name="_Toc126870461"/>
      <w:bookmarkStart w:id="92" w:name="_Toc126873044"/>
      <w:bookmarkStart w:id="93" w:name="_Toc126916130"/>
      <w:bookmarkStart w:id="94" w:name="_Toc126916945"/>
      <w:bookmarkStart w:id="95" w:name="_Toc126919391"/>
      <w:bookmarkStart w:id="96" w:name="_Toc126919846"/>
      <w:bookmarkStart w:id="97" w:name="_Toc126928439"/>
      <w:bookmarkStart w:id="98" w:name="_Toc126930816"/>
      <w:r w:rsidRPr="00A0575B">
        <w:rPr>
          <w:rFonts w:eastAsia="Courier New"/>
          <w:noProof/>
          <w:szCs w:val="24"/>
          <w:u w:val="single"/>
        </w:rPr>
        <w:t xml:space="preserve">Policy options 3 </w:t>
      </w:r>
      <w:bookmarkEnd w:id="91"/>
      <w:bookmarkEnd w:id="92"/>
      <w:bookmarkEnd w:id="93"/>
      <w:bookmarkEnd w:id="94"/>
      <w:bookmarkEnd w:id="95"/>
      <w:bookmarkEnd w:id="96"/>
      <w:bookmarkEnd w:id="97"/>
      <w:bookmarkEnd w:id="98"/>
      <w:r w:rsidR="00B36F21" w:rsidRPr="00B36F21">
        <w:rPr>
          <w:rFonts w:eastAsia="Courier New"/>
          <w:noProof/>
          <w:szCs w:val="24"/>
          <w:u w:val="single"/>
        </w:rPr>
        <w:t>to ensure once-only submission of information in the context of registration</w:t>
      </w:r>
    </w:p>
    <w:p w14:paraId="40813A57" w14:textId="23367E7F" w:rsidR="00016643" w:rsidRDefault="00016643" w:rsidP="00C4288E">
      <w:pPr>
        <w:pStyle w:val="ListParagraph"/>
        <w:numPr>
          <w:ilvl w:val="0"/>
          <w:numId w:val="15"/>
        </w:numPr>
        <w:tabs>
          <w:tab w:val="left" w:pos="170"/>
        </w:tabs>
        <w:jc w:val="both"/>
        <w:rPr>
          <w:noProof/>
        </w:rPr>
      </w:pPr>
      <w:r>
        <w:rPr>
          <w:noProof/>
        </w:rPr>
        <w:t xml:space="preserve">Policy option 3a - </w:t>
      </w:r>
      <w:r w:rsidR="00F36033">
        <w:rPr>
          <w:noProof/>
        </w:rPr>
        <w:t>I</w:t>
      </w:r>
      <w:r w:rsidR="00C9711C" w:rsidRPr="00C9711C">
        <w:rPr>
          <w:noProof/>
        </w:rPr>
        <w:t xml:space="preserve">n the context of the registration, </w:t>
      </w:r>
      <w:r w:rsidR="00F36033">
        <w:rPr>
          <w:noProof/>
        </w:rPr>
        <w:t xml:space="preserve">ensure that </w:t>
      </w:r>
      <w:r w:rsidR="00C9711C" w:rsidRPr="00C9711C">
        <w:rPr>
          <w:noProof/>
        </w:rPr>
        <w:t xml:space="preserve">the information about the company </w:t>
      </w:r>
      <w:r w:rsidR="00F36033">
        <w:rPr>
          <w:noProof/>
        </w:rPr>
        <w:t>is</w:t>
      </w:r>
      <w:r w:rsidR="00C9711C" w:rsidRPr="00C9711C">
        <w:rPr>
          <w:noProof/>
        </w:rPr>
        <w:t xml:space="preserve"> transferred from the business register to the authority</w:t>
      </w:r>
      <w:r w:rsidR="00AC1427" w:rsidRPr="00AC1427">
        <w:rPr>
          <w:bCs/>
          <w:noProof/>
          <w:szCs w:val="20"/>
        </w:rPr>
        <w:t xml:space="preserve"> </w:t>
      </w:r>
      <w:bookmarkStart w:id="99" w:name="_Hlk218523463"/>
      <w:r w:rsidR="00AC1427" w:rsidRPr="00BF18CD">
        <w:rPr>
          <w:bCs/>
          <w:noProof/>
          <w:szCs w:val="20"/>
        </w:rPr>
        <w:t>in charge of issuing the TIN</w:t>
      </w:r>
      <w:bookmarkEnd w:id="99"/>
      <w:r w:rsidR="00C9711C" w:rsidRPr="00C9711C">
        <w:rPr>
          <w:noProof/>
        </w:rPr>
        <w:t>, to social security authority and to the beneficial ownership register</w:t>
      </w:r>
      <w:r w:rsidR="00B60EA7">
        <w:rPr>
          <w:noProof/>
          <w:szCs w:val="20"/>
          <w:lang w:val="en-IE"/>
        </w:rPr>
        <w:t xml:space="preserve">, </w:t>
      </w:r>
      <w:r w:rsidR="00B60EA7" w:rsidRPr="001136D8">
        <w:rPr>
          <w:noProof/>
          <w:szCs w:val="20"/>
          <w:lang w:val="en-IE"/>
        </w:rPr>
        <w:t>with any beneficial ownership information as part of the template</w:t>
      </w:r>
      <w:r w:rsidR="00B60EA7">
        <w:rPr>
          <w:noProof/>
          <w:szCs w:val="20"/>
          <w:lang w:val="en-IE"/>
        </w:rPr>
        <w:t>,</w:t>
      </w:r>
      <w:r w:rsidR="00B60EA7" w:rsidRPr="009B43E5">
        <w:rPr>
          <w:noProof/>
          <w:szCs w:val="20"/>
          <w:lang w:val="en-IE"/>
        </w:rPr>
        <w:t xml:space="preserve"> </w:t>
      </w:r>
      <w:r w:rsidR="00C9711C" w:rsidRPr="00C9711C">
        <w:rPr>
          <w:noProof/>
        </w:rPr>
        <w:t>without the 28</w:t>
      </w:r>
      <w:r w:rsidR="00C9711C" w:rsidRPr="00110DB0">
        <w:rPr>
          <w:noProof/>
        </w:rPr>
        <w:t>th</w:t>
      </w:r>
      <w:r w:rsidR="00C9711C" w:rsidRPr="00C9711C">
        <w:rPr>
          <w:noProof/>
        </w:rPr>
        <w:t xml:space="preserve"> regime company needing to submit it again</w:t>
      </w:r>
      <w:r w:rsidR="0062191C">
        <w:rPr>
          <w:noProof/>
        </w:rPr>
        <w:t xml:space="preserve"> </w:t>
      </w:r>
      <w:r w:rsidR="00E940F2">
        <w:rPr>
          <w:noProof/>
          <w:szCs w:val="20"/>
          <w:lang w:val="en-IE"/>
        </w:rPr>
        <w:t>(“once-only principle”)</w:t>
      </w:r>
      <w:r w:rsidR="00C9711C" w:rsidRPr="00C9711C">
        <w:rPr>
          <w:noProof/>
        </w:rPr>
        <w:t>.</w:t>
      </w:r>
    </w:p>
    <w:p w14:paraId="38A7FD17" w14:textId="7342C058" w:rsidR="00016643" w:rsidRDefault="00016643" w:rsidP="00C4288E">
      <w:pPr>
        <w:pStyle w:val="ListParagraph"/>
        <w:numPr>
          <w:ilvl w:val="0"/>
          <w:numId w:val="15"/>
        </w:numPr>
        <w:tabs>
          <w:tab w:val="left" w:pos="170"/>
        </w:tabs>
        <w:jc w:val="both"/>
        <w:rPr>
          <w:noProof/>
        </w:rPr>
      </w:pPr>
      <w:r>
        <w:rPr>
          <w:noProof/>
        </w:rPr>
        <w:t xml:space="preserve">Policy option 3b - </w:t>
      </w:r>
      <w:r w:rsidRPr="00926445">
        <w:rPr>
          <w:noProof/>
        </w:rPr>
        <w:t xml:space="preserve">Option </w:t>
      </w:r>
      <w:r>
        <w:rPr>
          <w:noProof/>
        </w:rPr>
        <w:t>3</w:t>
      </w:r>
      <w:r w:rsidRPr="00926445">
        <w:rPr>
          <w:noProof/>
        </w:rPr>
        <w:t xml:space="preserve">a + </w:t>
      </w:r>
      <w:r w:rsidR="00620417" w:rsidRPr="00620417">
        <w:rPr>
          <w:noProof/>
        </w:rPr>
        <w:t>the 28</w:t>
      </w:r>
      <w:r w:rsidR="00620417" w:rsidRPr="00110DB0">
        <w:rPr>
          <w:noProof/>
        </w:rPr>
        <w:t>th</w:t>
      </w:r>
      <w:r w:rsidR="00620417" w:rsidRPr="00620417">
        <w:rPr>
          <w:noProof/>
        </w:rPr>
        <w:t xml:space="preserve"> regime company would obtain the TIN from the </w:t>
      </w:r>
      <w:r w:rsidR="007B789E">
        <w:rPr>
          <w:noProof/>
        </w:rPr>
        <w:t xml:space="preserve">relevant </w:t>
      </w:r>
      <w:r w:rsidR="00620417" w:rsidRPr="00620417">
        <w:rPr>
          <w:noProof/>
        </w:rPr>
        <w:t>authority</w:t>
      </w:r>
      <w:r w:rsidR="00786D91" w:rsidRPr="009B43E5">
        <w:rPr>
          <w:rStyle w:val="FootnoteReference"/>
          <w:noProof/>
          <w:szCs w:val="20"/>
        </w:rPr>
        <w:footnoteReference w:id="42"/>
      </w:r>
      <w:r w:rsidR="00620417" w:rsidRPr="00620417">
        <w:rPr>
          <w:noProof/>
        </w:rPr>
        <w:t xml:space="preserve"> as part of the registration process</w:t>
      </w:r>
      <w:r w:rsidR="00E940F2">
        <w:rPr>
          <w:noProof/>
        </w:rPr>
        <w:t>, with</w:t>
      </w:r>
      <w:r w:rsidR="00620417" w:rsidRPr="00620417">
        <w:rPr>
          <w:noProof/>
        </w:rPr>
        <w:t xml:space="preserve"> </w:t>
      </w:r>
      <w:r w:rsidR="00E940F2">
        <w:rPr>
          <w:noProof/>
        </w:rPr>
        <w:t>a</w:t>
      </w:r>
      <w:r w:rsidR="00620417" w:rsidRPr="00620417">
        <w:rPr>
          <w:noProof/>
        </w:rPr>
        <w:t xml:space="preserve">ny additional information needed </w:t>
      </w:r>
      <w:r w:rsidR="00E940F2">
        <w:rPr>
          <w:noProof/>
        </w:rPr>
        <w:t>to</w:t>
      </w:r>
      <w:r w:rsidR="00620417" w:rsidRPr="00620417">
        <w:rPr>
          <w:noProof/>
        </w:rPr>
        <w:t xml:space="preserve"> obtain the TIN </w:t>
      </w:r>
      <w:r w:rsidR="006614E3">
        <w:rPr>
          <w:noProof/>
        </w:rPr>
        <w:t xml:space="preserve">as </w:t>
      </w:r>
      <w:r w:rsidR="00620417" w:rsidRPr="00620417">
        <w:rPr>
          <w:noProof/>
        </w:rPr>
        <w:t>part of the template.</w:t>
      </w:r>
    </w:p>
    <w:p w14:paraId="1FA51AE6" w14:textId="62D9F377" w:rsidR="00016643" w:rsidRDefault="00016643" w:rsidP="00C4288E">
      <w:pPr>
        <w:pStyle w:val="ListParagraph"/>
        <w:numPr>
          <w:ilvl w:val="0"/>
          <w:numId w:val="15"/>
        </w:numPr>
        <w:tabs>
          <w:tab w:val="left" w:pos="170"/>
        </w:tabs>
        <w:spacing w:before="0" w:after="0"/>
        <w:jc w:val="both"/>
        <w:rPr>
          <w:noProof/>
        </w:rPr>
      </w:pPr>
      <w:r>
        <w:rPr>
          <w:noProof/>
        </w:rPr>
        <w:t>Policy option 3c - O</w:t>
      </w:r>
      <w:r w:rsidRPr="004C599B">
        <w:rPr>
          <w:noProof/>
        </w:rPr>
        <w:t xml:space="preserve">ption </w:t>
      </w:r>
      <w:r>
        <w:rPr>
          <w:noProof/>
        </w:rPr>
        <w:t>3</w:t>
      </w:r>
      <w:r w:rsidRPr="004C599B">
        <w:rPr>
          <w:noProof/>
        </w:rPr>
        <w:t xml:space="preserve">b </w:t>
      </w:r>
      <w:r>
        <w:rPr>
          <w:noProof/>
        </w:rPr>
        <w:t>+</w:t>
      </w:r>
      <w:r w:rsidRPr="004C599B">
        <w:rPr>
          <w:noProof/>
        </w:rPr>
        <w:t xml:space="preserve"> </w:t>
      </w:r>
      <w:r w:rsidR="00924B2D" w:rsidRPr="00924B2D">
        <w:rPr>
          <w:noProof/>
        </w:rPr>
        <w:t>the 28</w:t>
      </w:r>
      <w:r w:rsidR="00924B2D" w:rsidRPr="00110DB0">
        <w:rPr>
          <w:noProof/>
        </w:rPr>
        <w:t>th</w:t>
      </w:r>
      <w:r w:rsidR="00924B2D" w:rsidRPr="00924B2D">
        <w:rPr>
          <w:noProof/>
        </w:rPr>
        <w:t xml:space="preserve"> regime company would obtain the VAT identification number from the </w:t>
      </w:r>
      <w:r w:rsidR="003134E9">
        <w:rPr>
          <w:noProof/>
        </w:rPr>
        <w:t xml:space="preserve">relevant </w:t>
      </w:r>
      <w:r w:rsidR="00924B2D" w:rsidRPr="00924B2D">
        <w:rPr>
          <w:noProof/>
        </w:rPr>
        <w:t xml:space="preserve">authority as part of the registration process </w:t>
      </w:r>
      <w:r w:rsidR="00786D91">
        <w:rPr>
          <w:noProof/>
        </w:rPr>
        <w:t>(</w:t>
      </w:r>
      <w:r w:rsidR="00924B2D" w:rsidRPr="00924B2D">
        <w:rPr>
          <w:noProof/>
        </w:rPr>
        <w:t>unless more information is needed</w:t>
      </w:r>
      <w:r w:rsidR="00786D91">
        <w:rPr>
          <w:noProof/>
        </w:rPr>
        <w:t>)</w:t>
      </w:r>
      <w:r w:rsidR="00924B2D" w:rsidRPr="00924B2D">
        <w:rPr>
          <w:noProof/>
        </w:rPr>
        <w:t>.</w:t>
      </w:r>
    </w:p>
    <w:p w14:paraId="0BB94EDD" w14:textId="77777777" w:rsidR="00016643" w:rsidRDefault="00016643" w:rsidP="00016643">
      <w:pPr>
        <w:tabs>
          <w:tab w:val="left" w:pos="170"/>
        </w:tabs>
        <w:spacing w:before="0" w:after="0"/>
        <w:jc w:val="both"/>
        <w:rPr>
          <w:noProof/>
        </w:rPr>
      </w:pPr>
    </w:p>
    <w:tbl>
      <w:tblPr>
        <w:tblStyle w:val="TableGrid"/>
        <w:tblW w:w="9889" w:type="dxa"/>
        <w:tblLook w:val="04A0" w:firstRow="1" w:lastRow="0" w:firstColumn="1" w:lastColumn="0" w:noHBand="0" w:noVBand="1"/>
      </w:tblPr>
      <w:tblGrid>
        <w:gridCol w:w="1766"/>
        <w:gridCol w:w="842"/>
        <w:gridCol w:w="848"/>
        <w:gridCol w:w="846"/>
        <w:gridCol w:w="5587"/>
      </w:tblGrid>
      <w:tr w:rsidR="008308FE" w:rsidRPr="00566C3C" w14:paraId="2E9FADF4" w14:textId="77777777" w:rsidTr="00016643">
        <w:tc>
          <w:tcPr>
            <w:tcW w:w="1766" w:type="dxa"/>
            <w:shd w:val="clear" w:color="auto" w:fill="95B3D7" w:themeFill="accent1" w:themeFillTint="99"/>
          </w:tcPr>
          <w:p w14:paraId="1B26B2F6" w14:textId="77777777" w:rsidR="008308FE" w:rsidRPr="005A23B4" w:rsidRDefault="008308FE">
            <w:pPr>
              <w:rPr>
                <w:rFonts w:cstheme="minorHAnsi"/>
                <w:b/>
                <w:noProof/>
                <w:szCs w:val="20"/>
              </w:rPr>
            </w:pPr>
            <w:r w:rsidRPr="005A23B4">
              <w:rPr>
                <w:rFonts w:cstheme="minorHAnsi"/>
                <w:b/>
                <w:noProof/>
                <w:szCs w:val="20"/>
              </w:rPr>
              <w:t>Unit of measurement</w:t>
            </w:r>
          </w:p>
        </w:tc>
        <w:tc>
          <w:tcPr>
            <w:tcW w:w="842" w:type="dxa"/>
            <w:shd w:val="clear" w:color="auto" w:fill="95B3D7" w:themeFill="accent1" w:themeFillTint="99"/>
          </w:tcPr>
          <w:p w14:paraId="36AC57B1" w14:textId="7BB88338" w:rsidR="008308FE" w:rsidRPr="005A23B4" w:rsidRDefault="008308FE">
            <w:pPr>
              <w:rPr>
                <w:rFonts w:cstheme="minorHAnsi"/>
                <w:b/>
                <w:noProof/>
                <w:szCs w:val="20"/>
              </w:rPr>
            </w:pPr>
            <w:r w:rsidRPr="005A23B4">
              <w:rPr>
                <w:rFonts w:cstheme="minorHAnsi"/>
                <w:b/>
                <w:noProof/>
                <w:szCs w:val="20"/>
              </w:rPr>
              <w:t>PO</w:t>
            </w:r>
            <w:r w:rsidR="00EC71E4">
              <w:rPr>
                <w:rFonts w:cstheme="minorHAnsi"/>
                <w:b/>
                <w:noProof/>
                <w:szCs w:val="20"/>
              </w:rPr>
              <w:t>3</w:t>
            </w:r>
            <w:r w:rsidRPr="005A23B4">
              <w:rPr>
                <w:rFonts w:cstheme="minorHAnsi"/>
                <w:b/>
                <w:noProof/>
                <w:szCs w:val="20"/>
              </w:rPr>
              <w:t>a</w:t>
            </w:r>
          </w:p>
          <w:p w14:paraId="0CACF05B" w14:textId="77777777" w:rsidR="008308FE" w:rsidRPr="005A23B4" w:rsidRDefault="008308FE">
            <w:pPr>
              <w:rPr>
                <w:rFonts w:cstheme="minorHAnsi"/>
                <w:b/>
                <w:noProof/>
                <w:szCs w:val="20"/>
              </w:rPr>
            </w:pPr>
          </w:p>
        </w:tc>
        <w:tc>
          <w:tcPr>
            <w:tcW w:w="848" w:type="dxa"/>
            <w:shd w:val="clear" w:color="auto" w:fill="95B3D7" w:themeFill="accent1" w:themeFillTint="99"/>
          </w:tcPr>
          <w:p w14:paraId="618D785F" w14:textId="34BD24FE" w:rsidR="008308FE" w:rsidRPr="005A23B4" w:rsidRDefault="008308FE">
            <w:pPr>
              <w:rPr>
                <w:rFonts w:cstheme="minorHAnsi"/>
                <w:b/>
                <w:noProof/>
                <w:szCs w:val="20"/>
              </w:rPr>
            </w:pPr>
            <w:r w:rsidRPr="005A23B4">
              <w:rPr>
                <w:rFonts w:cstheme="minorHAnsi"/>
                <w:b/>
                <w:noProof/>
                <w:szCs w:val="20"/>
              </w:rPr>
              <w:t>PO</w:t>
            </w:r>
            <w:r w:rsidR="00EC71E4">
              <w:rPr>
                <w:rFonts w:cstheme="minorHAnsi"/>
                <w:b/>
                <w:noProof/>
                <w:szCs w:val="20"/>
              </w:rPr>
              <w:t>3</w:t>
            </w:r>
            <w:r w:rsidRPr="005A23B4">
              <w:rPr>
                <w:rFonts w:cstheme="minorHAnsi"/>
                <w:b/>
                <w:noProof/>
                <w:szCs w:val="20"/>
              </w:rPr>
              <w:t>b</w:t>
            </w:r>
          </w:p>
        </w:tc>
        <w:tc>
          <w:tcPr>
            <w:tcW w:w="846" w:type="dxa"/>
            <w:shd w:val="clear" w:color="auto" w:fill="95B3D7" w:themeFill="accent1" w:themeFillTint="99"/>
          </w:tcPr>
          <w:p w14:paraId="0B4FBFE3" w14:textId="70C68E35" w:rsidR="008308FE" w:rsidRPr="005A23B4" w:rsidRDefault="008308FE">
            <w:pPr>
              <w:rPr>
                <w:rFonts w:cstheme="minorHAnsi"/>
                <w:b/>
                <w:noProof/>
                <w:szCs w:val="20"/>
              </w:rPr>
            </w:pPr>
            <w:r w:rsidRPr="005A23B4">
              <w:rPr>
                <w:rFonts w:cstheme="minorHAnsi"/>
                <w:b/>
                <w:noProof/>
                <w:szCs w:val="20"/>
              </w:rPr>
              <w:t>PO</w:t>
            </w:r>
            <w:r w:rsidR="00EC71E4">
              <w:rPr>
                <w:rFonts w:cstheme="minorHAnsi"/>
                <w:b/>
                <w:noProof/>
                <w:szCs w:val="20"/>
              </w:rPr>
              <w:t>3</w:t>
            </w:r>
            <w:r w:rsidRPr="005A23B4">
              <w:rPr>
                <w:rFonts w:cstheme="minorHAnsi"/>
                <w:b/>
                <w:noProof/>
                <w:szCs w:val="20"/>
              </w:rPr>
              <w:t>c</w:t>
            </w:r>
          </w:p>
        </w:tc>
        <w:tc>
          <w:tcPr>
            <w:tcW w:w="5587" w:type="dxa"/>
            <w:shd w:val="clear" w:color="auto" w:fill="95B3D7" w:themeFill="accent1" w:themeFillTint="99"/>
          </w:tcPr>
          <w:p w14:paraId="0D81261C" w14:textId="77777777" w:rsidR="008308FE" w:rsidRPr="005A23B4" w:rsidRDefault="008308FE">
            <w:pPr>
              <w:rPr>
                <w:rFonts w:cstheme="minorHAnsi"/>
                <w:b/>
                <w:noProof/>
                <w:szCs w:val="20"/>
              </w:rPr>
            </w:pPr>
            <w:r w:rsidRPr="005A23B4">
              <w:rPr>
                <w:rFonts w:cstheme="minorHAnsi"/>
                <w:b/>
                <w:noProof/>
                <w:szCs w:val="20"/>
              </w:rPr>
              <w:t>Motivation</w:t>
            </w:r>
          </w:p>
        </w:tc>
      </w:tr>
      <w:tr w:rsidR="008308FE" w:rsidRPr="00566C3C" w14:paraId="15D2CDDF" w14:textId="77777777" w:rsidTr="00016643">
        <w:tc>
          <w:tcPr>
            <w:tcW w:w="1766" w:type="dxa"/>
          </w:tcPr>
          <w:p w14:paraId="3EE142CE" w14:textId="77777777" w:rsidR="008308FE" w:rsidRPr="005A23B4" w:rsidRDefault="008308FE">
            <w:pPr>
              <w:rPr>
                <w:rFonts w:cstheme="minorHAnsi"/>
                <w:b/>
                <w:noProof/>
                <w:szCs w:val="20"/>
              </w:rPr>
            </w:pPr>
            <w:r w:rsidRPr="005A23B4">
              <w:rPr>
                <w:rFonts w:cstheme="minorHAnsi"/>
                <w:noProof/>
                <w:szCs w:val="20"/>
              </w:rPr>
              <w:t xml:space="preserve">Score 1-5 </w:t>
            </w:r>
          </w:p>
        </w:tc>
        <w:tc>
          <w:tcPr>
            <w:tcW w:w="842" w:type="dxa"/>
          </w:tcPr>
          <w:p w14:paraId="62CCB884" w14:textId="3CE96E88" w:rsidR="008308FE" w:rsidRPr="003C66EF" w:rsidRDefault="003C66EF" w:rsidP="003C66EF">
            <w:pPr>
              <w:jc w:val="center"/>
              <w:rPr>
                <w:rFonts w:cstheme="minorHAnsi"/>
                <w:bCs/>
                <w:noProof/>
                <w:szCs w:val="20"/>
              </w:rPr>
            </w:pPr>
            <w:r w:rsidRPr="003C66EF">
              <w:rPr>
                <w:rFonts w:cstheme="minorHAnsi"/>
                <w:bCs/>
                <w:noProof/>
                <w:szCs w:val="20"/>
              </w:rPr>
              <w:t>3</w:t>
            </w:r>
          </w:p>
        </w:tc>
        <w:tc>
          <w:tcPr>
            <w:tcW w:w="848" w:type="dxa"/>
          </w:tcPr>
          <w:p w14:paraId="62CF9E6E" w14:textId="62422FE5" w:rsidR="008308FE" w:rsidRPr="003C66EF" w:rsidRDefault="003C66EF" w:rsidP="003C66EF">
            <w:pPr>
              <w:jc w:val="center"/>
              <w:rPr>
                <w:rFonts w:cstheme="minorHAnsi"/>
                <w:bCs/>
                <w:noProof/>
                <w:szCs w:val="20"/>
              </w:rPr>
            </w:pPr>
            <w:r w:rsidRPr="003C66EF">
              <w:rPr>
                <w:rFonts w:cstheme="minorHAnsi"/>
                <w:bCs/>
                <w:noProof/>
                <w:szCs w:val="20"/>
              </w:rPr>
              <w:t>4</w:t>
            </w:r>
          </w:p>
        </w:tc>
        <w:tc>
          <w:tcPr>
            <w:tcW w:w="846" w:type="dxa"/>
          </w:tcPr>
          <w:p w14:paraId="51FDD32D" w14:textId="203451E4" w:rsidR="008308FE" w:rsidRPr="003C66EF" w:rsidRDefault="003C66EF" w:rsidP="003C66EF">
            <w:pPr>
              <w:jc w:val="center"/>
              <w:rPr>
                <w:rFonts w:cstheme="minorHAnsi"/>
                <w:bCs/>
                <w:noProof/>
                <w:szCs w:val="20"/>
              </w:rPr>
            </w:pPr>
            <w:r w:rsidRPr="003C66EF">
              <w:rPr>
                <w:rFonts w:cstheme="minorHAnsi"/>
                <w:bCs/>
                <w:noProof/>
                <w:szCs w:val="20"/>
              </w:rPr>
              <w:t>5</w:t>
            </w:r>
          </w:p>
        </w:tc>
        <w:tc>
          <w:tcPr>
            <w:tcW w:w="5587" w:type="dxa"/>
          </w:tcPr>
          <w:p w14:paraId="119B50CC" w14:textId="65492D9E" w:rsidR="008308FE" w:rsidRPr="00D8180D" w:rsidRDefault="008308FE" w:rsidP="00D8180D">
            <w:pPr>
              <w:jc w:val="both"/>
              <w:rPr>
                <w:rFonts w:cstheme="minorHAnsi"/>
                <w:noProof/>
                <w:szCs w:val="20"/>
              </w:rPr>
            </w:pPr>
            <w:r w:rsidRPr="005A23B4">
              <w:rPr>
                <w:rFonts w:cstheme="minorHAnsi"/>
                <w:noProof/>
                <w:szCs w:val="20"/>
                <w:u w:val="single"/>
              </w:rPr>
              <w:t>Internal coherence:</w:t>
            </w:r>
            <w:r w:rsidRPr="00D8180D">
              <w:rPr>
                <w:rFonts w:cstheme="minorHAnsi"/>
                <w:noProof/>
                <w:szCs w:val="20"/>
              </w:rPr>
              <w:t xml:space="preserve"> </w:t>
            </w:r>
            <w:r w:rsidR="00D8180D" w:rsidRPr="00D8180D">
              <w:rPr>
                <w:rFonts w:cstheme="minorHAnsi"/>
                <w:noProof/>
                <w:szCs w:val="20"/>
              </w:rPr>
              <w:t>these policy options are</w:t>
            </w:r>
            <w:r w:rsidR="00D8180D" w:rsidRPr="00C879C0">
              <w:rPr>
                <w:rFonts w:cstheme="minorHAnsi"/>
                <w:noProof/>
                <w:szCs w:val="20"/>
              </w:rPr>
              <w:t xml:space="preserve"> </w:t>
            </w:r>
            <w:r w:rsidR="00D8180D" w:rsidRPr="00D8180D">
              <w:rPr>
                <w:rFonts w:cstheme="minorHAnsi"/>
                <w:noProof/>
                <w:szCs w:val="20"/>
              </w:rPr>
              <w:t xml:space="preserve">in particular complementary </w:t>
            </w:r>
            <w:r w:rsidR="00450C6E">
              <w:rPr>
                <w:rFonts w:cstheme="minorHAnsi"/>
                <w:noProof/>
                <w:szCs w:val="20"/>
              </w:rPr>
              <w:t>with</w:t>
            </w:r>
            <w:r w:rsidR="00D8180D" w:rsidRPr="00D8180D">
              <w:rPr>
                <w:rFonts w:cstheme="minorHAnsi"/>
                <w:noProof/>
                <w:szCs w:val="20"/>
              </w:rPr>
              <w:t xml:space="preserve"> policy options 2</w:t>
            </w:r>
            <w:r w:rsidR="00992E1F">
              <w:rPr>
                <w:rFonts w:cstheme="minorHAnsi"/>
                <w:noProof/>
                <w:szCs w:val="20"/>
              </w:rPr>
              <w:t xml:space="preserve">. The application of the </w:t>
            </w:r>
            <w:r w:rsidR="0002141A">
              <w:rPr>
                <w:rFonts w:cstheme="minorHAnsi"/>
                <w:noProof/>
                <w:szCs w:val="20"/>
              </w:rPr>
              <w:t xml:space="preserve">once-only </w:t>
            </w:r>
            <w:r w:rsidR="00EA6A0B">
              <w:rPr>
                <w:rFonts w:cstheme="minorHAnsi"/>
                <w:noProof/>
                <w:szCs w:val="20"/>
              </w:rPr>
              <w:t>principle</w:t>
            </w:r>
            <w:r w:rsidR="0002141A">
              <w:rPr>
                <w:rFonts w:cstheme="minorHAnsi"/>
                <w:noProof/>
                <w:szCs w:val="20"/>
              </w:rPr>
              <w:t xml:space="preserve"> </w:t>
            </w:r>
            <w:r w:rsidR="00D42747">
              <w:rPr>
                <w:rFonts w:cstheme="minorHAnsi"/>
                <w:noProof/>
                <w:szCs w:val="20"/>
              </w:rPr>
              <w:t xml:space="preserve">will </w:t>
            </w:r>
            <w:r w:rsidR="00C224E1">
              <w:rPr>
                <w:rFonts w:cstheme="minorHAnsi"/>
                <w:noProof/>
                <w:szCs w:val="20"/>
              </w:rPr>
              <w:t xml:space="preserve">ensure that the </w:t>
            </w:r>
            <w:r w:rsidR="00071D27">
              <w:rPr>
                <w:rFonts w:cstheme="minorHAnsi"/>
                <w:noProof/>
                <w:szCs w:val="20"/>
              </w:rPr>
              <w:t xml:space="preserve">setting up of the company is rendered </w:t>
            </w:r>
            <w:r w:rsidR="00517669">
              <w:rPr>
                <w:rFonts w:cstheme="minorHAnsi"/>
                <w:noProof/>
                <w:szCs w:val="20"/>
              </w:rPr>
              <w:t>even simpler</w:t>
            </w:r>
            <w:r w:rsidR="00514EED">
              <w:rPr>
                <w:rFonts w:cstheme="minorHAnsi"/>
                <w:noProof/>
                <w:szCs w:val="20"/>
              </w:rPr>
              <w:t xml:space="preserve"> and quicker thanks to no </w:t>
            </w:r>
            <w:r w:rsidR="00071D27">
              <w:rPr>
                <w:rFonts w:cstheme="minorHAnsi"/>
                <w:noProof/>
                <w:szCs w:val="20"/>
              </w:rPr>
              <w:t>need to re-submit similar information to other authorities</w:t>
            </w:r>
            <w:r w:rsidR="00B67106">
              <w:rPr>
                <w:rFonts w:cstheme="minorHAnsi"/>
                <w:noProof/>
                <w:szCs w:val="20"/>
              </w:rPr>
              <w:t xml:space="preserve">. In addition, policy options 3b and 3c will </w:t>
            </w:r>
            <w:r w:rsidR="007C4A9C">
              <w:rPr>
                <w:rFonts w:cstheme="minorHAnsi"/>
                <w:noProof/>
                <w:szCs w:val="20"/>
              </w:rPr>
              <w:t xml:space="preserve">further simplify the setting up stage by ensuring that TIN and VAT identification numbers can be </w:t>
            </w:r>
            <w:r w:rsidR="00AA55AD">
              <w:rPr>
                <w:rFonts w:cstheme="minorHAnsi"/>
                <w:noProof/>
                <w:szCs w:val="20"/>
              </w:rPr>
              <w:t>provide</w:t>
            </w:r>
            <w:r w:rsidR="007C4A9C">
              <w:rPr>
                <w:rFonts w:cstheme="minorHAnsi"/>
                <w:noProof/>
                <w:szCs w:val="20"/>
              </w:rPr>
              <w:t>d as part of the registration procedure.</w:t>
            </w:r>
            <w:r w:rsidR="002E193E">
              <w:rPr>
                <w:rFonts w:cstheme="minorHAnsi"/>
                <w:noProof/>
                <w:szCs w:val="20"/>
              </w:rPr>
              <w:t xml:space="preserve"> Policy option 3c will ensure most coherence.</w:t>
            </w:r>
            <w:r w:rsidR="001542F1">
              <w:rPr>
                <w:rFonts w:cstheme="minorHAnsi"/>
                <w:noProof/>
                <w:szCs w:val="20"/>
              </w:rPr>
              <w:t xml:space="preserve"> They are also coherent with </w:t>
            </w:r>
            <w:r w:rsidR="00984892">
              <w:rPr>
                <w:rFonts w:cstheme="minorHAnsi"/>
                <w:noProof/>
                <w:szCs w:val="20"/>
              </w:rPr>
              <w:t xml:space="preserve">policy options </w:t>
            </w:r>
            <w:r w:rsidR="002A4371">
              <w:rPr>
                <w:rFonts w:cstheme="minorHAnsi"/>
                <w:noProof/>
                <w:szCs w:val="20"/>
              </w:rPr>
              <w:t xml:space="preserve">4, which </w:t>
            </w:r>
            <w:r w:rsidR="00A03C09">
              <w:rPr>
                <w:rFonts w:cstheme="minorHAnsi"/>
                <w:noProof/>
                <w:szCs w:val="20"/>
              </w:rPr>
              <w:t>also provide for a once-only exchange of information between the business registers and other relevant authorities (e.g. tax, social security authorities) but in context of a closure of solvent 28</w:t>
            </w:r>
            <w:r w:rsidR="00A03C09" w:rsidRPr="00A03C09">
              <w:rPr>
                <w:rFonts w:cstheme="minorHAnsi"/>
                <w:noProof/>
                <w:szCs w:val="20"/>
                <w:vertAlign w:val="superscript"/>
              </w:rPr>
              <w:t>th</w:t>
            </w:r>
            <w:r w:rsidR="00A03C09">
              <w:rPr>
                <w:rFonts w:cstheme="minorHAnsi"/>
                <w:noProof/>
                <w:szCs w:val="20"/>
              </w:rPr>
              <w:t xml:space="preserve"> regime companies.</w:t>
            </w:r>
          </w:p>
          <w:p w14:paraId="0E7767B9" w14:textId="537B1DDF" w:rsidR="008308FE" w:rsidRPr="005A23B4" w:rsidRDefault="008308FE" w:rsidP="00D8180D">
            <w:pPr>
              <w:jc w:val="both"/>
              <w:rPr>
                <w:rFonts w:cstheme="minorHAnsi"/>
                <w:noProof/>
                <w:szCs w:val="20"/>
                <w:u w:val="single"/>
              </w:rPr>
            </w:pPr>
            <w:r w:rsidRPr="005A23B4">
              <w:rPr>
                <w:rFonts w:cstheme="minorHAnsi"/>
                <w:noProof/>
                <w:szCs w:val="20"/>
                <w:u w:val="single"/>
              </w:rPr>
              <w:t>External coherence:</w:t>
            </w:r>
            <w:r w:rsidR="005507C1">
              <w:rPr>
                <w:rFonts w:cstheme="minorHAnsi"/>
                <w:noProof/>
                <w:szCs w:val="20"/>
                <w:u w:val="single"/>
              </w:rPr>
              <w:t xml:space="preserve"> </w:t>
            </w:r>
            <w:r w:rsidR="00E44787" w:rsidRPr="00693354">
              <w:rPr>
                <w:rFonts w:cstheme="minorHAnsi"/>
                <w:noProof/>
                <w:szCs w:val="20"/>
              </w:rPr>
              <w:t xml:space="preserve">These policy options, and </w:t>
            </w:r>
            <w:r w:rsidR="003A1D0F">
              <w:rPr>
                <w:rFonts w:cstheme="minorHAnsi"/>
                <w:noProof/>
                <w:szCs w:val="20"/>
              </w:rPr>
              <w:t>mostly</w:t>
            </w:r>
            <w:r w:rsidR="00E44787" w:rsidRPr="00693354">
              <w:rPr>
                <w:rFonts w:cstheme="minorHAnsi"/>
                <w:noProof/>
                <w:szCs w:val="20"/>
              </w:rPr>
              <w:t xml:space="preserve"> option 3c contribute to </w:t>
            </w:r>
            <w:r w:rsidR="006611B9" w:rsidRPr="00693354">
              <w:rPr>
                <w:rFonts w:cstheme="minorHAnsi"/>
                <w:noProof/>
                <w:szCs w:val="20"/>
              </w:rPr>
              <w:t>digitalising the single market, in particular through</w:t>
            </w:r>
            <w:r w:rsidR="00EE26EE" w:rsidRPr="00693354">
              <w:rPr>
                <w:rFonts w:cstheme="minorHAnsi"/>
                <w:noProof/>
                <w:szCs w:val="20"/>
              </w:rPr>
              <w:t xml:space="preserve"> exchanging digital data between authorities, which importance was underlined in the 2025 Single Market Strategy.</w:t>
            </w:r>
            <w:r w:rsidR="005B411F" w:rsidRPr="00693354">
              <w:rPr>
                <w:rFonts w:cstheme="minorHAnsi"/>
                <w:noProof/>
                <w:szCs w:val="20"/>
              </w:rPr>
              <w:t xml:space="preserve"> </w:t>
            </w:r>
            <w:r w:rsidR="007A773B" w:rsidRPr="00693354">
              <w:rPr>
                <w:rFonts w:cstheme="minorHAnsi"/>
                <w:noProof/>
                <w:szCs w:val="20"/>
              </w:rPr>
              <w:t xml:space="preserve">They </w:t>
            </w:r>
            <w:r w:rsidR="00F92D2A">
              <w:rPr>
                <w:rFonts w:cstheme="minorHAnsi"/>
                <w:noProof/>
                <w:szCs w:val="20"/>
              </w:rPr>
              <w:t>are</w:t>
            </w:r>
            <w:r w:rsidR="007A773B" w:rsidRPr="00693354">
              <w:rPr>
                <w:rFonts w:cstheme="minorHAnsi"/>
                <w:noProof/>
                <w:szCs w:val="20"/>
              </w:rPr>
              <w:t xml:space="preserve"> coherent with the recent </w:t>
            </w:r>
            <w:r w:rsidR="007D140E" w:rsidRPr="00693354">
              <w:rPr>
                <w:rFonts w:cstheme="minorHAnsi"/>
                <w:noProof/>
                <w:szCs w:val="20"/>
              </w:rPr>
              <w:t xml:space="preserve">developments to digitalise the EU company law, in particular through the Digitalisation and Upgrading digital company law Directives, which already introduced the use of the </w:t>
            </w:r>
            <w:r w:rsidR="007D140E" w:rsidRPr="00693354">
              <w:rPr>
                <w:rFonts w:cstheme="minorHAnsi"/>
                <w:noProof/>
                <w:szCs w:val="20"/>
                <w:lang w:val="en-IE"/>
              </w:rPr>
              <w:t xml:space="preserve">“once-only principle” </w:t>
            </w:r>
            <w:r w:rsidR="008F3D5B" w:rsidRPr="00693354">
              <w:rPr>
                <w:rFonts w:cstheme="minorHAnsi"/>
                <w:noProof/>
                <w:szCs w:val="20"/>
                <w:lang w:val="en-IE"/>
              </w:rPr>
              <w:t xml:space="preserve">in a number of contexts. </w:t>
            </w:r>
            <w:r w:rsidR="005B411F" w:rsidRPr="00693354">
              <w:rPr>
                <w:rFonts w:cstheme="minorHAnsi"/>
                <w:noProof/>
                <w:szCs w:val="20"/>
              </w:rPr>
              <w:t xml:space="preserve">These options – and in particular 3b and 3c also contribute to the objectives of </w:t>
            </w:r>
            <w:r w:rsidR="00862B1C">
              <w:rPr>
                <w:rFonts w:cstheme="minorHAnsi"/>
                <w:noProof/>
                <w:szCs w:val="20"/>
              </w:rPr>
              <w:t>e</w:t>
            </w:r>
            <w:r w:rsidR="00063FAD" w:rsidRPr="00063FAD">
              <w:rPr>
                <w:rFonts w:cstheme="minorHAnsi"/>
                <w:noProof/>
                <w:szCs w:val="20"/>
              </w:rPr>
              <w:t xml:space="preserve">nsuring full identification of taxpayers by matching the data received by means of information exchange and ensure </w:t>
            </w:r>
            <w:r w:rsidR="00EE5745">
              <w:rPr>
                <w:rFonts w:cstheme="minorHAnsi"/>
                <w:noProof/>
                <w:szCs w:val="20"/>
              </w:rPr>
              <w:t xml:space="preserve">an </w:t>
            </w:r>
            <w:r w:rsidR="00063FAD" w:rsidRPr="00063FAD">
              <w:rPr>
                <w:rFonts w:cstheme="minorHAnsi"/>
                <w:noProof/>
                <w:szCs w:val="20"/>
              </w:rPr>
              <w:t>automated</w:t>
            </w:r>
            <w:r w:rsidR="00EE5745">
              <w:rPr>
                <w:rFonts w:cstheme="minorHAnsi"/>
                <w:noProof/>
                <w:szCs w:val="20"/>
              </w:rPr>
              <w:t xml:space="preserve"> </w:t>
            </w:r>
            <w:r w:rsidR="00063FAD" w:rsidRPr="00063FAD">
              <w:rPr>
                <w:rFonts w:cstheme="minorHAnsi"/>
                <w:noProof/>
                <w:szCs w:val="20"/>
              </w:rPr>
              <w:t>identification of taxpayers</w:t>
            </w:r>
            <w:r w:rsidR="005B411F" w:rsidRPr="00693354">
              <w:rPr>
                <w:rFonts w:cstheme="minorHAnsi"/>
                <w:noProof/>
                <w:szCs w:val="20"/>
              </w:rPr>
              <w:t xml:space="preserve"> </w:t>
            </w:r>
            <w:r w:rsidR="00063FAD" w:rsidRPr="00D630F9">
              <w:rPr>
                <w:rFonts w:cstheme="minorHAnsi"/>
                <w:noProof/>
                <w:szCs w:val="20"/>
              </w:rPr>
              <w:t>as set in the evaluation report</w:t>
            </w:r>
            <w:r w:rsidR="001706B3" w:rsidRPr="00D630F9">
              <w:rPr>
                <w:rFonts w:cstheme="minorHAnsi"/>
                <w:noProof/>
                <w:szCs w:val="20"/>
              </w:rPr>
              <w:t xml:space="preserve"> on </w:t>
            </w:r>
            <w:r w:rsidR="001D7153">
              <w:rPr>
                <w:rFonts w:cstheme="minorHAnsi"/>
                <w:noProof/>
                <w:szCs w:val="20"/>
              </w:rPr>
              <w:t xml:space="preserve">the </w:t>
            </w:r>
            <w:r w:rsidR="006A490D" w:rsidRPr="006A490D">
              <w:rPr>
                <w:rFonts w:cstheme="minorHAnsi"/>
                <w:noProof/>
                <w:szCs w:val="20"/>
              </w:rPr>
              <w:t>Directive on Administrative Cooperation</w:t>
            </w:r>
            <w:r w:rsidR="001D7153">
              <w:rPr>
                <w:rFonts w:cstheme="minorHAnsi"/>
                <w:noProof/>
                <w:szCs w:val="20"/>
              </w:rPr>
              <w:t xml:space="preserve"> (DAC</w:t>
            </w:r>
            <w:r w:rsidR="006A490D">
              <w:rPr>
                <w:rFonts w:cstheme="minorHAnsi"/>
                <w:noProof/>
                <w:szCs w:val="20"/>
              </w:rPr>
              <w:t>)</w:t>
            </w:r>
            <w:r w:rsidR="00895F68">
              <w:rPr>
                <w:rFonts w:cstheme="minorHAnsi"/>
                <w:noProof/>
                <w:szCs w:val="20"/>
              </w:rPr>
              <w:t xml:space="preserve"> </w:t>
            </w:r>
            <w:r w:rsidR="001706B3" w:rsidRPr="001706B3">
              <w:rPr>
                <w:rFonts w:cstheme="minorHAnsi"/>
                <w:noProof/>
                <w:szCs w:val="20"/>
              </w:rPr>
              <w:t>2011/16/EU</w:t>
            </w:r>
            <w:r w:rsidR="000B28C4" w:rsidRPr="00D630F9">
              <w:rPr>
                <w:rStyle w:val="FootnoteReference"/>
                <w:rFonts w:cstheme="minorHAnsi"/>
                <w:noProof/>
                <w:szCs w:val="20"/>
              </w:rPr>
              <w:footnoteReference w:id="43"/>
            </w:r>
            <w:r w:rsidR="005B411F" w:rsidRPr="00D630F9">
              <w:rPr>
                <w:rFonts w:cstheme="minorHAnsi"/>
                <w:noProof/>
                <w:szCs w:val="20"/>
              </w:rPr>
              <w:t>.</w:t>
            </w:r>
            <w:r w:rsidR="006611B9" w:rsidRPr="00693354">
              <w:rPr>
                <w:rFonts w:cstheme="minorHAnsi"/>
                <w:noProof/>
                <w:szCs w:val="20"/>
              </w:rPr>
              <w:t xml:space="preserve"> </w:t>
            </w:r>
            <w:r w:rsidR="00220AFF" w:rsidRPr="005F06A6">
              <w:rPr>
                <w:rFonts w:cstheme="minorHAnsi"/>
                <w:noProof/>
                <w:szCs w:val="20"/>
              </w:rPr>
              <w:t>The</w:t>
            </w:r>
            <w:r w:rsidR="00220AFF">
              <w:rPr>
                <w:rFonts w:cstheme="minorHAnsi"/>
                <w:noProof/>
                <w:szCs w:val="20"/>
              </w:rPr>
              <w:t>se options are also coherent and complementary</w:t>
            </w:r>
            <w:r w:rsidR="004E63F7" w:rsidRPr="00693354">
              <w:rPr>
                <w:rFonts w:cstheme="minorHAnsi"/>
                <w:noProof/>
                <w:szCs w:val="20"/>
              </w:rPr>
              <w:t xml:space="preserve"> with the Single Digital Gateway Regulation </w:t>
            </w:r>
            <w:r w:rsidR="001031ED">
              <w:rPr>
                <w:rFonts w:cstheme="minorHAnsi"/>
                <w:noProof/>
                <w:szCs w:val="20"/>
              </w:rPr>
              <w:t>(SDG)</w:t>
            </w:r>
            <w:r w:rsidR="004E63F7" w:rsidRPr="00693354">
              <w:rPr>
                <w:rFonts w:cstheme="minorHAnsi"/>
                <w:noProof/>
                <w:szCs w:val="20"/>
              </w:rPr>
              <w:t xml:space="preserve"> </w:t>
            </w:r>
            <w:r w:rsidR="00F5265D" w:rsidRPr="00693354">
              <w:rPr>
                <w:rFonts w:cstheme="minorHAnsi"/>
                <w:noProof/>
                <w:szCs w:val="20"/>
              </w:rPr>
              <w:t>and the Once-Only Technical System (OOTS)</w:t>
            </w:r>
            <w:r w:rsidR="00151DC2" w:rsidRPr="00693354">
              <w:rPr>
                <w:rFonts w:cstheme="minorHAnsi"/>
                <w:noProof/>
                <w:szCs w:val="20"/>
              </w:rPr>
              <w:t xml:space="preserve">, which enables an automated </w:t>
            </w:r>
            <w:r w:rsidR="00220AFF">
              <w:rPr>
                <w:rFonts w:cstheme="minorHAnsi"/>
                <w:noProof/>
                <w:szCs w:val="20"/>
              </w:rPr>
              <w:t xml:space="preserve">cross-border </w:t>
            </w:r>
            <w:r w:rsidR="00151DC2" w:rsidRPr="00693354">
              <w:rPr>
                <w:rFonts w:cstheme="minorHAnsi"/>
                <w:noProof/>
                <w:szCs w:val="20"/>
              </w:rPr>
              <w:t>exchange between authorities of documents and data</w:t>
            </w:r>
            <w:r w:rsidR="00EA4E06" w:rsidRPr="00693354">
              <w:rPr>
                <w:rFonts w:cstheme="minorHAnsi"/>
                <w:noProof/>
                <w:szCs w:val="20"/>
              </w:rPr>
              <w:t xml:space="preserve"> for procedures covered under the SDG</w:t>
            </w:r>
            <w:r w:rsidR="00220AFF">
              <w:rPr>
                <w:rFonts w:cstheme="minorHAnsi"/>
                <w:noProof/>
                <w:szCs w:val="20"/>
              </w:rPr>
              <w:t>.</w:t>
            </w:r>
            <w:r w:rsidR="00B332C7" w:rsidRPr="00693354">
              <w:rPr>
                <w:rFonts w:cstheme="minorHAnsi"/>
                <w:noProof/>
                <w:szCs w:val="20"/>
              </w:rPr>
              <w:t xml:space="preserve"> </w:t>
            </w:r>
            <w:r w:rsidR="00292FDC">
              <w:rPr>
                <w:rFonts w:cstheme="minorHAnsi"/>
                <w:noProof/>
                <w:szCs w:val="20"/>
              </w:rPr>
              <w:t xml:space="preserve">This approach is also </w:t>
            </w:r>
            <w:r w:rsidR="00A65AD1">
              <w:rPr>
                <w:rFonts w:cstheme="minorHAnsi"/>
                <w:noProof/>
                <w:szCs w:val="20"/>
              </w:rPr>
              <w:t xml:space="preserve">coherent with </w:t>
            </w:r>
            <w:r w:rsidR="00A65AD1" w:rsidRPr="00A65AD1">
              <w:rPr>
                <w:rFonts w:cstheme="minorHAnsi"/>
                <w:noProof/>
                <w:szCs w:val="20"/>
                <w:lang w:val="en-IE"/>
              </w:rPr>
              <w:t>the Digital Decade</w:t>
            </w:r>
            <w:r w:rsidR="0015353D">
              <w:rPr>
                <w:rStyle w:val="FootnoteReference"/>
                <w:rFonts w:cstheme="minorHAnsi"/>
                <w:noProof/>
                <w:szCs w:val="20"/>
                <w:lang w:val="en-IE"/>
              </w:rPr>
              <w:footnoteReference w:id="44"/>
            </w:r>
            <w:r w:rsidR="00A65AD1" w:rsidRPr="00A65AD1">
              <w:rPr>
                <w:rFonts w:cstheme="minorHAnsi"/>
                <w:noProof/>
                <w:szCs w:val="20"/>
                <w:lang w:val="en-IE"/>
              </w:rPr>
              <w:t>, which aims to enhance the Member States' capacity to make their public administrations more digital and data-driven</w:t>
            </w:r>
            <w:r w:rsidR="003C0828">
              <w:rPr>
                <w:rFonts w:cstheme="minorHAnsi"/>
                <w:noProof/>
                <w:szCs w:val="20"/>
                <w:lang w:val="en-IE"/>
              </w:rPr>
              <w:t>. Finally</w:t>
            </w:r>
            <w:r w:rsidR="00D92938">
              <w:rPr>
                <w:rFonts w:cstheme="minorHAnsi"/>
                <w:noProof/>
                <w:szCs w:val="20"/>
                <w:lang w:val="en-IE"/>
              </w:rPr>
              <w:t xml:space="preserve">, </w:t>
            </w:r>
            <w:r w:rsidR="00B20955">
              <w:rPr>
                <w:rFonts w:cstheme="minorHAnsi"/>
                <w:noProof/>
                <w:szCs w:val="20"/>
                <w:lang w:val="en-IE"/>
              </w:rPr>
              <w:t xml:space="preserve">by ensuring that the company information subject to preventive control </w:t>
            </w:r>
            <w:r w:rsidR="003627F6">
              <w:rPr>
                <w:rFonts w:cstheme="minorHAnsi"/>
                <w:noProof/>
                <w:szCs w:val="20"/>
                <w:lang w:val="en-IE"/>
              </w:rPr>
              <w:t>will be</w:t>
            </w:r>
            <w:r w:rsidR="00B20955">
              <w:rPr>
                <w:rFonts w:cstheme="minorHAnsi"/>
                <w:noProof/>
                <w:szCs w:val="20"/>
                <w:lang w:val="en-IE"/>
              </w:rPr>
              <w:t xml:space="preserve"> </w:t>
            </w:r>
            <w:r w:rsidR="00776504">
              <w:rPr>
                <w:rFonts w:cstheme="minorHAnsi"/>
                <w:noProof/>
                <w:szCs w:val="20"/>
                <w:lang w:val="en-IE"/>
              </w:rPr>
              <w:t>used for beneficial ownership purposes,</w:t>
            </w:r>
            <w:r w:rsidR="00D92938">
              <w:rPr>
                <w:rFonts w:cstheme="minorHAnsi"/>
                <w:noProof/>
                <w:szCs w:val="20"/>
                <w:lang w:val="en-IE"/>
              </w:rPr>
              <w:t xml:space="preserve"> these </w:t>
            </w:r>
            <w:r w:rsidR="00B32C3E">
              <w:rPr>
                <w:rFonts w:cstheme="minorHAnsi"/>
                <w:noProof/>
                <w:szCs w:val="20"/>
                <w:lang w:val="en-IE"/>
              </w:rPr>
              <w:t>options are coherent</w:t>
            </w:r>
            <w:r w:rsidR="00CB3356">
              <w:rPr>
                <w:rFonts w:cstheme="minorHAnsi"/>
                <w:noProof/>
                <w:szCs w:val="20"/>
                <w:lang w:val="en-IE"/>
              </w:rPr>
              <w:t xml:space="preserve"> </w:t>
            </w:r>
            <w:r w:rsidR="00776504">
              <w:rPr>
                <w:rFonts w:cstheme="minorHAnsi"/>
                <w:noProof/>
                <w:szCs w:val="20"/>
                <w:lang w:val="en-IE"/>
              </w:rPr>
              <w:t xml:space="preserve">and contribute to </w:t>
            </w:r>
            <w:r w:rsidR="00F0288B">
              <w:rPr>
                <w:rFonts w:cstheme="minorHAnsi"/>
                <w:noProof/>
                <w:szCs w:val="20"/>
                <w:lang w:val="en-IE"/>
              </w:rPr>
              <w:t xml:space="preserve">the </w:t>
            </w:r>
            <w:r w:rsidR="00F339A9" w:rsidRPr="00F339A9">
              <w:rPr>
                <w:rFonts w:cstheme="minorHAnsi"/>
                <w:noProof/>
                <w:szCs w:val="20"/>
                <w:lang w:val="en-IE"/>
              </w:rPr>
              <w:t>AML Directive</w:t>
            </w:r>
            <w:r w:rsidR="00C550A1" w:rsidRPr="00C550A1">
              <w:rPr>
                <w:rFonts w:cstheme="minorHAnsi"/>
                <w:noProof/>
                <w:szCs w:val="20"/>
                <w:lang w:val="en-IE"/>
              </w:rPr>
              <w:t xml:space="preserve"> </w:t>
            </w:r>
            <w:r w:rsidR="00570A60" w:rsidRPr="00570A60">
              <w:rPr>
                <w:rFonts w:cstheme="minorHAnsi"/>
                <w:noProof/>
                <w:szCs w:val="20"/>
              </w:rPr>
              <w:t>2024/1640</w:t>
            </w:r>
            <w:r w:rsidR="00570A60">
              <w:rPr>
                <w:rStyle w:val="FootnoteReference"/>
                <w:rFonts w:cstheme="minorHAnsi"/>
                <w:noProof/>
                <w:szCs w:val="20"/>
              </w:rPr>
              <w:footnoteReference w:id="45"/>
            </w:r>
            <w:r w:rsidR="00F339A9" w:rsidRPr="00F339A9">
              <w:rPr>
                <w:rFonts w:cstheme="minorHAnsi"/>
                <w:noProof/>
                <w:szCs w:val="20"/>
                <w:lang w:val="en-IE"/>
              </w:rPr>
              <w:t>, which requires Member States to main accurate and up-to-date beneficial ownership information.</w:t>
            </w:r>
          </w:p>
        </w:tc>
      </w:tr>
    </w:tbl>
    <w:p w14:paraId="034355BD" w14:textId="77777777" w:rsidR="003C52CD" w:rsidRPr="005A23B4" w:rsidRDefault="003C52CD" w:rsidP="003C52CD">
      <w:pPr>
        <w:rPr>
          <w:noProof/>
          <w:szCs w:val="20"/>
        </w:rPr>
      </w:pPr>
    </w:p>
    <w:p w14:paraId="0C9518BD" w14:textId="0B765543" w:rsidR="00EC71E4" w:rsidRPr="009705F3" w:rsidRDefault="003C52CD" w:rsidP="00AF679D">
      <w:pPr>
        <w:pStyle w:val="Heading2"/>
        <w:numPr>
          <w:ilvl w:val="0"/>
          <w:numId w:val="0"/>
        </w:numPr>
        <w:ind w:left="680"/>
        <w:jc w:val="both"/>
        <w:rPr>
          <w:rFonts w:eastAsia="Courier New"/>
          <w:i/>
          <w:iCs/>
          <w:noProof/>
          <w:u w:val="single"/>
        </w:rPr>
      </w:pPr>
      <w:bookmarkStart w:id="100" w:name="_Toc126870462"/>
      <w:bookmarkStart w:id="101" w:name="_Toc126873045"/>
      <w:bookmarkStart w:id="102" w:name="_Toc126916131"/>
      <w:bookmarkStart w:id="103" w:name="_Toc126916946"/>
      <w:bookmarkStart w:id="104" w:name="_Toc126919392"/>
      <w:bookmarkStart w:id="105" w:name="_Toc126919847"/>
      <w:bookmarkStart w:id="106" w:name="_Toc126928440"/>
      <w:bookmarkStart w:id="107" w:name="_Toc126930817"/>
      <w:r w:rsidRPr="00A0575B">
        <w:rPr>
          <w:rFonts w:eastAsia="Courier New"/>
          <w:noProof/>
          <w:szCs w:val="24"/>
          <w:u w:val="single"/>
        </w:rPr>
        <w:t xml:space="preserve">Policy options </w:t>
      </w:r>
      <w:r w:rsidR="00EC71E4">
        <w:rPr>
          <w:rFonts w:eastAsia="Courier New"/>
          <w:noProof/>
          <w:szCs w:val="24"/>
          <w:u w:val="single"/>
        </w:rPr>
        <w:t>4</w:t>
      </w:r>
      <w:r w:rsidR="00453C3B" w:rsidRPr="00453C3B">
        <w:rPr>
          <w:noProof/>
          <w:u w:val="single"/>
        </w:rPr>
        <w:t xml:space="preserve"> </w:t>
      </w:r>
      <w:r w:rsidR="00D43BAE" w:rsidRPr="00D43BAE">
        <w:rPr>
          <w:rFonts w:eastAsia="Courier New"/>
          <w:noProof/>
          <w:szCs w:val="24"/>
          <w:u w:val="single"/>
        </w:rPr>
        <w:t>to facilitate closure of the company</w:t>
      </w:r>
      <w:bookmarkEnd w:id="100"/>
      <w:bookmarkEnd w:id="101"/>
      <w:bookmarkEnd w:id="102"/>
      <w:bookmarkEnd w:id="103"/>
      <w:bookmarkEnd w:id="104"/>
      <w:bookmarkEnd w:id="105"/>
      <w:bookmarkEnd w:id="106"/>
      <w:bookmarkEnd w:id="107"/>
    </w:p>
    <w:p w14:paraId="5B707186" w14:textId="12C490E8" w:rsidR="00453C3B" w:rsidRDefault="00453C3B" w:rsidP="00C4288E">
      <w:pPr>
        <w:pStyle w:val="ListParagraph"/>
        <w:numPr>
          <w:ilvl w:val="0"/>
          <w:numId w:val="15"/>
        </w:numPr>
        <w:tabs>
          <w:tab w:val="left" w:pos="170"/>
        </w:tabs>
        <w:jc w:val="both"/>
        <w:rPr>
          <w:noProof/>
        </w:rPr>
      </w:pPr>
      <w:r>
        <w:rPr>
          <w:noProof/>
        </w:rPr>
        <w:t xml:space="preserve">Policy option 4a - </w:t>
      </w:r>
      <w:r w:rsidR="00A501B7">
        <w:rPr>
          <w:noProof/>
        </w:rPr>
        <w:t>Ensure that</w:t>
      </w:r>
      <w:r>
        <w:rPr>
          <w:noProof/>
        </w:rPr>
        <w:t xml:space="preserve"> all relevant filings by the liquidator </w:t>
      </w:r>
      <w:r w:rsidR="00A501B7">
        <w:rPr>
          <w:noProof/>
        </w:rPr>
        <w:t xml:space="preserve">for closure outside of insolvency are </w:t>
      </w:r>
      <w:r>
        <w:rPr>
          <w:noProof/>
        </w:rPr>
        <w:t>transferred from business register to other authorities</w:t>
      </w:r>
      <w:r w:rsidR="000B1AD9">
        <w:rPr>
          <w:noProof/>
        </w:rPr>
        <w:t xml:space="preserve"> (“once-only principle”) and</w:t>
      </w:r>
      <w:r>
        <w:rPr>
          <w:noProof/>
        </w:rPr>
        <w:t xml:space="preserve"> </w:t>
      </w:r>
      <w:r w:rsidR="000B1AD9">
        <w:rPr>
          <w:noProof/>
        </w:rPr>
        <w:t>o</w:t>
      </w:r>
      <w:r>
        <w:rPr>
          <w:noProof/>
        </w:rPr>
        <w:t>nline filing of claims from creditors</w:t>
      </w:r>
      <w:r w:rsidRPr="004C599B">
        <w:rPr>
          <w:noProof/>
        </w:rPr>
        <w:t>.</w:t>
      </w:r>
    </w:p>
    <w:p w14:paraId="03BFFA8C" w14:textId="19F7C9DC" w:rsidR="00453C3B" w:rsidRDefault="00453C3B" w:rsidP="00C4288E">
      <w:pPr>
        <w:pStyle w:val="ListParagraph"/>
        <w:numPr>
          <w:ilvl w:val="0"/>
          <w:numId w:val="15"/>
        </w:numPr>
        <w:tabs>
          <w:tab w:val="left" w:pos="170"/>
        </w:tabs>
        <w:jc w:val="both"/>
        <w:rPr>
          <w:noProof/>
        </w:rPr>
      </w:pPr>
      <w:r>
        <w:rPr>
          <w:noProof/>
        </w:rPr>
        <w:t xml:space="preserve">Policy option 4b - </w:t>
      </w:r>
      <w:r w:rsidRPr="00926445">
        <w:rPr>
          <w:noProof/>
        </w:rPr>
        <w:t xml:space="preserve">Option </w:t>
      </w:r>
      <w:r>
        <w:rPr>
          <w:noProof/>
        </w:rPr>
        <w:t>4</w:t>
      </w:r>
      <w:r w:rsidRPr="00926445">
        <w:rPr>
          <w:noProof/>
        </w:rPr>
        <w:t xml:space="preserve">a + </w:t>
      </w:r>
      <w:r w:rsidR="000B1AD9">
        <w:rPr>
          <w:noProof/>
        </w:rPr>
        <w:t>s</w:t>
      </w:r>
      <w:r w:rsidRPr="003706B4">
        <w:rPr>
          <w:noProof/>
        </w:rPr>
        <w:t>implified liquidation procedure (outside of insolvency) for no assets/no debts to be concluded within a specific deadline</w:t>
      </w:r>
      <w:r w:rsidRPr="004C599B">
        <w:rPr>
          <w:noProof/>
        </w:rPr>
        <w:t>.</w:t>
      </w:r>
    </w:p>
    <w:p w14:paraId="76FB90AB" w14:textId="0E985F37" w:rsidR="00453C3B" w:rsidRDefault="00453C3B" w:rsidP="00C4288E">
      <w:pPr>
        <w:pStyle w:val="ListParagraph"/>
        <w:numPr>
          <w:ilvl w:val="0"/>
          <w:numId w:val="15"/>
        </w:numPr>
        <w:tabs>
          <w:tab w:val="left" w:pos="170"/>
        </w:tabs>
        <w:spacing w:before="0" w:after="0"/>
        <w:jc w:val="both"/>
        <w:rPr>
          <w:noProof/>
        </w:rPr>
      </w:pPr>
      <w:r>
        <w:rPr>
          <w:noProof/>
        </w:rPr>
        <w:t>Policy option 4c - O</w:t>
      </w:r>
      <w:r w:rsidRPr="004C599B">
        <w:rPr>
          <w:noProof/>
        </w:rPr>
        <w:t xml:space="preserve">ption </w:t>
      </w:r>
      <w:r>
        <w:rPr>
          <w:noProof/>
        </w:rPr>
        <w:t>4</w:t>
      </w:r>
      <w:r w:rsidRPr="004C599B">
        <w:rPr>
          <w:noProof/>
        </w:rPr>
        <w:t xml:space="preserve">b </w:t>
      </w:r>
      <w:r>
        <w:rPr>
          <w:noProof/>
        </w:rPr>
        <w:t>+</w:t>
      </w:r>
      <w:r w:rsidRPr="004C599B">
        <w:rPr>
          <w:noProof/>
        </w:rPr>
        <w:t xml:space="preserve"> </w:t>
      </w:r>
      <w:r w:rsidR="004E15A8">
        <w:rPr>
          <w:noProof/>
          <w:szCs w:val="20"/>
          <w:lang w:val="en-IE"/>
        </w:rPr>
        <w:t>simplifi</w:t>
      </w:r>
      <w:r w:rsidR="00793614">
        <w:rPr>
          <w:noProof/>
          <w:szCs w:val="20"/>
          <w:lang w:val="en-IE"/>
        </w:rPr>
        <w:t xml:space="preserve">cation </w:t>
      </w:r>
      <w:r w:rsidR="009F2012">
        <w:rPr>
          <w:noProof/>
          <w:szCs w:val="20"/>
          <w:lang w:val="en-IE"/>
        </w:rPr>
        <w:t>of</w:t>
      </w:r>
      <w:r w:rsidR="004E15A8" w:rsidDel="00E85B7F">
        <w:rPr>
          <w:rFonts w:eastAsia="Aptos"/>
          <w:noProof/>
          <w:szCs w:val="20"/>
          <w:lang w:val="en-IE"/>
        </w:rPr>
        <w:t xml:space="preserve"> </w:t>
      </w:r>
      <w:r w:rsidR="004E15A8">
        <w:rPr>
          <w:rFonts w:eastAsia="Aptos"/>
          <w:noProof/>
          <w:szCs w:val="20"/>
          <w:lang w:val="en-IE"/>
        </w:rPr>
        <w:t>insolvency procedure</w:t>
      </w:r>
      <w:r w:rsidR="009F2012">
        <w:rPr>
          <w:rFonts w:eastAsia="Aptos"/>
          <w:noProof/>
          <w:szCs w:val="20"/>
          <w:lang w:val="en-IE"/>
        </w:rPr>
        <w:t>s thanks to their full digitalisation</w:t>
      </w:r>
      <w:r w:rsidRPr="004C599B">
        <w:rPr>
          <w:noProof/>
        </w:rPr>
        <w:t>.</w:t>
      </w:r>
    </w:p>
    <w:p w14:paraId="7CC39832" w14:textId="77777777" w:rsidR="00453C3B" w:rsidRDefault="00453C3B" w:rsidP="00453C3B">
      <w:pPr>
        <w:tabs>
          <w:tab w:val="left" w:pos="170"/>
        </w:tabs>
        <w:spacing w:before="0" w:after="0"/>
        <w:jc w:val="both"/>
        <w:rPr>
          <w:noProof/>
        </w:rPr>
      </w:pPr>
    </w:p>
    <w:tbl>
      <w:tblPr>
        <w:tblStyle w:val="TableGrid"/>
        <w:tblW w:w="9889" w:type="dxa"/>
        <w:tblLook w:val="04A0" w:firstRow="1" w:lastRow="0" w:firstColumn="1" w:lastColumn="0" w:noHBand="0" w:noVBand="1"/>
      </w:tblPr>
      <w:tblGrid>
        <w:gridCol w:w="1766"/>
        <w:gridCol w:w="842"/>
        <w:gridCol w:w="848"/>
        <w:gridCol w:w="846"/>
        <w:gridCol w:w="5587"/>
      </w:tblGrid>
      <w:tr w:rsidR="003C52CD" w:rsidRPr="00566C3C" w14:paraId="67A14EC0" w14:textId="77777777" w:rsidTr="00EC71E4">
        <w:tc>
          <w:tcPr>
            <w:tcW w:w="1766" w:type="dxa"/>
            <w:shd w:val="clear" w:color="auto" w:fill="95B3D7" w:themeFill="accent1" w:themeFillTint="99"/>
          </w:tcPr>
          <w:p w14:paraId="5B683B80" w14:textId="77777777" w:rsidR="003C52CD" w:rsidRPr="005A23B4" w:rsidRDefault="003C52CD">
            <w:pPr>
              <w:rPr>
                <w:rFonts w:cstheme="minorHAnsi"/>
                <w:b/>
                <w:noProof/>
                <w:szCs w:val="20"/>
              </w:rPr>
            </w:pPr>
            <w:r w:rsidRPr="005A23B4">
              <w:rPr>
                <w:rFonts w:cstheme="minorHAnsi"/>
                <w:b/>
                <w:noProof/>
                <w:szCs w:val="20"/>
              </w:rPr>
              <w:t>Unit of measurement</w:t>
            </w:r>
          </w:p>
        </w:tc>
        <w:tc>
          <w:tcPr>
            <w:tcW w:w="842" w:type="dxa"/>
            <w:shd w:val="clear" w:color="auto" w:fill="95B3D7" w:themeFill="accent1" w:themeFillTint="99"/>
          </w:tcPr>
          <w:p w14:paraId="48BF7311" w14:textId="77777777" w:rsidR="003C52CD" w:rsidRPr="005A23B4" w:rsidRDefault="003C52CD">
            <w:pPr>
              <w:rPr>
                <w:rFonts w:cstheme="minorHAnsi"/>
                <w:b/>
                <w:noProof/>
                <w:szCs w:val="20"/>
              </w:rPr>
            </w:pPr>
            <w:r w:rsidRPr="005A23B4">
              <w:rPr>
                <w:rFonts w:cstheme="minorHAnsi"/>
                <w:b/>
                <w:noProof/>
                <w:szCs w:val="20"/>
              </w:rPr>
              <w:t>PO4a</w:t>
            </w:r>
          </w:p>
          <w:p w14:paraId="73AE3DA5" w14:textId="77777777" w:rsidR="003C52CD" w:rsidRPr="005A23B4" w:rsidRDefault="003C52CD">
            <w:pPr>
              <w:rPr>
                <w:rFonts w:cstheme="minorHAnsi"/>
                <w:b/>
                <w:noProof/>
                <w:szCs w:val="20"/>
              </w:rPr>
            </w:pPr>
          </w:p>
        </w:tc>
        <w:tc>
          <w:tcPr>
            <w:tcW w:w="848" w:type="dxa"/>
            <w:shd w:val="clear" w:color="auto" w:fill="95B3D7" w:themeFill="accent1" w:themeFillTint="99"/>
          </w:tcPr>
          <w:p w14:paraId="7E7FE769" w14:textId="77777777" w:rsidR="003C52CD" w:rsidRPr="005A23B4" w:rsidRDefault="003C52CD">
            <w:pPr>
              <w:rPr>
                <w:rFonts w:cstheme="minorHAnsi"/>
                <w:b/>
                <w:noProof/>
                <w:szCs w:val="20"/>
              </w:rPr>
            </w:pPr>
            <w:r w:rsidRPr="005A23B4">
              <w:rPr>
                <w:rFonts w:cstheme="minorHAnsi"/>
                <w:b/>
                <w:noProof/>
                <w:szCs w:val="20"/>
              </w:rPr>
              <w:t>PO4b</w:t>
            </w:r>
          </w:p>
        </w:tc>
        <w:tc>
          <w:tcPr>
            <w:tcW w:w="846" w:type="dxa"/>
            <w:shd w:val="clear" w:color="auto" w:fill="95B3D7" w:themeFill="accent1" w:themeFillTint="99"/>
          </w:tcPr>
          <w:p w14:paraId="0BDDACBF" w14:textId="77777777" w:rsidR="003C52CD" w:rsidRPr="005A23B4" w:rsidRDefault="003C52CD">
            <w:pPr>
              <w:rPr>
                <w:rFonts w:cstheme="minorHAnsi"/>
                <w:b/>
                <w:noProof/>
                <w:szCs w:val="20"/>
              </w:rPr>
            </w:pPr>
            <w:r w:rsidRPr="005A23B4">
              <w:rPr>
                <w:rFonts w:cstheme="minorHAnsi"/>
                <w:b/>
                <w:noProof/>
                <w:szCs w:val="20"/>
              </w:rPr>
              <w:t>PO4c</w:t>
            </w:r>
          </w:p>
        </w:tc>
        <w:tc>
          <w:tcPr>
            <w:tcW w:w="5587" w:type="dxa"/>
            <w:shd w:val="clear" w:color="auto" w:fill="95B3D7" w:themeFill="accent1" w:themeFillTint="99"/>
          </w:tcPr>
          <w:p w14:paraId="5238C9C4" w14:textId="77777777" w:rsidR="003C52CD" w:rsidRPr="005A23B4" w:rsidRDefault="003C52CD">
            <w:pPr>
              <w:rPr>
                <w:rFonts w:cstheme="minorHAnsi"/>
                <w:b/>
                <w:noProof/>
                <w:szCs w:val="20"/>
              </w:rPr>
            </w:pPr>
            <w:r w:rsidRPr="005A23B4">
              <w:rPr>
                <w:rFonts w:cstheme="minorHAnsi"/>
                <w:b/>
                <w:noProof/>
                <w:szCs w:val="20"/>
              </w:rPr>
              <w:t>Motivation</w:t>
            </w:r>
          </w:p>
        </w:tc>
      </w:tr>
      <w:tr w:rsidR="003C52CD" w:rsidRPr="00566C3C" w14:paraId="47774B29" w14:textId="77777777" w:rsidTr="00EC71E4">
        <w:tc>
          <w:tcPr>
            <w:tcW w:w="1766" w:type="dxa"/>
          </w:tcPr>
          <w:p w14:paraId="325700D4" w14:textId="77777777" w:rsidR="003C52CD" w:rsidRPr="005A23B4" w:rsidRDefault="003C52CD">
            <w:pPr>
              <w:rPr>
                <w:rFonts w:cstheme="minorHAnsi"/>
                <w:b/>
                <w:noProof/>
                <w:szCs w:val="20"/>
              </w:rPr>
            </w:pPr>
            <w:r w:rsidRPr="005A23B4">
              <w:rPr>
                <w:rFonts w:cstheme="minorHAnsi"/>
                <w:noProof/>
                <w:szCs w:val="20"/>
              </w:rPr>
              <w:t xml:space="preserve">Score 1-5 </w:t>
            </w:r>
          </w:p>
        </w:tc>
        <w:tc>
          <w:tcPr>
            <w:tcW w:w="842" w:type="dxa"/>
          </w:tcPr>
          <w:p w14:paraId="4EC7A021" w14:textId="41B66C76" w:rsidR="003C52CD" w:rsidRPr="00F63B42" w:rsidRDefault="00EE223B" w:rsidP="00912E52">
            <w:pPr>
              <w:jc w:val="center"/>
              <w:rPr>
                <w:rFonts w:cstheme="minorHAnsi"/>
                <w:noProof/>
                <w:szCs w:val="20"/>
              </w:rPr>
            </w:pPr>
            <w:r w:rsidRPr="00F63B42">
              <w:rPr>
                <w:rFonts w:cstheme="minorHAnsi"/>
                <w:noProof/>
                <w:szCs w:val="20"/>
              </w:rPr>
              <w:t>2</w:t>
            </w:r>
          </w:p>
        </w:tc>
        <w:tc>
          <w:tcPr>
            <w:tcW w:w="848" w:type="dxa"/>
          </w:tcPr>
          <w:p w14:paraId="5B56E708" w14:textId="014858DD" w:rsidR="003C52CD" w:rsidRPr="00F63B42" w:rsidRDefault="009E4641" w:rsidP="00912E52">
            <w:pPr>
              <w:jc w:val="center"/>
              <w:rPr>
                <w:rFonts w:cstheme="minorHAnsi"/>
                <w:noProof/>
                <w:szCs w:val="20"/>
              </w:rPr>
            </w:pPr>
            <w:r w:rsidRPr="00F63B42">
              <w:rPr>
                <w:rFonts w:cstheme="minorHAnsi"/>
                <w:bCs/>
                <w:noProof/>
                <w:szCs w:val="20"/>
              </w:rPr>
              <w:t>3</w:t>
            </w:r>
          </w:p>
        </w:tc>
        <w:tc>
          <w:tcPr>
            <w:tcW w:w="846" w:type="dxa"/>
          </w:tcPr>
          <w:p w14:paraId="2FE9FDF7" w14:textId="0EC78CE6" w:rsidR="003C52CD" w:rsidRPr="00F63B42" w:rsidRDefault="00EE223B" w:rsidP="00912E52">
            <w:pPr>
              <w:jc w:val="center"/>
              <w:rPr>
                <w:rFonts w:cstheme="minorHAnsi"/>
                <w:noProof/>
                <w:szCs w:val="20"/>
              </w:rPr>
            </w:pPr>
            <w:r w:rsidRPr="00F63B42">
              <w:rPr>
                <w:rFonts w:cstheme="minorHAnsi"/>
                <w:noProof/>
                <w:szCs w:val="20"/>
              </w:rPr>
              <w:t>4</w:t>
            </w:r>
          </w:p>
        </w:tc>
        <w:tc>
          <w:tcPr>
            <w:tcW w:w="5587" w:type="dxa"/>
          </w:tcPr>
          <w:p w14:paraId="3EC0C153" w14:textId="64ACD904" w:rsidR="003C52CD" w:rsidRDefault="003C52CD" w:rsidP="007A7D77">
            <w:pPr>
              <w:jc w:val="both"/>
              <w:rPr>
                <w:noProof/>
              </w:rPr>
            </w:pPr>
            <w:r w:rsidRPr="0CC5BB1D">
              <w:rPr>
                <w:noProof/>
                <w:u w:val="single"/>
              </w:rPr>
              <w:t>Internal coherence:</w:t>
            </w:r>
            <w:r w:rsidRPr="00110DB0">
              <w:rPr>
                <w:noProof/>
              </w:rPr>
              <w:t xml:space="preserve"> </w:t>
            </w:r>
            <w:r w:rsidR="002C5665" w:rsidRPr="0CC5BB1D">
              <w:rPr>
                <w:noProof/>
              </w:rPr>
              <w:t xml:space="preserve">Policy options 4a, 4b and 4c are all coherent with the other </w:t>
            </w:r>
            <w:r w:rsidR="00575E2A" w:rsidRPr="0CC5BB1D">
              <w:rPr>
                <w:noProof/>
              </w:rPr>
              <w:t>policy options</w:t>
            </w:r>
            <w:r w:rsidR="004E106D" w:rsidRPr="0CC5BB1D">
              <w:rPr>
                <w:noProof/>
              </w:rPr>
              <w:t xml:space="preserve"> as </w:t>
            </w:r>
            <w:r w:rsidR="001363B1" w:rsidRPr="0CC5BB1D">
              <w:rPr>
                <w:noProof/>
              </w:rPr>
              <w:t xml:space="preserve">they are essential to complete the </w:t>
            </w:r>
            <w:r w:rsidR="004E106D" w:rsidRPr="0CC5BB1D">
              <w:rPr>
                <w:noProof/>
              </w:rPr>
              <w:t xml:space="preserve">framework that governs the company from its creation until its </w:t>
            </w:r>
            <w:r w:rsidR="00584D14" w:rsidRPr="0CC5BB1D">
              <w:rPr>
                <w:noProof/>
              </w:rPr>
              <w:t>closure</w:t>
            </w:r>
            <w:r w:rsidR="0048097D" w:rsidRPr="0CC5BB1D">
              <w:rPr>
                <w:noProof/>
              </w:rPr>
              <w:t xml:space="preserve">, especially given the </w:t>
            </w:r>
            <w:r w:rsidR="005C16FB">
              <w:rPr>
                <w:noProof/>
              </w:rPr>
              <w:t xml:space="preserve">high failure rate of </w:t>
            </w:r>
            <w:r w:rsidR="103F1BA2">
              <w:rPr>
                <w:noProof/>
              </w:rPr>
              <w:t>s</w:t>
            </w:r>
            <w:r w:rsidR="56DA811D">
              <w:rPr>
                <w:noProof/>
              </w:rPr>
              <w:t>tartup</w:t>
            </w:r>
            <w:r w:rsidR="103F1BA2">
              <w:rPr>
                <w:noProof/>
              </w:rPr>
              <w:t>s</w:t>
            </w:r>
            <w:r w:rsidR="005C16FB">
              <w:rPr>
                <w:noProof/>
              </w:rPr>
              <w:t xml:space="preserve"> and importance of efficient closure</w:t>
            </w:r>
            <w:r w:rsidR="00C74BD3">
              <w:rPr>
                <w:noProof/>
              </w:rPr>
              <w:t xml:space="preserve"> to </w:t>
            </w:r>
            <w:r w:rsidR="00C74BD3" w:rsidRPr="0CC5BB1D">
              <w:rPr>
                <w:noProof/>
              </w:rPr>
              <w:t>allow founders to be able to redirect resources to another business initiative</w:t>
            </w:r>
            <w:r w:rsidR="00584D14" w:rsidRPr="0CC5BB1D">
              <w:rPr>
                <w:noProof/>
              </w:rPr>
              <w:t xml:space="preserve">. </w:t>
            </w:r>
            <w:r w:rsidR="00847584" w:rsidRPr="0CC5BB1D">
              <w:rPr>
                <w:noProof/>
              </w:rPr>
              <w:t xml:space="preserve">They allow for a faster and cheaper </w:t>
            </w:r>
            <w:r w:rsidR="00AE7210" w:rsidRPr="0CC5BB1D">
              <w:rPr>
                <w:noProof/>
              </w:rPr>
              <w:t xml:space="preserve">procedure to conclude a business that did not </w:t>
            </w:r>
            <w:r w:rsidR="00415604" w:rsidRPr="0CC5BB1D">
              <w:rPr>
                <w:noProof/>
              </w:rPr>
              <w:t>m</w:t>
            </w:r>
            <w:r w:rsidR="00CD0837" w:rsidRPr="0CC5BB1D">
              <w:rPr>
                <w:noProof/>
              </w:rPr>
              <w:t>e</w:t>
            </w:r>
            <w:r w:rsidR="00415604" w:rsidRPr="0CC5BB1D">
              <w:rPr>
                <w:noProof/>
              </w:rPr>
              <w:t>et the business</w:t>
            </w:r>
            <w:r w:rsidR="00D42A71" w:rsidRPr="0CC5BB1D">
              <w:rPr>
                <w:noProof/>
              </w:rPr>
              <w:t xml:space="preserve"> </w:t>
            </w:r>
            <w:r w:rsidR="00415604" w:rsidRPr="0CC5BB1D">
              <w:rPr>
                <w:noProof/>
              </w:rPr>
              <w:t>expectation</w:t>
            </w:r>
            <w:r w:rsidR="00E35B05" w:rsidRPr="0CC5BB1D">
              <w:rPr>
                <w:noProof/>
              </w:rPr>
              <w:t>s</w:t>
            </w:r>
            <w:r w:rsidR="00415604" w:rsidRPr="0CC5BB1D">
              <w:rPr>
                <w:noProof/>
              </w:rPr>
              <w:t xml:space="preserve"> </w:t>
            </w:r>
            <w:r w:rsidR="00D42A71" w:rsidRPr="0CC5BB1D">
              <w:rPr>
                <w:noProof/>
              </w:rPr>
              <w:t>both inside and outside insolvency</w:t>
            </w:r>
            <w:r w:rsidR="00CD0837" w:rsidRPr="0CC5BB1D">
              <w:rPr>
                <w:noProof/>
              </w:rPr>
              <w:t>, with</w:t>
            </w:r>
            <w:r w:rsidR="00D42A71" w:rsidRPr="0CC5BB1D">
              <w:rPr>
                <w:noProof/>
              </w:rPr>
              <w:t xml:space="preserve"> </w:t>
            </w:r>
            <w:r w:rsidR="00CD0837" w:rsidRPr="0CC5BB1D">
              <w:rPr>
                <w:noProof/>
              </w:rPr>
              <w:t>p</w:t>
            </w:r>
            <w:r w:rsidR="00BB39A9" w:rsidRPr="0CC5BB1D">
              <w:rPr>
                <w:noProof/>
              </w:rPr>
              <w:t>olicy option 4c ensur</w:t>
            </w:r>
            <w:r w:rsidR="00CD0837" w:rsidRPr="0CC5BB1D">
              <w:rPr>
                <w:noProof/>
              </w:rPr>
              <w:t>ing</w:t>
            </w:r>
            <w:r w:rsidR="00BB39A9" w:rsidRPr="0CC5BB1D">
              <w:rPr>
                <w:noProof/>
              </w:rPr>
              <w:t xml:space="preserve"> most coherence.</w:t>
            </w:r>
            <w:r w:rsidR="00AD3F1C" w:rsidRPr="0CC5BB1D">
              <w:rPr>
                <w:noProof/>
              </w:rPr>
              <w:t xml:space="preserve"> </w:t>
            </w:r>
            <w:r w:rsidR="00DA5B89" w:rsidRPr="0CC5BB1D">
              <w:rPr>
                <w:noProof/>
              </w:rPr>
              <w:t xml:space="preserve">These policy options are in particular coherent with </w:t>
            </w:r>
            <w:r w:rsidR="003C1226" w:rsidRPr="0CC5BB1D">
              <w:rPr>
                <w:noProof/>
              </w:rPr>
              <w:t xml:space="preserve">policy options 3 as </w:t>
            </w:r>
            <w:r w:rsidR="0052525A" w:rsidRPr="0CC5BB1D">
              <w:rPr>
                <w:noProof/>
              </w:rPr>
              <w:t xml:space="preserve">both sets of </w:t>
            </w:r>
            <w:r w:rsidR="00D1209B" w:rsidRPr="0CC5BB1D">
              <w:rPr>
                <w:noProof/>
              </w:rPr>
              <w:t xml:space="preserve">options </w:t>
            </w:r>
            <w:r w:rsidR="003D38E3" w:rsidRPr="0CC5BB1D">
              <w:rPr>
                <w:noProof/>
              </w:rPr>
              <w:t>include</w:t>
            </w:r>
            <w:r w:rsidR="0019610A" w:rsidRPr="0CC5BB1D">
              <w:rPr>
                <w:noProof/>
              </w:rPr>
              <w:t xml:space="preserve"> </w:t>
            </w:r>
            <w:r w:rsidR="004522B4" w:rsidRPr="0CC5BB1D">
              <w:rPr>
                <w:noProof/>
              </w:rPr>
              <w:t xml:space="preserve">further digitalising </w:t>
            </w:r>
            <w:r w:rsidR="00E35D2B" w:rsidRPr="0CC5BB1D">
              <w:rPr>
                <w:noProof/>
              </w:rPr>
              <w:t xml:space="preserve">of </w:t>
            </w:r>
            <w:r w:rsidR="004522B4" w:rsidRPr="0CC5BB1D">
              <w:rPr>
                <w:noProof/>
              </w:rPr>
              <w:t xml:space="preserve">exchanges </w:t>
            </w:r>
            <w:r w:rsidR="002D62E5" w:rsidRPr="0CC5BB1D">
              <w:rPr>
                <w:noProof/>
              </w:rPr>
              <w:t>between authorities through the use of “once-only principle”.</w:t>
            </w:r>
            <w:r w:rsidR="009E4641" w:rsidRPr="0CC5BB1D">
              <w:rPr>
                <w:noProof/>
              </w:rPr>
              <w:t xml:space="preserve"> They are also coherent with </w:t>
            </w:r>
            <w:r w:rsidR="006336DC" w:rsidRPr="0CC5BB1D">
              <w:rPr>
                <w:noProof/>
              </w:rPr>
              <w:t>policy options 7, both addressing</w:t>
            </w:r>
            <w:r w:rsidR="006E6C51" w:rsidRPr="0CC5BB1D">
              <w:rPr>
                <w:noProof/>
              </w:rPr>
              <w:t xml:space="preserve"> alternative scenarios </w:t>
            </w:r>
            <w:r w:rsidR="007105D6" w:rsidRPr="0CC5BB1D">
              <w:rPr>
                <w:noProof/>
              </w:rPr>
              <w:t>towards the end of the company’s lifecy</w:t>
            </w:r>
            <w:r w:rsidR="000A6555" w:rsidRPr="0CC5BB1D">
              <w:rPr>
                <w:noProof/>
              </w:rPr>
              <w:t>c</w:t>
            </w:r>
            <w:r w:rsidR="007105D6" w:rsidRPr="0CC5BB1D">
              <w:rPr>
                <w:noProof/>
              </w:rPr>
              <w:t>le.</w:t>
            </w:r>
          </w:p>
          <w:p w14:paraId="03C569C5" w14:textId="7CE4AA03" w:rsidR="003C52CD" w:rsidRPr="00A96B0A" w:rsidRDefault="003C52CD" w:rsidP="007A7D77">
            <w:pPr>
              <w:jc w:val="both"/>
              <w:rPr>
                <w:noProof/>
              </w:rPr>
            </w:pPr>
            <w:r w:rsidRPr="0CC5BB1D">
              <w:rPr>
                <w:noProof/>
              </w:rPr>
              <w:t>External coherence:</w:t>
            </w:r>
            <w:r w:rsidR="00E35B05">
              <w:rPr>
                <w:noProof/>
                <w:color w:val="000000"/>
                <w:bdr w:val="none" w:sz="0" w:space="0" w:color="auto" w:frame="1"/>
                <w:shd w:val="clear" w:color="auto" w:fill="FFFFFF"/>
              </w:rPr>
              <w:t xml:space="preserve"> </w:t>
            </w:r>
            <w:r w:rsidR="00192F17">
              <w:rPr>
                <w:noProof/>
                <w:color w:val="000000"/>
                <w:bdr w:val="none" w:sz="0" w:space="0" w:color="auto" w:frame="1"/>
                <w:shd w:val="clear" w:color="auto" w:fill="FFFFFF"/>
              </w:rPr>
              <w:t xml:space="preserve">In particular, </w:t>
            </w:r>
            <w:r w:rsidR="00932EF0">
              <w:rPr>
                <w:noProof/>
                <w:color w:val="000000"/>
                <w:bdr w:val="none" w:sz="0" w:space="0" w:color="auto" w:frame="1"/>
                <w:shd w:val="clear" w:color="auto" w:fill="FFFFFF"/>
              </w:rPr>
              <w:t>these policy</w:t>
            </w:r>
            <w:r w:rsidR="00192F17">
              <w:rPr>
                <w:noProof/>
                <w:color w:val="000000"/>
                <w:bdr w:val="none" w:sz="0" w:space="0" w:color="auto" w:frame="1"/>
                <w:shd w:val="clear" w:color="auto" w:fill="FFFFFF"/>
              </w:rPr>
              <w:t xml:space="preserve"> options are coherent with EU rules</w:t>
            </w:r>
            <w:r w:rsidR="00460861">
              <w:rPr>
                <w:noProof/>
                <w:color w:val="000000"/>
                <w:bdr w:val="none" w:sz="0" w:space="0" w:color="auto" w:frame="1"/>
                <w:shd w:val="clear" w:color="auto" w:fill="FFFFFF"/>
              </w:rPr>
              <w:t xml:space="preserve"> in the are</w:t>
            </w:r>
            <w:r w:rsidR="001E2838">
              <w:rPr>
                <w:noProof/>
                <w:color w:val="000000"/>
                <w:bdr w:val="none" w:sz="0" w:space="0" w:color="auto" w:frame="1"/>
                <w:shd w:val="clear" w:color="auto" w:fill="FFFFFF"/>
              </w:rPr>
              <w:t>a</w:t>
            </w:r>
            <w:r w:rsidR="00460861">
              <w:rPr>
                <w:noProof/>
                <w:color w:val="000000"/>
                <w:bdr w:val="none" w:sz="0" w:space="0" w:color="auto" w:frame="1"/>
                <w:shd w:val="clear" w:color="auto" w:fill="FFFFFF"/>
              </w:rPr>
              <w:t xml:space="preserve"> of insolvency</w:t>
            </w:r>
            <w:r w:rsidR="00AD7A48">
              <w:rPr>
                <w:noProof/>
                <w:color w:val="000000"/>
                <w:bdr w:val="none" w:sz="0" w:space="0" w:color="auto" w:frame="1"/>
                <w:shd w:val="clear" w:color="auto" w:fill="FFFFFF"/>
              </w:rPr>
              <w:t xml:space="preserve">, including the </w:t>
            </w:r>
            <w:r w:rsidR="00AD7A48" w:rsidRPr="00385FC8">
              <w:rPr>
                <w:noProof/>
                <w:color w:val="000000"/>
                <w:bdr w:val="none" w:sz="0" w:space="0" w:color="auto" w:frame="1"/>
                <w:shd w:val="clear" w:color="auto" w:fill="FFFFFF"/>
              </w:rPr>
              <w:t>Restructuring and Insolvency Directive 2019/1023/EU</w:t>
            </w:r>
            <w:r w:rsidR="00AD7A48">
              <w:rPr>
                <w:noProof/>
                <w:color w:val="000000"/>
                <w:bdr w:val="none" w:sz="0" w:space="0" w:color="auto" w:frame="1"/>
                <w:shd w:val="clear" w:color="auto" w:fill="FFFFFF"/>
              </w:rPr>
              <w:t xml:space="preserve"> and the p</w:t>
            </w:r>
            <w:r w:rsidR="00AD7A48" w:rsidRPr="00385FC8">
              <w:rPr>
                <w:noProof/>
                <w:color w:val="000000"/>
                <w:bdr w:val="none" w:sz="0" w:space="0" w:color="auto" w:frame="1"/>
                <w:shd w:val="clear" w:color="auto" w:fill="FFFFFF"/>
              </w:rPr>
              <w:t>roposal for the Insolvency Directive</w:t>
            </w:r>
            <w:r w:rsidR="00AD7A48">
              <w:rPr>
                <w:rStyle w:val="FootnoteReference"/>
                <w:noProof/>
                <w:color w:val="000000"/>
                <w:bdr w:val="none" w:sz="0" w:space="0" w:color="auto" w:frame="1"/>
                <w:shd w:val="clear" w:color="auto" w:fill="FFFFFF"/>
              </w:rPr>
              <w:footnoteReference w:id="46"/>
            </w:r>
            <w:r w:rsidR="00AD7A48" w:rsidRPr="00385FC8">
              <w:rPr>
                <w:noProof/>
                <w:color w:val="000000"/>
                <w:bdr w:val="none" w:sz="0" w:space="0" w:color="auto" w:frame="1"/>
                <w:shd w:val="clear" w:color="auto" w:fill="FFFFFF"/>
              </w:rPr>
              <w:t xml:space="preserve">, expected </w:t>
            </w:r>
            <w:r w:rsidR="00AD7A48">
              <w:rPr>
                <w:noProof/>
                <w:color w:val="000000"/>
                <w:bdr w:val="none" w:sz="0" w:space="0" w:color="auto" w:frame="1"/>
                <w:shd w:val="clear" w:color="auto" w:fill="FFFFFF"/>
              </w:rPr>
              <w:t xml:space="preserve">to be adopted in </w:t>
            </w:r>
            <w:r w:rsidR="00AD7A48" w:rsidRPr="00385FC8">
              <w:rPr>
                <w:noProof/>
                <w:color w:val="000000"/>
                <w:bdr w:val="none" w:sz="0" w:space="0" w:color="auto" w:frame="1"/>
                <w:shd w:val="clear" w:color="auto" w:fill="FFFFFF"/>
              </w:rPr>
              <w:t xml:space="preserve">the beginning of 2026 </w:t>
            </w:r>
            <w:r w:rsidR="00AD7A48">
              <w:rPr>
                <w:noProof/>
                <w:color w:val="000000"/>
                <w:bdr w:val="none" w:sz="0" w:space="0" w:color="auto" w:frame="1"/>
                <w:shd w:val="clear" w:color="auto" w:fill="FFFFFF"/>
              </w:rPr>
              <w:t xml:space="preserve">following </w:t>
            </w:r>
            <w:r w:rsidR="00AD7A48" w:rsidRPr="00385FC8">
              <w:rPr>
                <w:noProof/>
                <w:color w:val="000000"/>
                <w:bdr w:val="none" w:sz="0" w:space="0" w:color="auto" w:frame="1"/>
                <w:shd w:val="clear" w:color="auto" w:fill="FFFFFF"/>
              </w:rPr>
              <w:t>the provisional political agreement reached in November 2025</w:t>
            </w:r>
            <w:r w:rsidR="006E35A7">
              <w:rPr>
                <w:noProof/>
                <w:color w:val="000000"/>
                <w:bdr w:val="none" w:sz="0" w:space="0" w:color="auto" w:frame="1"/>
                <w:shd w:val="clear" w:color="auto" w:fill="FFFFFF"/>
              </w:rPr>
              <w:t>,</w:t>
            </w:r>
            <w:r w:rsidR="00460861">
              <w:rPr>
                <w:noProof/>
                <w:color w:val="000000"/>
                <w:bdr w:val="none" w:sz="0" w:space="0" w:color="auto" w:frame="1"/>
                <w:shd w:val="clear" w:color="auto" w:fill="FFFFFF"/>
              </w:rPr>
              <w:t xml:space="preserve"> as </w:t>
            </w:r>
            <w:r w:rsidR="00DE7AAC">
              <w:rPr>
                <w:noProof/>
                <w:color w:val="000000"/>
                <w:bdr w:val="none" w:sz="0" w:space="0" w:color="auto" w:frame="1"/>
                <w:shd w:val="clear" w:color="auto" w:fill="FFFFFF"/>
              </w:rPr>
              <w:t>the rules on company liquidation (outside and inside insolvency)</w:t>
            </w:r>
            <w:r w:rsidR="00460861">
              <w:rPr>
                <w:noProof/>
                <w:color w:val="000000"/>
                <w:bdr w:val="none" w:sz="0" w:space="0" w:color="auto" w:frame="1"/>
                <w:shd w:val="clear" w:color="auto" w:fill="FFFFFF"/>
              </w:rPr>
              <w:t xml:space="preserve"> compliment </w:t>
            </w:r>
            <w:r w:rsidR="00DE7AAC">
              <w:rPr>
                <w:noProof/>
                <w:color w:val="000000"/>
                <w:bdr w:val="none" w:sz="0" w:space="0" w:color="auto" w:frame="1"/>
                <w:shd w:val="clear" w:color="auto" w:fill="FFFFFF"/>
              </w:rPr>
              <w:t xml:space="preserve">current </w:t>
            </w:r>
            <w:r w:rsidR="001904B3">
              <w:rPr>
                <w:noProof/>
                <w:color w:val="000000"/>
                <w:bdr w:val="none" w:sz="0" w:space="0" w:color="auto" w:frame="1"/>
                <w:shd w:val="clear" w:color="auto" w:fill="FFFFFF"/>
              </w:rPr>
              <w:t xml:space="preserve">insolvency </w:t>
            </w:r>
            <w:r w:rsidR="00DE7AAC">
              <w:rPr>
                <w:noProof/>
                <w:color w:val="000000"/>
                <w:bdr w:val="none" w:sz="0" w:space="0" w:color="auto" w:frame="1"/>
                <w:shd w:val="clear" w:color="auto" w:fill="FFFFFF"/>
              </w:rPr>
              <w:t>rules</w:t>
            </w:r>
            <w:r w:rsidR="00824EE6">
              <w:rPr>
                <w:noProof/>
                <w:color w:val="000000"/>
                <w:bdr w:val="none" w:sz="0" w:space="0" w:color="auto" w:frame="1"/>
                <w:shd w:val="clear" w:color="auto" w:fill="FFFFFF"/>
              </w:rPr>
              <w:t>.</w:t>
            </w:r>
            <w:r w:rsidR="00AB0F96">
              <w:rPr>
                <w:noProof/>
                <w:color w:val="000000"/>
                <w:bdr w:val="none" w:sz="0" w:space="0" w:color="auto" w:frame="1"/>
                <w:shd w:val="clear" w:color="auto" w:fill="FFFFFF"/>
              </w:rPr>
              <w:t xml:space="preserve"> They a</w:t>
            </w:r>
            <w:r w:rsidR="00AB0F96">
              <w:rPr>
                <w:noProof/>
                <w:bdr w:val="none" w:sz="0" w:space="0" w:color="auto" w:frame="1"/>
                <w:shd w:val="clear" w:color="auto" w:fill="FFFFFF"/>
              </w:rPr>
              <w:t xml:space="preserve">lso respond to </w:t>
            </w:r>
            <w:r w:rsidR="00AB0F96" w:rsidRPr="0CC5BB1D">
              <w:rPr>
                <w:noProof/>
              </w:rPr>
              <w:t xml:space="preserve">the Competitiveness Compass </w:t>
            </w:r>
            <w:r w:rsidR="00174A9E" w:rsidRPr="0CC5BB1D">
              <w:rPr>
                <w:noProof/>
              </w:rPr>
              <w:t xml:space="preserve">and </w:t>
            </w:r>
            <w:r w:rsidR="00AB0F96" w:rsidRPr="0CC5BB1D">
              <w:rPr>
                <w:noProof/>
              </w:rPr>
              <w:t xml:space="preserve">the Single Market and the </w:t>
            </w:r>
            <w:r w:rsidR="1BCBEF9A" w:rsidRPr="0CC5BB1D">
              <w:rPr>
                <w:noProof/>
              </w:rPr>
              <w:t>S</w:t>
            </w:r>
            <w:r w:rsidR="56DA811D" w:rsidRPr="0CC5BB1D">
              <w:rPr>
                <w:noProof/>
              </w:rPr>
              <w:t>tartup</w:t>
            </w:r>
            <w:r w:rsidR="00AB0F96" w:rsidRPr="0CC5BB1D">
              <w:rPr>
                <w:noProof/>
              </w:rPr>
              <w:t xml:space="preserve"> and </w:t>
            </w:r>
            <w:r w:rsidR="1BCBEF9A" w:rsidRPr="39C6EFBE">
              <w:rPr>
                <w:noProof/>
              </w:rPr>
              <w:t>s</w:t>
            </w:r>
            <w:r w:rsidR="73BE0936" w:rsidRPr="39C6EFBE">
              <w:rPr>
                <w:noProof/>
              </w:rPr>
              <w:t>caleup</w:t>
            </w:r>
            <w:r w:rsidR="00AB0F96" w:rsidRPr="0CC5BB1D">
              <w:rPr>
                <w:noProof/>
              </w:rPr>
              <w:t xml:space="preserve"> Strategies</w:t>
            </w:r>
            <w:r w:rsidR="00174A9E" w:rsidRPr="0CC5BB1D">
              <w:rPr>
                <w:noProof/>
              </w:rPr>
              <w:t xml:space="preserve">, which </w:t>
            </w:r>
            <w:r w:rsidR="00051B1C" w:rsidRPr="0CC5BB1D">
              <w:rPr>
                <w:noProof/>
              </w:rPr>
              <w:t>mentioned that a 28</w:t>
            </w:r>
            <w:r w:rsidR="00051B1C" w:rsidRPr="0CC5BB1D">
              <w:rPr>
                <w:noProof/>
                <w:vertAlign w:val="superscript"/>
              </w:rPr>
              <w:t>th</w:t>
            </w:r>
            <w:r w:rsidR="00051B1C" w:rsidRPr="0CC5BB1D">
              <w:rPr>
                <w:noProof/>
              </w:rPr>
              <w:t xml:space="preserve"> legal regime would </w:t>
            </w:r>
            <w:r w:rsidR="00CC18B5" w:rsidRPr="0CC5BB1D">
              <w:rPr>
                <w:noProof/>
              </w:rPr>
              <w:t xml:space="preserve">include aspects of insolvency and </w:t>
            </w:r>
            <w:r w:rsidR="00A55046" w:rsidRPr="0CC5BB1D">
              <w:rPr>
                <w:noProof/>
              </w:rPr>
              <w:t>reduce the cost of failure</w:t>
            </w:r>
            <w:r w:rsidR="008B6A05" w:rsidRPr="0CC5BB1D">
              <w:rPr>
                <w:noProof/>
              </w:rPr>
              <w:t xml:space="preserve">, which these policy options would address by </w:t>
            </w:r>
            <w:r w:rsidR="00B41C71" w:rsidRPr="0CC5BB1D">
              <w:rPr>
                <w:noProof/>
              </w:rPr>
              <w:t>making closure of solvent and insolvent companies easier</w:t>
            </w:r>
            <w:r w:rsidR="00824EE6" w:rsidRPr="0CC5BB1D">
              <w:rPr>
                <w:noProof/>
              </w:rPr>
              <w:t>.</w:t>
            </w:r>
            <w:r w:rsidR="00AC556D">
              <w:rPr>
                <w:noProof/>
                <w:color w:val="000000"/>
                <w:bdr w:val="none" w:sz="0" w:space="0" w:color="auto" w:frame="1"/>
                <w:shd w:val="clear" w:color="auto" w:fill="FFFFFF"/>
              </w:rPr>
              <w:t xml:space="preserve"> </w:t>
            </w:r>
          </w:p>
        </w:tc>
      </w:tr>
    </w:tbl>
    <w:p w14:paraId="397D947E" w14:textId="00F46E28" w:rsidR="00EC71E4" w:rsidRPr="009705F3" w:rsidRDefault="00EC71E4" w:rsidP="00EC71E4">
      <w:pPr>
        <w:pStyle w:val="Heading2"/>
        <w:numPr>
          <w:ilvl w:val="0"/>
          <w:numId w:val="0"/>
        </w:numPr>
        <w:ind w:left="680"/>
        <w:rPr>
          <w:rFonts w:eastAsia="Courier New"/>
          <w:i/>
          <w:iCs/>
          <w:noProof/>
          <w:u w:val="single"/>
        </w:rPr>
      </w:pPr>
      <w:r w:rsidRPr="00A0575B">
        <w:rPr>
          <w:rFonts w:eastAsia="Courier New"/>
          <w:noProof/>
          <w:szCs w:val="24"/>
          <w:u w:val="single"/>
        </w:rPr>
        <w:t xml:space="preserve">Policy options </w:t>
      </w:r>
      <w:r>
        <w:rPr>
          <w:rFonts w:eastAsia="Courier New"/>
          <w:noProof/>
          <w:szCs w:val="24"/>
          <w:u w:val="single"/>
        </w:rPr>
        <w:t>5</w:t>
      </w:r>
      <w:r w:rsidR="00904F3B" w:rsidRPr="00904F3B">
        <w:rPr>
          <w:rFonts w:ascii="Times New Roman" w:eastAsia="Calibri" w:hAnsi="Times New Roman" w:cs="Times New Roman"/>
          <w:b w:val="0"/>
          <w:noProof/>
          <w:sz w:val="24"/>
          <w:szCs w:val="24"/>
          <w:u w:val="single"/>
        </w:rPr>
        <w:t xml:space="preserve"> </w:t>
      </w:r>
      <w:r w:rsidR="00904F3B" w:rsidRPr="00904F3B">
        <w:rPr>
          <w:rFonts w:eastAsia="Courier New"/>
          <w:noProof/>
          <w:szCs w:val="24"/>
          <w:u w:val="single"/>
        </w:rPr>
        <w:t>for attracting talent</w:t>
      </w:r>
    </w:p>
    <w:p w14:paraId="330516FA" w14:textId="48FE409D" w:rsidR="003D3222" w:rsidRPr="007303FE" w:rsidRDefault="003D3222" w:rsidP="00C4288E">
      <w:pPr>
        <w:pStyle w:val="ListParagraph"/>
        <w:numPr>
          <w:ilvl w:val="0"/>
          <w:numId w:val="15"/>
        </w:numPr>
        <w:tabs>
          <w:tab w:val="left" w:pos="170"/>
        </w:tabs>
        <w:jc w:val="both"/>
        <w:rPr>
          <w:noProof/>
        </w:rPr>
      </w:pPr>
      <w:r>
        <w:rPr>
          <w:noProof/>
        </w:rPr>
        <w:t xml:space="preserve">Policy option 5a - </w:t>
      </w:r>
      <w:r w:rsidRPr="003706B4">
        <w:rPr>
          <w:noProof/>
        </w:rPr>
        <w:t>Possibility for 28</w:t>
      </w:r>
      <w:r w:rsidRPr="002F0825">
        <w:rPr>
          <w:noProof/>
        </w:rPr>
        <w:t>th</w:t>
      </w:r>
      <w:r w:rsidRPr="003706B4">
        <w:rPr>
          <w:noProof/>
        </w:rPr>
        <w:t xml:space="preserve"> regime companies to set up employee </w:t>
      </w:r>
      <w:r w:rsidR="005C0C8E">
        <w:rPr>
          <w:noProof/>
        </w:rPr>
        <w:t xml:space="preserve">stock </w:t>
      </w:r>
      <w:r w:rsidRPr="003706B4">
        <w:rPr>
          <w:noProof/>
        </w:rPr>
        <w:t xml:space="preserve">ownership </w:t>
      </w:r>
      <w:r w:rsidRPr="007303FE">
        <w:rPr>
          <w:noProof/>
        </w:rPr>
        <w:t>plans (ESOPs) and issue classes of shares with distinct voting rights.</w:t>
      </w:r>
    </w:p>
    <w:p w14:paraId="654F3CD3" w14:textId="44FDCAD3" w:rsidR="003D3222" w:rsidRPr="007303FE" w:rsidRDefault="003D3222" w:rsidP="00C4288E">
      <w:pPr>
        <w:pStyle w:val="ListParagraph"/>
        <w:numPr>
          <w:ilvl w:val="0"/>
          <w:numId w:val="15"/>
        </w:numPr>
        <w:tabs>
          <w:tab w:val="left" w:pos="170"/>
        </w:tabs>
        <w:jc w:val="both"/>
        <w:rPr>
          <w:noProof/>
        </w:rPr>
      </w:pPr>
      <w:r w:rsidRPr="007303FE">
        <w:rPr>
          <w:noProof/>
        </w:rPr>
        <w:t>Policy option 5b - Option 5a + introduc</w:t>
      </w:r>
      <w:r w:rsidR="00435ECF" w:rsidRPr="007303FE">
        <w:rPr>
          <w:noProof/>
        </w:rPr>
        <w:t>e</w:t>
      </w:r>
      <w:r w:rsidRPr="007303FE">
        <w:rPr>
          <w:noProof/>
        </w:rPr>
        <w:t xml:space="preserve"> an optional common employee stock ownership scheme </w:t>
      </w:r>
      <w:r w:rsidR="007B05FC" w:rsidRPr="007303FE">
        <w:rPr>
          <w:noProof/>
          <w:szCs w:val="20"/>
        </w:rPr>
        <w:t>for 28</w:t>
      </w:r>
      <w:r w:rsidR="007B05FC" w:rsidRPr="007303FE">
        <w:rPr>
          <w:noProof/>
          <w:szCs w:val="20"/>
          <w:vertAlign w:val="superscript"/>
        </w:rPr>
        <w:t>th</w:t>
      </w:r>
      <w:r w:rsidR="007B05FC" w:rsidRPr="007303FE">
        <w:rPr>
          <w:noProof/>
          <w:szCs w:val="20"/>
        </w:rPr>
        <w:t xml:space="preserve"> regime companies, based on employee stock options and with common criteria </w:t>
      </w:r>
      <w:r w:rsidRPr="007303FE">
        <w:rPr>
          <w:noProof/>
        </w:rPr>
        <w:t>(</w:t>
      </w:r>
      <w:r w:rsidR="00EC0DFE" w:rsidRPr="007303FE">
        <w:rPr>
          <w:noProof/>
        </w:rPr>
        <w:t>“</w:t>
      </w:r>
      <w:r w:rsidRPr="007303FE">
        <w:rPr>
          <w:noProof/>
        </w:rPr>
        <w:t>EU-ESO</w:t>
      </w:r>
      <w:r w:rsidR="00EC0DFE" w:rsidRPr="007303FE">
        <w:rPr>
          <w:noProof/>
        </w:rPr>
        <w:t>”</w:t>
      </w:r>
      <w:r w:rsidRPr="007303FE">
        <w:rPr>
          <w:noProof/>
        </w:rPr>
        <w:t>).</w:t>
      </w:r>
    </w:p>
    <w:p w14:paraId="2BDD59D9" w14:textId="7F707E15" w:rsidR="003D3222" w:rsidRPr="007303FE" w:rsidRDefault="003D3222" w:rsidP="00C4288E">
      <w:pPr>
        <w:pStyle w:val="ListParagraph"/>
        <w:numPr>
          <w:ilvl w:val="0"/>
          <w:numId w:val="15"/>
        </w:numPr>
        <w:tabs>
          <w:tab w:val="left" w:pos="170"/>
        </w:tabs>
        <w:spacing w:before="0" w:after="0"/>
        <w:jc w:val="both"/>
        <w:rPr>
          <w:noProof/>
        </w:rPr>
      </w:pPr>
      <w:r w:rsidRPr="007303FE">
        <w:rPr>
          <w:noProof/>
        </w:rPr>
        <w:t>Policy option 5c - Option 5b + provid</w:t>
      </w:r>
      <w:r w:rsidR="00EC0DFE" w:rsidRPr="007303FE">
        <w:rPr>
          <w:noProof/>
        </w:rPr>
        <w:t>e</w:t>
      </w:r>
      <w:r w:rsidRPr="007303FE">
        <w:rPr>
          <w:noProof/>
        </w:rPr>
        <w:t xml:space="preserve"> harmonised timing for the taxation of </w:t>
      </w:r>
      <w:r w:rsidR="007303FE">
        <w:rPr>
          <w:noProof/>
        </w:rPr>
        <w:t>employee stock options granted in the context of the EU-ESO</w:t>
      </w:r>
      <w:r w:rsidRPr="007303FE">
        <w:rPr>
          <w:noProof/>
        </w:rPr>
        <w:t>.</w:t>
      </w:r>
    </w:p>
    <w:p w14:paraId="3E76D36C" w14:textId="77777777" w:rsidR="003D3222" w:rsidRDefault="003D3222" w:rsidP="003D3222">
      <w:pPr>
        <w:tabs>
          <w:tab w:val="left" w:pos="170"/>
        </w:tabs>
        <w:spacing w:before="0" w:after="0"/>
        <w:jc w:val="both"/>
        <w:rPr>
          <w:noProof/>
        </w:rPr>
      </w:pPr>
    </w:p>
    <w:tbl>
      <w:tblPr>
        <w:tblStyle w:val="TableGrid"/>
        <w:tblW w:w="9889" w:type="dxa"/>
        <w:tblLook w:val="04A0" w:firstRow="1" w:lastRow="0" w:firstColumn="1" w:lastColumn="0" w:noHBand="0" w:noVBand="1"/>
      </w:tblPr>
      <w:tblGrid>
        <w:gridCol w:w="1766"/>
        <w:gridCol w:w="842"/>
        <w:gridCol w:w="848"/>
        <w:gridCol w:w="846"/>
        <w:gridCol w:w="5587"/>
      </w:tblGrid>
      <w:tr w:rsidR="00EC71E4" w:rsidRPr="00566C3C" w14:paraId="51217015" w14:textId="77777777" w:rsidTr="00EC71E4">
        <w:tc>
          <w:tcPr>
            <w:tcW w:w="1766" w:type="dxa"/>
            <w:shd w:val="clear" w:color="auto" w:fill="95B3D7" w:themeFill="accent1" w:themeFillTint="99"/>
          </w:tcPr>
          <w:p w14:paraId="22A491A7" w14:textId="77777777" w:rsidR="00EC71E4" w:rsidRPr="005A23B4" w:rsidRDefault="00EC71E4">
            <w:pPr>
              <w:rPr>
                <w:rFonts w:cstheme="minorHAnsi"/>
                <w:b/>
                <w:noProof/>
                <w:szCs w:val="20"/>
              </w:rPr>
            </w:pPr>
            <w:r w:rsidRPr="005A23B4">
              <w:rPr>
                <w:rFonts w:cstheme="minorHAnsi"/>
                <w:b/>
                <w:noProof/>
                <w:szCs w:val="20"/>
              </w:rPr>
              <w:t>Unit of measurement</w:t>
            </w:r>
          </w:p>
        </w:tc>
        <w:tc>
          <w:tcPr>
            <w:tcW w:w="842" w:type="dxa"/>
            <w:shd w:val="clear" w:color="auto" w:fill="95B3D7" w:themeFill="accent1" w:themeFillTint="99"/>
          </w:tcPr>
          <w:p w14:paraId="1E747DA0" w14:textId="4BD049EB"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5</w:t>
            </w:r>
            <w:r w:rsidRPr="005A23B4">
              <w:rPr>
                <w:rFonts w:cstheme="minorHAnsi"/>
                <w:b/>
                <w:noProof/>
                <w:szCs w:val="20"/>
              </w:rPr>
              <w:t>a</w:t>
            </w:r>
          </w:p>
          <w:p w14:paraId="76042150" w14:textId="77777777" w:rsidR="00EC71E4" w:rsidRPr="005A23B4" w:rsidRDefault="00EC71E4">
            <w:pPr>
              <w:rPr>
                <w:rFonts w:cstheme="minorHAnsi"/>
                <w:b/>
                <w:noProof/>
                <w:szCs w:val="20"/>
              </w:rPr>
            </w:pPr>
          </w:p>
        </w:tc>
        <w:tc>
          <w:tcPr>
            <w:tcW w:w="848" w:type="dxa"/>
            <w:shd w:val="clear" w:color="auto" w:fill="95B3D7" w:themeFill="accent1" w:themeFillTint="99"/>
          </w:tcPr>
          <w:p w14:paraId="177EF120" w14:textId="62B5D952"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5</w:t>
            </w:r>
            <w:r w:rsidRPr="005A23B4">
              <w:rPr>
                <w:rFonts w:cstheme="minorHAnsi"/>
                <w:b/>
                <w:noProof/>
                <w:szCs w:val="20"/>
              </w:rPr>
              <w:t>b</w:t>
            </w:r>
          </w:p>
        </w:tc>
        <w:tc>
          <w:tcPr>
            <w:tcW w:w="846" w:type="dxa"/>
            <w:shd w:val="clear" w:color="auto" w:fill="95B3D7" w:themeFill="accent1" w:themeFillTint="99"/>
          </w:tcPr>
          <w:p w14:paraId="7BF52439" w14:textId="59AE308D"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5</w:t>
            </w:r>
            <w:r w:rsidRPr="005A23B4">
              <w:rPr>
                <w:rFonts w:cstheme="minorHAnsi"/>
                <w:b/>
                <w:noProof/>
                <w:szCs w:val="20"/>
              </w:rPr>
              <w:t>c</w:t>
            </w:r>
          </w:p>
        </w:tc>
        <w:tc>
          <w:tcPr>
            <w:tcW w:w="5587" w:type="dxa"/>
            <w:shd w:val="clear" w:color="auto" w:fill="95B3D7" w:themeFill="accent1" w:themeFillTint="99"/>
          </w:tcPr>
          <w:p w14:paraId="067BA97A" w14:textId="77777777" w:rsidR="00EC71E4" w:rsidRPr="005A23B4" w:rsidRDefault="00EC71E4">
            <w:pPr>
              <w:rPr>
                <w:rFonts w:cstheme="minorHAnsi"/>
                <w:b/>
                <w:noProof/>
                <w:szCs w:val="20"/>
              </w:rPr>
            </w:pPr>
            <w:r w:rsidRPr="005A23B4">
              <w:rPr>
                <w:rFonts w:cstheme="minorHAnsi"/>
                <w:b/>
                <w:noProof/>
                <w:szCs w:val="20"/>
              </w:rPr>
              <w:t>Motivation</w:t>
            </w:r>
          </w:p>
        </w:tc>
      </w:tr>
      <w:tr w:rsidR="00EC71E4" w:rsidRPr="00566C3C" w14:paraId="1F504859" w14:textId="77777777" w:rsidTr="00EC71E4">
        <w:tc>
          <w:tcPr>
            <w:tcW w:w="1766" w:type="dxa"/>
          </w:tcPr>
          <w:p w14:paraId="0AD5A967" w14:textId="77777777" w:rsidR="00EC71E4" w:rsidRPr="005A23B4" w:rsidRDefault="00EC71E4">
            <w:pPr>
              <w:rPr>
                <w:rFonts w:cstheme="minorHAnsi"/>
                <w:b/>
                <w:noProof/>
                <w:szCs w:val="20"/>
              </w:rPr>
            </w:pPr>
            <w:r w:rsidRPr="005A23B4">
              <w:rPr>
                <w:rFonts w:cstheme="minorHAnsi"/>
                <w:noProof/>
                <w:szCs w:val="20"/>
              </w:rPr>
              <w:t xml:space="preserve">Score 1-5 </w:t>
            </w:r>
          </w:p>
        </w:tc>
        <w:tc>
          <w:tcPr>
            <w:tcW w:w="842" w:type="dxa"/>
          </w:tcPr>
          <w:p w14:paraId="41D08ABE" w14:textId="202F2E2C" w:rsidR="00EC71E4" w:rsidRPr="00912E52" w:rsidRDefault="00EE223B" w:rsidP="00912E52">
            <w:pPr>
              <w:jc w:val="center"/>
              <w:rPr>
                <w:rFonts w:cstheme="minorHAnsi"/>
                <w:noProof/>
                <w:szCs w:val="20"/>
              </w:rPr>
            </w:pPr>
            <w:r w:rsidRPr="00912E52">
              <w:rPr>
                <w:rFonts w:cstheme="minorHAnsi"/>
                <w:noProof/>
                <w:szCs w:val="20"/>
              </w:rPr>
              <w:t>3</w:t>
            </w:r>
          </w:p>
        </w:tc>
        <w:tc>
          <w:tcPr>
            <w:tcW w:w="848" w:type="dxa"/>
          </w:tcPr>
          <w:p w14:paraId="786768F2" w14:textId="7FF04FA8" w:rsidR="00EC71E4" w:rsidRPr="00912E52" w:rsidRDefault="00EE223B" w:rsidP="00912E52">
            <w:pPr>
              <w:jc w:val="center"/>
              <w:rPr>
                <w:rFonts w:cstheme="minorHAnsi"/>
                <w:noProof/>
                <w:szCs w:val="20"/>
              </w:rPr>
            </w:pPr>
            <w:r w:rsidRPr="00912E52">
              <w:rPr>
                <w:rFonts w:cstheme="minorHAnsi"/>
                <w:noProof/>
                <w:szCs w:val="20"/>
              </w:rPr>
              <w:t>3</w:t>
            </w:r>
          </w:p>
        </w:tc>
        <w:tc>
          <w:tcPr>
            <w:tcW w:w="846" w:type="dxa"/>
          </w:tcPr>
          <w:p w14:paraId="32320885" w14:textId="6369BF16" w:rsidR="00EC71E4" w:rsidRPr="00912E52" w:rsidRDefault="00EE223B" w:rsidP="00912E52">
            <w:pPr>
              <w:jc w:val="center"/>
              <w:rPr>
                <w:rFonts w:cstheme="minorHAnsi"/>
                <w:noProof/>
                <w:szCs w:val="20"/>
              </w:rPr>
            </w:pPr>
            <w:r w:rsidRPr="00912E52">
              <w:rPr>
                <w:rFonts w:cstheme="minorHAnsi"/>
                <w:noProof/>
                <w:szCs w:val="20"/>
              </w:rPr>
              <w:t>4</w:t>
            </w:r>
          </w:p>
        </w:tc>
        <w:tc>
          <w:tcPr>
            <w:tcW w:w="5587" w:type="dxa"/>
          </w:tcPr>
          <w:p w14:paraId="447DB2DA" w14:textId="6FE822DC" w:rsidR="00EC71E4" w:rsidRDefault="00EC71E4" w:rsidP="00EE29CD">
            <w:pPr>
              <w:tabs>
                <w:tab w:val="center" w:pos="2685"/>
              </w:tabs>
              <w:jc w:val="both"/>
              <w:rPr>
                <w:rFonts w:cstheme="minorHAnsi"/>
                <w:noProof/>
                <w:szCs w:val="20"/>
              </w:rPr>
            </w:pPr>
            <w:r w:rsidRPr="00EE29CD">
              <w:rPr>
                <w:rFonts w:cstheme="minorHAnsi"/>
                <w:noProof/>
                <w:szCs w:val="20"/>
              </w:rPr>
              <w:t xml:space="preserve">Internal coherence: </w:t>
            </w:r>
            <w:r w:rsidR="00613629" w:rsidRPr="00EE29CD">
              <w:rPr>
                <w:rFonts w:cstheme="minorHAnsi"/>
                <w:noProof/>
                <w:szCs w:val="20"/>
              </w:rPr>
              <w:tab/>
              <w:t xml:space="preserve">Options 5a, 5b and 5c are </w:t>
            </w:r>
            <w:r w:rsidR="00982A81">
              <w:rPr>
                <w:rFonts w:cstheme="minorHAnsi"/>
                <w:noProof/>
                <w:szCs w:val="20"/>
              </w:rPr>
              <w:t>i</w:t>
            </w:r>
            <w:r w:rsidR="00C75531" w:rsidRPr="00EE29CD">
              <w:rPr>
                <w:rFonts w:cstheme="minorHAnsi"/>
                <w:noProof/>
                <w:szCs w:val="20"/>
              </w:rPr>
              <w:t>n particular</w:t>
            </w:r>
            <w:r w:rsidR="00D30690" w:rsidRPr="00EE29CD">
              <w:rPr>
                <w:rFonts w:cstheme="minorHAnsi"/>
                <w:noProof/>
                <w:szCs w:val="20"/>
              </w:rPr>
              <w:t xml:space="preserve"> complemented</w:t>
            </w:r>
            <w:r w:rsidR="00626CE9" w:rsidRPr="00EE29CD">
              <w:rPr>
                <w:rFonts w:cstheme="minorHAnsi"/>
                <w:noProof/>
                <w:szCs w:val="20"/>
              </w:rPr>
              <w:t xml:space="preserve"> by </w:t>
            </w:r>
            <w:r w:rsidR="001E3FC8" w:rsidRPr="00EE29CD">
              <w:rPr>
                <w:rFonts w:cstheme="minorHAnsi"/>
                <w:noProof/>
                <w:szCs w:val="20"/>
              </w:rPr>
              <w:t>PO6a</w:t>
            </w:r>
            <w:r w:rsidR="00705BD3" w:rsidRPr="00EE29CD">
              <w:rPr>
                <w:rFonts w:cstheme="minorHAnsi"/>
                <w:noProof/>
                <w:szCs w:val="20"/>
              </w:rPr>
              <w:t xml:space="preserve"> wh</w:t>
            </w:r>
            <w:r w:rsidR="00DE3E16" w:rsidRPr="00EE29CD">
              <w:rPr>
                <w:rFonts w:cstheme="minorHAnsi"/>
                <w:noProof/>
                <w:szCs w:val="20"/>
              </w:rPr>
              <w:t xml:space="preserve">ose </w:t>
            </w:r>
            <w:r w:rsidR="004A759C" w:rsidRPr="00EE29CD">
              <w:rPr>
                <w:rFonts w:cstheme="minorHAnsi"/>
                <w:noProof/>
                <w:szCs w:val="20"/>
              </w:rPr>
              <w:t>mea</w:t>
            </w:r>
            <w:r w:rsidR="00FA7187" w:rsidRPr="00EE29CD">
              <w:rPr>
                <w:rFonts w:cstheme="minorHAnsi"/>
                <w:noProof/>
                <w:szCs w:val="20"/>
              </w:rPr>
              <w:t xml:space="preserve">sures on capital increases </w:t>
            </w:r>
            <w:r w:rsidR="00C66288" w:rsidRPr="00EE29CD">
              <w:rPr>
                <w:rFonts w:cstheme="minorHAnsi"/>
                <w:noProof/>
                <w:szCs w:val="20"/>
              </w:rPr>
              <w:t xml:space="preserve">facilitate that </w:t>
            </w:r>
            <w:r w:rsidR="00B6541E" w:rsidRPr="00EE29CD">
              <w:rPr>
                <w:rFonts w:cstheme="minorHAnsi"/>
                <w:noProof/>
                <w:szCs w:val="20"/>
              </w:rPr>
              <w:t xml:space="preserve">companies can </w:t>
            </w:r>
            <w:r w:rsidR="00EF71E8" w:rsidRPr="00EE29CD">
              <w:rPr>
                <w:rFonts w:cstheme="minorHAnsi"/>
                <w:noProof/>
                <w:szCs w:val="20"/>
              </w:rPr>
              <w:t xml:space="preserve">provide </w:t>
            </w:r>
            <w:r w:rsidR="00BE32AA" w:rsidRPr="00EE29CD">
              <w:rPr>
                <w:rFonts w:cstheme="minorHAnsi"/>
                <w:noProof/>
                <w:szCs w:val="20"/>
              </w:rPr>
              <w:t>shares for employees</w:t>
            </w:r>
            <w:r w:rsidR="00257FC9" w:rsidRPr="00EE29CD">
              <w:rPr>
                <w:rFonts w:cstheme="minorHAnsi"/>
                <w:noProof/>
                <w:szCs w:val="20"/>
              </w:rPr>
              <w:t xml:space="preserve"> participating in ESOPs</w:t>
            </w:r>
            <w:r w:rsidR="0028329D">
              <w:rPr>
                <w:rFonts w:cstheme="minorHAnsi"/>
                <w:noProof/>
                <w:szCs w:val="20"/>
              </w:rPr>
              <w:t>, but also by policy options 7, which facilitate exit opportunities for investors, including employee shareholders</w:t>
            </w:r>
            <w:r w:rsidR="00BD635C" w:rsidRPr="00EE29CD">
              <w:rPr>
                <w:rFonts w:cstheme="minorHAnsi"/>
                <w:noProof/>
                <w:szCs w:val="20"/>
              </w:rPr>
              <w:t>.</w:t>
            </w:r>
            <w:r w:rsidR="000558E9" w:rsidRPr="00EE29CD">
              <w:rPr>
                <w:rFonts w:cstheme="minorHAnsi"/>
                <w:noProof/>
                <w:szCs w:val="20"/>
              </w:rPr>
              <w:t xml:space="preserve"> Option 5c is the most coherent as it</w:t>
            </w:r>
            <w:r w:rsidR="00C64638" w:rsidRPr="00EE29CD">
              <w:rPr>
                <w:rFonts w:cstheme="minorHAnsi"/>
                <w:noProof/>
                <w:szCs w:val="20"/>
              </w:rPr>
              <w:t xml:space="preserve"> provides the most promising framework </w:t>
            </w:r>
            <w:r w:rsidR="00660F55" w:rsidRPr="00EE29CD">
              <w:rPr>
                <w:rFonts w:cstheme="minorHAnsi"/>
                <w:noProof/>
                <w:szCs w:val="20"/>
              </w:rPr>
              <w:t xml:space="preserve">for a </w:t>
            </w:r>
            <w:r w:rsidR="00EF18DE" w:rsidRPr="00EE29CD">
              <w:rPr>
                <w:rFonts w:cstheme="minorHAnsi"/>
                <w:noProof/>
                <w:szCs w:val="20"/>
              </w:rPr>
              <w:t>strong uptake</w:t>
            </w:r>
            <w:r w:rsidR="003D08AF" w:rsidRPr="00EE29CD">
              <w:rPr>
                <w:rFonts w:cstheme="minorHAnsi"/>
                <w:noProof/>
                <w:szCs w:val="20"/>
              </w:rPr>
              <w:t xml:space="preserve"> of ESOPs and the underlying </w:t>
            </w:r>
            <w:r w:rsidR="00DA4739" w:rsidRPr="00EE29CD">
              <w:rPr>
                <w:rFonts w:cstheme="minorHAnsi"/>
                <w:noProof/>
                <w:szCs w:val="20"/>
              </w:rPr>
              <w:t xml:space="preserve">capital adjustments </w:t>
            </w:r>
            <w:r w:rsidR="004047DC" w:rsidRPr="00EE29CD">
              <w:rPr>
                <w:rFonts w:cstheme="minorHAnsi"/>
                <w:noProof/>
                <w:szCs w:val="20"/>
              </w:rPr>
              <w:t>necessary for issuing shares to employees.</w:t>
            </w:r>
          </w:p>
          <w:p w14:paraId="25433B8D" w14:textId="106A3318" w:rsidR="00EC71E4" w:rsidRPr="005A23B4" w:rsidRDefault="00EC71E4" w:rsidP="00DF3756">
            <w:pPr>
              <w:jc w:val="both"/>
              <w:rPr>
                <w:noProof/>
                <w:u w:val="single"/>
              </w:rPr>
            </w:pPr>
            <w:r w:rsidRPr="605EB176">
              <w:rPr>
                <w:noProof/>
              </w:rPr>
              <w:t>External coherence:</w:t>
            </w:r>
            <w:r w:rsidR="00731376" w:rsidRPr="605EB176">
              <w:rPr>
                <w:noProof/>
              </w:rPr>
              <w:t xml:space="preserve"> </w:t>
            </w:r>
            <w:r w:rsidR="00900630" w:rsidRPr="605EB176">
              <w:rPr>
                <w:noProof/>
              </w:rPr>
              <w:t xml:space="preserve">The promotion of employee participation in profits and enterprise results </w:t>
            </w:r>
            <w:r w:rsidR="002D4596" w:rsidRPr="605EB176">
              <w:rPr>
                <w:noProof/>
              </w:rPr>
              <w:t>(PEPPER)</w:t>
            </w:r>
            <w:r w:rsidR="00900630" w:rsidRPr="605EB176">
              <w:rPr>
                <w:noProof/>
              </w:rPr>
              <w:t xml:space="preserve"> has been on the agenda of the </w:t>
            </w:r>
            <w:r w:rsidR="00BD1855" w:rsidRPr="605EB176">
              <w:rPr>
                <w:noProof/>
              </w:rPr>
              <w:t xml:space="preserve">EU institutions and </w:t>
            </w:r>
            <w:r w:rsidR="007A56A3" w:rsidRPr="605EB176">
              <w:rPr>
                <w:noProof/>
              </w:rPr>
              <w:t xml:space="preserve">bodies </w:t>
            </w:r>
            <w:r w:rsidR="00900630" w:rsidRPr="605EB176">
              <w:rPr>
                <w:noProof/>
              </w:rPr>
              <w:t>for more than three decades</w:t>
            </w:r>
            <w:r w:rsidR="00181437" w:rsidRPr="605EB176">
              <w:rPr>
                <w:noProof/>
              </w:rPr>
              <w:t xml:space="preserve">, resulting </w:t>
            </w:r>
            <w:r w:rsidR="00E91289" w:rsidRPr="605EB176">
              <w:rPr>
                <w:noProof/>
              </w:rPr>
              <w:t>inter alia</w:t>
            </w:r>
            <w:r w:rsidR="00181437" w:rsidRPr="605EB176">
              <w:rPr>
                <w:noProof/>
              </w:rPr>
              <w:t xml:space="preserve"> </w:t>
            </w:r>
            <w:r w:rsidR="00332A80" w:rsidRPr="605EB176">
              <w:rPr>
                <w:noProof/>
              </w:rPr>
              <w:t xml:space="preserve">in </w:t>
            </w:r>
            <w:r w:rsidR="004A7DBD" w:rsidRPr="605EB176">
              <w:rPr>
                <w:noProof/>
              </w:rPr>
              <w:t>five PEPPER</w:t>
            </w:r>
            <w:r w:rsidR="00332A80" w:rsidRPr="605EB176">
              <w:rPr>
                <w:noProof/>
              </w:rPr>
              <w:t xml:space="preserve"> reports</w:t>
            </w:r>
            <w:r w:rsidR="004A7DBD" w:rsidRPr="605EB176">
              <w:rPr>
                <w:noProof/>
              </w:rPr>
              <w:t xml:space="preserve"> co-funded by the European Union</w:t>
            </w:r>
            <w:r w:rsidR="00900630" w:rsidRPr="605EB176">
              <w:rPr>
                <w:noProof/>
              </w:rPr>
              <w:t>.</w:t>
            </w:r>
            <w:r w:rsidR="00731376" w:rsidRPr="605EB176">
              <w:rPr>
                <w:noProof/>
              </w:rPr>
              <w:t xml:space="preserve"> </w:t>
            </w:r>
            <w:r w:rsidR="002503BC" w:rsidRPr="605EB176">
              <w:rPr>
                <w:noProof/>
              </w:rPr>
              <w:t xml:space="preserve">Opinions drafted by the European Economic and Social Committee, </w:t>
            </w:r>
            <w:r w:rsidR="007A56A3" w:rsidRPr="605EB176">
              <w:rPr>
                <w:noProof/>
              </w:rPr>
              <w:t>r</w:t>
            </w:r>
            <w:r w:rsidR="002503BC" w:rsidRPr="605EB176">
              <w:rPr>
                <w:noProof/>
              </w:rPr>
              <w:t xml:space="preserve">eports and </w:t>
            </w:r>
            <w:r w:rsidR="007A56A3" w:rsidRPr="605EB176">
              <w:rPr>
                <w:noProof/>
              </w:rPr>
              <w:t>s</w:t>
            </w:r>
            <w:r w:rsidR="002503BC" w:rsidRPr="605EB176">
              <w:rPr>
                <w:noProof/>
              </w:rPr>
              <w:t xml:space="preserve">tudies by the European Parliament and </w:t>
            </w:r>
            <w:r w:rsidR="0009142A" w:rsidRPr="605EB176">
              <w:rPr>
                <w:noProof/>
              </w:rPr>
              <w:t xml:space="preserve">two </w:t>
            </w:r>
            <w:r w:rsidR="00716868" w:rsidRPr="605EB176">
              <w:rPr>
                <w:noProof/>
              </w:rPr>
              <w:t>Parliament resolutions in</w:t>
            </w:r>
            <w:r w:rsidR="002503BC" w:rsidRPr="605EB176">
              <w:rPr>
                <w:noProof/>
              </w:rPr>
              <w:t xml:space="preserve"> 2014 and 2018 on </w:t>
            </w:r>
            <w:r w:rsidR="0080058D" w:rsidRPr="605EB176">
              <w:rPr>
                <w:noProof/>
              </w:rPr>
              <w:t>employee financial participation</w:t>
            </w:r>
            <w:r w:rsidR="002503BC" w:rsidRPr="605EB176">
              <w:rPr>
                <w:noProof/>
              </w:rPr>
              <w:t xml:space="preserve"> </w:t>
            </w:r>
            <w:r w:rsidR="002A2D33" w:rsidRPr="605EB176">
              <w:rPr>
                <w:noProof/>
              </w:rPr>
              <w:t>highlight</w:t>
            </w:r>
            <w:r w:rsidR="002503BC" w:rsidRPr="605EB176">
              <w:rPr>
                <w:noProof/>
              </w:rPr>
              <w:t xml:space="preserve"> the importance of </w:t>
            </w:r>
            <w:r w:rsidR="00E91289" w:rsidRPr="605EB176">
              <w:rPr>
                <w:noProof/>
              </w:rPr>
              <w:t>this topic.</w:t>
            </w:r>
            <w:r w:rsidR="002503BC" w:rsidRPr="605EB176">
              <w:rPr>
                <w:noProof/>
              </w:rPr>
              <w:t xml:space="preserve"> </w:t>
            </w:r>
            <w:r w:rsidR="004C2028" w:rsidRPr="605EB176">
              <w:rPr>
                <w:noProof/>
              </w:rPr>
              <w:t>Policy</w:t>
            </w:r>
            <w:r w:rsidR="000570A5" w:rsidRPr="605EB176">
              <w:rPr>
                <w:noProof/>
              </w:rPr>
              <w:t xml:space="preserve"> options </w:t>
            </w:r>
            <w:r w:rsidR="004C2028" w:rsidRPr="605EB176">
              <w:rPr>
                <w:noProof/>
              </w:rPr>
              <w:t>5</w:t>
            </w:r>
            <w:r w:rsidR="00A06C9C" w:rsidRPr="605EB176">
              <w:rPr>
                <w:noProof/>
              </w:rPr>
              <w:t xml:space="preserve"> </w:t>
            </w:r>
            <w:r w:rsidR="0009470F" w:rsidRPr="605EB176">
              <w:rPr>
                <w:noProof/>
              </w:rPr>
              <w:t xml:space="preserve">all contribute to increased employee financial participation, with </w:t>
            </w:r>
            <w:r w:rsidR="006E293A" w:rsidRPr="605EB176">
              <w:rPr>
                <w:noProof/>
              </w:rPr>
              <w:t xml:space="preserve">option 5c providing the most attractive framework for companies, investors and </w:t>
            </w:r>
            <w:r w:rsidR="001F394B" w:rsidRPr="605EB176">
              <w:rPr>
                <w:noProof/>
              </w:rPr>
              <w:t>employees.</w:t>
            </w:r>
            <w:r w:rsidR="00A06C9C" w:rsidRPr="605EB176">
              <w:rPr>
                <w:noProof/>
              </w:rPr>
              <w:t xml:space="preserve"> </w:t>
            </w:r>
            <w:r w:rsidR="001D6F66" w:rsidRPr="605EB176">
              <w:rPr>
                <w:noProof/>
              </w:rPr>
              <w:t>All three</w:t>
            </w:r>
            <w:r w:rsidR="002503BC" w:rsidRPr="605EB176">
              <w:rPr>
                <w:noProof/>
              </w:rPr>
              <w:t xml:space="preserve"> </w:t>
            </w:r>
            <w:r w:rsidR="000570A5" w:rsidRPr="605EB176">
              <w:rPr>
                <w:noProof/>
              </w:rPr>
              <w:t>policy</w:t>
            </w:r>
            <w:r w:rsidR="00731376" w:rsidRPr="605EB176">
              <w:rPr>
                <w:noProof/>
              </w:rPr>
              <w:t xml:space="preserve"> options </w:t>
            </w:r>
            <w:r w:rsidR="007A18EE" w:rsidRPr="605EB176">
              <w:rPr>
                <w:noProof/>
              </w:rPr>
              <w:t>also</w:t>
            </w:r>
            <w:r w:rsidR="00731376" w:rsidRPr="605EB176">
              <w:rPr>
                <w:noProof/>
              </w:rPr>
              <w:t xml:space="preserve"> </w:t>
            </w:r>
            <w:r w:rsidR="00F120B3" w:rsidRPr="605EB176">
              <w:rPr>
                <w:noProof/>
              </w:rPr>
              <w:t xml:space="preserve">contribute to </w:t>
            </w:r>
            <w:r w:rsidR="00DC0688" w:rsidRPr="605EB176">
              <w:rPr>
                <w:noProof/>
              </w:rPr>
              <w:t xml:space="preserve">one of </w:t>
            </w:r>
            <w:r w:rsidR="00F120B3" w:rsidRPr="605EB176">
              <w:rPr>
                <w:noProof/>
              </w:rPr>
              <w:t xml:space="preserve">the objectives of the </w:t>
            </w:r>
            <w:r w:rsidR="2B044C1B" w:rsidRPr="605EB176">
              <w:rPr>
                <w:noProof/>
              </w:rPr>
              <w:t>S</w:t>
            </w:r>
            <w:r w:rsidR="5BD51955" w:rsidRPr="605EB176">
              <w:rPr>
                <w:noProof/>
              </w:rPr>
              <w:t>tartup</w:t>
            </w:r>
            <w:r w:rsidR="002203C1" w:rsidRPr="605EB176">
              <w:rPr>
                <w:noProof/>
              </w:rPr>
              <w:t xml:space="preserve"> and </w:t>
            </w:r>
            <w:r w:rsidR="2B044C1B" w:rsidRPr="2A191B55">
              <w:rPr>
                <w:noProof/>
              </w:rPr>
              <w:t>s</w:t>
            </w:r>
            <w:r w:rsidR="1B105349" w:rsidRPr="2A191B55">
              <w:rPr>
                <w:noProof/>
              </w:rPr>
              <w:t>caleup</w:t>
            </w:r>
            <w:r w:rsidR="002203C1" w:rsidRPr="605EB176">
              <w:rPr>
                <w:noProof/>
              </w:rPr>
              <w:t xml:space="preserve"> Strategy</w:t>
            </w:r>
            <w:r w:rsidR="00DC0688" w:rsidRPr="605EB176">
              <w:rPr>
                <w:noProof/>
              </w:rPr>
              <w:t xml:space="preserve"> to support the attraction and retention of highly skilled and diverse talent from within the EU and from non-EU countries</w:t>
            </w:r>
            <w:r w:rsidR="001C6CE2" w:rsidRPr="605EB176">
              <w:rPr>
                <w:noProof/>
              </w:rPr>
              <w:t xml:space="preserve">, in particular through </w:t>
            </w:r>
            <w:r w:rsidR="007F3476" w:rsidRPr="605EB176">
              <w:rPr>
                <w:noProof/>
              </w:rPr>
              <w:t xml:space="preserve">legislative measures to harmonise certain aspects of </w:t>
            </w:r>
            <w:r w:rsidR="00BF6600" w:rsidRPr="605EB176">
              <w:rPr>
                <w:noProof/>
              </w:rPr>
              <w:t>the treatment of employee stock options for startups</w:t>
            </w:r>
            <w:r w:rsidR="00BF6600" w:rsidRPr="605EB176">
              <w:rPr>
                <w:noProof/>
                <w:u w:val="single"/>
              </w:rPr>
              <w:t>.</w:t>
            </w:r>
          </w:p>
        </w:tc>
      </w:tr>
    </w:tbl>
    <w:p w14:paraId="0A8986A4" w14:textId="49E7AD60" w:rsidR="00EC71E4" w:rsidRPr="009705F3" w:rsidRDefault="00EC71E4" w:rsidP="00EC71E4">
      <w:pPr>
        <w:pStyle w:val="Heading2"/>
        <w:numPr>
          <w:ilvl w:val="0"/>
          <w:numId w:val="0"/>
        </w:numPr>
        <w:ind w:left="680"/>
        <w:rPr>
          <w:rFonts w:eastAsia="Courier New"/>
          <w:i/>
          <w:iCs/>
          <w:noProof/>
          <w:u w:val="single"/>
        </w:rPr>
      </w:pPr>
      <w:r w:rsidRPr="00A0575B">
        <w:rPr>
          <w:rFonts w:eastAsia="Courier New"/>
          <w:noProof/>
          <w:szCs w:val="24"/>
          <w:u w:val="single"/>
        </w:rPr>
        <w:t xml:space="preserve">Policy options </w:t>
      </w:r>
      <w:r>
        <w:rPr>
          <w:rFonts w:eastAsia="Courier New"/>
          <w:noProof/>
          <w:szCs w:val="24"/>
          <w:u w:val="single"/>
        </w:rPr>
        <w:t>6</w:t>
      </w:r>
      <w:r w:rsidR="00A75B78" w:rsidRPr="00A75B78">
        <w:rPr>
          <w:noProof/>
          <w:u w:val="single"/>
        </w:rPr>
        <w:t xml:space="preserve"> </w:t>
      </w:r>
      <w:r w:rsidR="00A75B78" w:rsidRPr="00A75B78">
        <w:rPr>
          <w:rFonts w:eastAsia="Courier New"/>
          <w:noProof/>
          <w:szCs w:val="24"/>
          <w:u w:val="single"/>
        </w:rPr>
        <w:t>to provide a flexible governance and capital regime for founders and investors</w:t>
      </w:r>
    </w:p>
    <w:p w14:paraId="688E5EB7" w14:textId="18B6283D" w:rsidR="003D3222" w:rsidRDefault="003D3222" w:rsidP="00C4288E">
      <w:pPr>
        <w:pStyle w:val="ListParagraph"/>
        <w:numPr>
          <w:ilvl w:val="0"/>
          <w:numId w:val="15"/>
        </w:numPr>
        <w:tabs>
          <w:tab w:val="left" w:pos="170"/>
        </w:tabs>
        <w:jc w:val="both"/>
        <w:rPr>
          <w:noProof/>
        </w:rPr>
      </w:pPr>
      <w:r>
        <w:rPr>
          <w:noProof/>
        </w:rPr>
        <w:t xml:space="preserve">Policy option 6a - </w:t>
      </w:r>
      <w:r w:rsidR="007B1BC9">
        <w:rPr>
          <w:noProof/>
        </w:rPr>
        <w:t>Create a flexible governance system, provide simple and fully digital procedures for increasing capital and issuing shares and enable the use of modern early-stage financing instruments like SAFEs</w:t>
      </w:r>
      <w:r w:rsidR="007B1BC9" w:rsidRPr="004C599B">
        <w:rPr>
          <w:noProof/>
        </w:rPr>
        <w:t>.</w:t>
      </w:r>
    </w:p>
    <w:p w14:paraId="38D481F9" w14:textId="1CC05544" w:rsidR="003D3222" w:rsidRDefault="003D3222" w:rsidP="00C4288E">
      <w:pPr>
        <w:pStyle w:val="ListParagraph"/>
        <w:numPr>
          <w:ilvl w:val="0"/>
          <w:numId w:val="15"/>
        </w:numPr>
        <w:tabs>
          <w:tab w:val="left" w:pos="170"/>
        </w:tabs>
        <w:jc w:val="both"/>
        <w:rPr>
          <w:noProof/>
        </w:rPr>
      </w:pPr>
      <w:r>
        <w:rPr>
          <w:noProof/>
        </w:rPr>
        <w:t xml:space="preserve">Policy option 6b - Option 6a + </w:t>
      </w:r>
      <w:r w:rsidR="001C40EB">
        <w:rPr>
          <w:noProof/>
        </w:rPr>
        <w:t xml:space="preserve">0 or </w:t>
      </w:r>
      <w:r w:rsidR="1B508EBC">
        <w:rPr>
          <w:noProof/>
        </w:rPr>
        <w:t xml:space="preserve">EUR </w:t>
      </w:r>
      <w:r w:rsidR="00301240">
        <w:rPr>
          <w:noProof/>
        </w:rPr>
        <w:t xml:space="preserve">1 </w:t>
      </w:r>
      <w:r>
        <w:rPr>
          <w:noProof/>
        </w:rPr>
        <w:t xml:space="preserve">minimum </w:t>
      </w:r>
      <w:r w:rsidR="00301240">
        <w:rPr>
          <w:noProof/>
        </w:rPr>
        <w:t>capital but no</w:t>
      </w:r>
      <w:r>
        <w:rPr>
          <w:noProof/>
        </w:rPr>
        <w:t xml:space="preserve"> paid-in share capital for incorporation of 28</w:t>
      </w:r>
      <w:r w:rsidRPr="002B6F96">
        <w:rPr>
          <w:noProof/>
        </w:rPr>
        <w:t>th</w:t>
      </w:r>
      <w:r>
        <w:rPr>
          <w:noProof/>
        </w:rPr>
        <w:t xml:space="preserve"> regime companies and harmonised creditor </w:t>
      </w:r>
      <w:r w:rsidR="00BB6935">
        <w:rPr>
          <w:noProof/>
        </w:rPr>
        <w:t xml:space="preserve">protection </w:t>
      </w:r>
      <w:r>
        <w:rPr>
          <w:noProof/>
        </w:rPr>
        <w:t>safeguards in addition to capital maintenance rules.</w:t>
      </w:r>
    </w:p>
    <w:p w14:paraId="4B8B1216" w14:textId="383FE2B5" w:rsidR="003D3222" w:rsidRDefault="003D3222" w:rsidP="00C4288E">
      <w:pPr>
        <w:pStyle w:val="ListParagraph"/>
        <w:numPr>
          <w:ilvl w:val="0"/>
          <w:numId w:val="15"/>
        </w:numPr>
        <w:tabs>
          <w:tab w:val="left" w:pos="170"/>
        </w:tabs>
        <w:spacing w:before="0" w:after="0"/>
        <w:jc w:val="both"/>
        <w:rPr>
          <w:noProof/>
        </w:rPr>
      </w:pPr>
      <w:r>
        <w:rPr>
          <w:noProof/>
        </w:rPr>
        <w:t>Policy option 6c - O</w:t>
      </w:r>
      <w:r w:rsidRPr="004C599B">
        <w:rPr>
          <w:noProof/>
        </w:rPr>
        <w:t xml:space="preserve">ption </w:t>
      </w:r>
      <w:r>
        <w:rPr>
          <w:noProof/>
        </w:rPr>
        <w:t>6</w:t>
      </w:r>
      <w:r w:rsidRPr="004C599B">
        <w:rPr>
          <w:noProof/>
        </w:rPr>
        <w:t xml:space="preserve">b </w:t>
      </w:r>
      <w:r>
        <w:rPr>
          <w:noProof/>
        </w:rPr>
        <w:t>+</w:t>
      </w:r>
      <w:r w:rsidRPr="004C599B">
        <w:rPr>
          <w:noProof/>
        </w:rPr>
        <w:t xml:space="preserve"> </w:t>
      </w:r>
      <w:r>
        <w:rPr>
          <w:noProof/>
        </w:rPr>
        <w:t xml:space="preserve">common minimum share capital of EUR </w:t>
      </w:r>
      <w:r w:rsidR="00496501">
        <w:rPr>
          <w:noProof/>
        </w:rPr>
        <w:t>5</w:t>
      </w:r>
      <w:r w:rsidR="00F15843">
        <w:rPr>
          <w:noProof/>
        </w:rPr>
        <w:t> </w:t>
      </w:r>
      <w:r w:rsidR="00496501">
        <w:rPr>
          <w:noProof/>
        </w:rPr>
        <w:t>0</w:t>
      </w:r>
      <w:r>
        <w:rPr>
          <w:noProof/>
        </w:rPr>
        <w:t>00 for incorporation of 28</w:t>
      </w:r>
      <w:r w:rsidRPr="0077266A">
        <w:rPr>
          <w:noProof/>
        </w:rPr>
        <w:t>th</w:t>
      </w:r>
      <w:r>
        <w:rPr>
          <w:noProof/>
        </w:rPr>
        <w:t xml:space="preserve"> regime companies </w:t>
      </w:r>
      <w:r w:rsidR="00F731B3">
        <w:rPr>
          <w:noProof/>
        </w:rPr>
        <w:t xml:space="preserve">with </w:t>
      </w:r>
      <w:r>
        <w:rPr>
          <w:noProof/>
        </w:rPr>
        <w:t xml:space="preserve">harmonised creditor </w:t>
      </w:r>
      <w:r w:rsidR="00BB6935">
        <w:rPr>
          <w:noProof/>
        </w:rPr>
        <w:t xml:space="preserve">protection </w:t>
      </w:r>
      <w:r>
        <w:rPr>
          <w:noProof/>
        </w:rPr>
        <w:t>safeguards based primarily on capital maintenance.</w:t>
      </w:r>
    </w:p>
    <w:p w14:paraId="1168ED11" w14:textId="77777777" w:rsidR="003D3222" w:rsidRDefault="003D3222" w:rsidP="003D3222">
      <w:pPr>
        <w:tabs>
          <w:tab w:val="left" w:pos="170"/>
        </w:tabs>
        <w:spacing w:before="0" w:after="0"/>
        <w:jc w:val="both"/>
        <w:rPr>
          <w:noProof/>
        </w:rPr>
      </w:pPr>
    </w:p>
    <w:tbl>
      <w:tblPr>
        <w:tblStyle w:val="TableGrid"/>
        <w:tblW w:w="9889" w:type="dxa"/>
        <w:tblLook w:val="04A0" w:firstRow="1" w:lastRow="0" w:firstColumn="1" w:lastColumn="0" w:noHBand="0" w:noVBand="1"/>
      </w:tblPr>
      <w:tblGrid>
        <w:gridCol w:w="1767"/>
        <w:gridCol w:w="842"/>
        <w:gridCol w:w="848"/>
        <w:gridCol w:w="845"/>
        <w:gridCol w:w="5587"/>
      </w:tblGrid>
      <w:tr w:rsidR="00E25036" w:rsidRPr="00566C3C" w14:paraId="0B7E559A" w14:textId="77777777">
        <w:tc>
          <w:tcPr>
            <w:tcW w:w="1418" w:type="dxa"/>
            <w:shd w:val="clear" w:color="auto" w:fill="95B3D7" w:themeFill="accent1" w:themeFillTint="99"/>
          </w:tcPr>
          <w:p w14:paraId="75CDBE8C" w14:textId="77777777" w:rsidR="00EC71E4" w:rsidRPr="005A23B4" w:rsidRDefault="00EC71E4">
            <w:pPr>
              <w:rPr>
                <w:rFonts w:cstheme="minorHAnsi"/>
                <w:b/>
                <w:noProof/>
                <w:szCs w:val="20"/>
              </w:rPr>
            </w:pPr>
            <w:r w:rsidRPr="005A23B4">
              <w:rPr>
                <w:rFonts w:cstheme="minorHAnsi"/>
                <w:b/>
                <w:noProof/>
                <w:szCs w:val="20"/>
              </w:rPr>
              <w:t>Unit of measurement</w:t>
            </w:r>
          </w:p>
        </w:tc>
        <w:tc>
          <w:tcPr>
            <w:tcW w:w="845" w:type="dxa"/>
            <w:shd w:val="clear" w:color="auto" w:fill="95B3D7" w:themeFill="accent1" w:themeFillTint="99"/>
          </w:tcPr>
          <w:p w14:paraId="71140062" w14:textId="1B99E3A0"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6</w:t>
            </w:r>
            <w:r w:rsidRPr="005A23B4">
              <w:rPr>
                <w:rFonts w:cstheme="minorHAnsi"/>
                <w:b/>
                <w:noProof/>
                <w:szCs w:val="20"/>
              </w:rPr>
              <w:t>a</w:t>
            </w:r>
          </w:p>
          <w:p w14:paraId="275FB5CD" w14:textId="77777777" w:rsidR="00EC71E4" w:rsidRPr="005A23B4" w:rsidRDefault="00EC71E4">
            <w:pPr>
              <w:rPr>
                <w:rFonts w:cstheme="minorHAnsi"/>
                <w:b/>
                <w:noProof/>
                <w:szCs w:val="20"/>
              </w:rPr>
            </w:pPr>
          </w:p>
        </w:tc>
        <w:tc>
          <w:tcPr>
            <w:tcW w:w="851" w:type="dxa"/>
            <w:shd w:val="clear" w:color="auto" w:fill="95B3D7" w:themeFill="accent1" w:themeFillTint="99"/>
          </w:tcPr>
          <w:p w14:paraId="1DCE393D" w14:textId="12774C9D"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6</w:t>
            </w:r>
            <w:r w:rsidRPr="005A23B4">
              <w:rPr>
                <w:rFonts w:cstheme="minorHAnsi"/>
                <w:b/>
                <w:noProof/>
                <w:szCs w:val="20"/>
              </w:rPr>
              <w:t>b</w:t>
            </w:r>
          </w:p>
        </w:tc>
        <w:tc>
          <w:tcPr>
            <w:tcW w:w="850" w:type="dxa"/>
            <w:shd w:val="clear" w:color="auto" w:fill="95B3D7" w:themeFill="accent1" w:themeFillTint="99"/>
          </w:tcPr>
          <w:p w14:paraId="0B76A2BE" w14:textId="222D08EA"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6</w:t>
            </w:r>
            <w:r w:rsidRPr="005A23B4">
              <w:rPr>
                <w:rFonts w:cstheme="minorHAnsi"/>
                <w:b/>
                <w:noProof/>
                <w:szCs w:val="20"/>
              </w:rPr>
              <w:t>c</w:t>
            </w:r>
          </w:p>
        </w:tc>
        <w:tc>
          <w:tcPr>
            <w:tcW w:w="5925" w:type="dxa"/>
            <w:shd w:val="clear" w:color="auto" w:fill="95B3D7" w:themeFill="accent1" w:themeFillTint="99"/>
          </w:tcPr>
          <w:p w14:paraId="614E14BC" w14:textId="4F9C2734" w:rsidR="00EC71E4" w:rsidRPr="005A23B4" w:rsidRDefault="00EC71E4">
            <w:pPr>
              <w:rPr>
                <w:rFonts w:cstheme="minorHAnsi"/>
                <w:b/>
                <w:noProof/>
                <w:szCs w:val="20"/>
              </w:rPr>
            </w:pPr>
            <w:r w:rsidRPr="005A23B4">
              <w:rPr>
                <w:rFonts w:cstheme="minorHAnsi"/>
                <w:b/>
                <w:noProof/>
                <w:szCs w:val="20"/>
              </w:rPr>
              <w:t>Motivation</w:t>
            </w:r>
          </w:p>
        </w:tc>
      </w:tr>
      <w:tr w:rsidR="00EC71E4" w:rsidRPr="00566C3C" w14:paraId="3E9E229B" w14:textId="77777777">
        <w:tc>
          <w:tcPr>
            <w:tcW w:w="1418" w:type="dxa"/>
          </w:tcPr>
          <w:p w14:paraId="08A6BE9B" w14:textId="77777777" w:rsidR="00EC71E4" w:rsidRPr="005A23B4" w:rsidRDefault="00EC71E4">
            <w:pPr>
              <w:rPr>
                <w:rFonts w:cstheme="minorHAnsi"/>
                <w:b/>
                <w:noProof/>
                <w:szCs w:val="20"/>
              </w:rPr>
            </w:pPr>
            <w:r w:rsidRPr="005A23B4">
              <w:rPr>
                <w:rFonts w:cstheme="minorHAnsi"/>
                <w:noProof/>
                <w:szCs w:val="20"/>
              </w:rPr>
              <w:t xml:space="preserve">Score 1-5 </w:t>
            </w:r>
          </w:p>
        </w:tc>
        <w:tc>
          <w:tcPr>
            <w:tcW w:w="845" w:type="dxa"/>
          </w:tcPr>
          <w:p w14:paraId="7FEAE29F" w14:textId="161AD927" w:rsidR="00EC71E4" w:rsidRPr="00BB6935" w:rsidRDefault="005F4E7B" w:rsidP="00BB6935">
            <w:pPr>
              <w:jc w:val="center"/>
              <w:rPr>
                <w:rFonts w:cstheme="minorHAnsi"/>
                <w:noProof/>
                <w:szCs w:val="20"/>
              </w:rPr>
            </w:pPr>
            <w:r w:rsidRPr="00BB6935">
              <w:rPr>
                <w:rFonts w:cstheme="minorHAnsi"/>
                <w:noProof/>
                <w:szCs w:val="20"/>
              </w:rPr>
              <w:t>3</w:t>
            </w:r>
          </w:p>
        </w:tc>
        <w:tc>
          <w:tcPr>
            <w:tcW w:w="851" w:type="dxa"/>
          </w:tcPr>
          <w:p w14:paraId="7104F54E" w14:textId="4675A91B" w:rsidR="00EC71E4" w:rsidRPr="00BB6935" w:rsidRDefault="00B44485" w:rsidP="00BB6935">
            <w:pPr>
              <w:jc w:val="center"/>
              <w:rPr>
                <w:rFonts w:cstheme="minorHAnsi"/>
                <w:noProof/>
                <w:szCs w:val="20"/>
              </w:rPr>
            </w:pPr>
            <w:r>
              <w:rPr>
                <w:rFonts w:cstheme="minorHAnsi"/>
                <w:noProof/>
                <w:szCs w:val="20"/>
              </w:rPr>
              <w:t>4</w:t>
            </w:r>
          </w:p>
        </w:tc>
        <w:tc>
          <w:tcPr>
            <w:tcW w:w="850" w:type="dxa"/>
          </w:tcPr>
          <w:p w14:paraId="6643A1CD" w14:textId="0A2C1671" w:rsidR="00EC71E4" w:rsidRPr="00BB6935" w:rsidRDefault="005F4E7B" w:rsidP="00BB6935">
            <w:pPr>
              <w:jc w:val="center"/>
              <w:rPr>
                <w:rFonts w:cstheme="minorHAnsi"/>
                <w:noProof/>
                <w:szCs w:val="20"/>
              </w:rPr>
            </w:pPr>
            <w:r w:rsidRPr="00BB6935">
              <w:rPr>
                <w:rFonts w:cstheme="minorHAnsi"/>
                <w:noProof/>
                <w:szCs w:val="20"/>
              </w:rPr>
              <w:t>3</w:t>
            </w:r>
          </w:p>
        </w:tc>
        <w:tc>
          <w:tcPr>
            <w:tcW w:w="5925" w:type="dxa"/>
          </w:tcPr>
          <w:p w14:paraId="0BBE096C" w14:textId="065F1EBC" w:rsidR="00B12AD9" w:rsidRPr="00B12AD9" w:rsidRDefault="00EC71E4" w:rsidP="009E1395">
            <w:pPr>
              <w:jc w:val="both"/>
              <w:rPr>
                <w:noProof/>
              </w:rPr>
            </w:pPr>
            <w:r w:rsidRPr="605EB176">
              <w:rPr>
                <w:noProof/>
                <w:u w:val="single"/>
              </w:rPr>
              <w:t>Internal coherence</w:t>
            </w:r>
            <w:r w:rsidRPr="605EB176">
              <w:rPr>
                <w:noProof/>
              </w:rPr>
              <w:t xml:space="preserve">: </w:t>
            </w:r>
            <w:r w:rsidR="00B12AD9" w:rsidRPr="605EB176">
              <w:rPr>
                <w:noProof/>
              </w:rPr>
              <w:t>Policy Options 6a, 6b and 6c are internally coherent.</w:t>
            </w:r>
            <w:r w:rsidR="00A64479" w:rsidRPr="605EB176">
              <w:rPr>
                <w:noProof/>
              </w:rPr>
              <w:t xml:space="preserve"> </w:t>
            </w:r>
            <w:r w:rsidR="00E12DE2" w:rsidRPr="605EB176">
              <w:rPr>
                <w:noProof/>
              </w:rPr>
              <w:t>Measures under PO6a to facili</w:t>
            </w:r>
            <w:r w:rsidR="00C3672F" w:rsidRPr="605EB176">
              <w:rPr>
                <w:noProof/>
              </w:rPr>
              <w:t>t</w:t>
            </w:r>
            <w:r w:rsidR="00E12DE2" w:rsidRPr="605EB176">
              <w:rPr>
                <w:noProof/>
              </w:rPr>
              <w:t>ate capital increases help companies provide shares for employees participating in ESOPs, thereby supporting policy options 5. These measures are also mutually reinforcing with PO7 in terms of making it easier for 28</w:t>
            </w:r>
            <w:r w:rsidR="00E12DE2" w:rsidRPr="605EB176">
              <w:rPr>
                <w:noProof/>
                <w:vertAlign w:val="superscript"/>
              </w:rPr>
              <w:t>th</w:t>
            </w:r>
            <w:r w:rsidR="00E12DE2" w:rsidRPr="605EB176">
              <w:rPr>
                <w:noProof/>
              </w:rPr>
              <w:t xml:space="preserve"> regime companies to raise financing.</w:t>
            </w:r>
            <w:r w:rsidR="00E22367" w:rsidRPr="605EB176">
              <w:rPr>
                <w:noProof/>
              </w:rPr>
              <w:t xml:space="preserve"> Furthermore,</w:t>
            </w:r>
            <w:r w:rsidR="007E3183" w:rsidRPr="605EB176" w:rsidDel="00E22367">
              <w:rPr>
                <w:noProof/>
              </w:rPr>
              <w:t xml:space="preserve"> </w:t>
            </w:r>
            <w:r w:rsidR="007E3183" w:rsidRPr="605EB176">
              <w:rPr>
                <w:noProof/>
              </w:rPr>
              <w:t>policy options</w:t>
            </w:r>
            <w:r w:rsidR="00AF1FC5" w:rsidRPr="605EB176">
              <w:rPr>
                <w:noProof/>
              </w:rPr>
              <w:t xml:space="preserve"> 6b and 6c</w:t>
            </w:r>
            <w:r w:rsidR="007E3183" w:rsidRPr="605EB176">
              <w:rPr>
                <w:noProof/>
              </w:rPr>
              <w:t xml:space="preserve"> </w:t>
            </w:r>
            <w:r w:rsidR="00E22367" w:rsidRPr="605EB176">
              <w:rPr>
                <w:noProof/>
              </w:rPr>
              <w:t>a</w:t>
            </w:r>
            <w:r w:rsidR="007E3183" w:rsidRPr="605EB176">
              <w:rPr>
                <w:noProof/>
              </w:rPr>
              <w:t>re coherent with PO</w:t>
            </w:r>
            <w:r w:rsidR="009D779B" w:rsidRPr="605EB176">
              <w:rPr>
                <w:noProof/>
              </w:rPr>
              <w:t xml:space="preserve">2 by </w:t>
            </w:r>
            <w:r w:rsidR="007D5CCA" w:rsidRPr="605EB176">
              <w:rPr>
                <w:noProof/>
              </w:rPr>
              <w:t>contributing to making the setting up of 28</w:t>
            </w:r>
            <w:r w:rsidR="007D5CCA" w:rsidRPr="605EB176">
              <w:rPr>
                <w:noProof/>
                <w:vertAlign w:val="superscript"/>
              </w:rPr>
              <w:t>th</w:t>
            </w:r>
            <w:r w:rsidR="007D5CCA" w:rsidRPr="605EB176">
              <w:rPr>
                <w:noProof/>
              </w:rPr>
              <w:t xml:space="preserve"> regime companies simp</w:t>
            </w:r>
            <w:r w:rsidR="00CE7D9A" w:rsidRPr="605EB176">
              <w:rPr>
                <w:noProof/>
              </w:rPr>
              <w:t>l</w:t>
            </w:r>
            <w:r w:rsidR="007D5CCA" w:rsidRPr="605EB176">
              <w:rPr>
                <w:noProof/>
              </w:rPr>
              <w:t xml:space="preserve">er and quicker through </w:t>
            </w:r>
            <w:r w:rsidR="00663454" w:rsidRPr="605EB176">
              <w:rPr>
                <w:noProof/>
              </w:rPr>
              <w:t xml:space="preserve">a minimum capital requirement adapted to </w:t>
            </w:r>
            <w:r w:rsidR="0056559E" w:rsidRPr="605EB176">
              <w:rPr>
                <w:noProof/>
              </w:rPr>
              <w:t>s</w:t>
            </w:r>
            <w:r w:rsidR="5BD51955" w:rsidRPr="605EB176">
              <w:rPr>
                <w:noProof/>
              </w:rPr>
              <w:t>tartup</w:t>
            </w:r>
            <w:r w:rsidR="0056559E" w:rsidRPr="605EB176">
              <w:rPr>
                <w:noProof/>
              </w:rPr>
              <w:t>s</w:t>
            </w:r>
            <w:r w:rsidR="00345F5B" w:rsidRPr="605EB176">
              <w:rPr>
                <w:noProof/>
              </w:rPr>
              <w:t>, with PO</w:t>
            </w:r>
            <w:r w:rsidR="0088613B" w:rsidRPr="605EB176">
              <w:rPr>
                <w:noProof/>
              </w:rPr>
              <w:t>6b not requiring any paid-in capital for incorporation</w:t>
            </w:r>
            <w:r w:rsidR="005E34A7" w:rsidRPr="605EB176">
              <w:rPr>
                <w:noProof/>
              </w:rPr>
              <w:t xml:space="preserve"> and</w:t>
            </w:r>
            <w:r w:rsidR="00EC639A" w:rsidRPr="605EB176">
              <w:rPr>
                <w:noProof/>
              </w:rPr>
              <w:t xml:space="preserve"> thus</w:t>
            </w:r>
            <w:r w:rsidR="00865D18" w:rsidRPr="605EB176">
              <w:rPr>
                <w:noProof/>
              </w:rPr>
              <w:t xml:space="preserve"> </w:t>
            </w:r>
            <w:r w:rsidR="00D556F9" w:rsidRPr="605EB176">
              <w:rPr>
                <w:noProof/>
              </w:rPr>
              <w:t>removing the necessity</w:t>
            </w:r>
            <w:r w:rsidR="00663454" w:rsidRPr="605EB176">
              <w:rPr>
                <w:noProof/>
              </w:rPr>
              <w:t xml:space="preserve"> </w:t>
            </w:r>
            <w:r w:rsidR="00D556F9" w:rsidRPr="605EB176">
              <w:rPr>
                <w:noProof/>
              </w:rPr>
              <w:t>to open</w:t>
            </w:r>
            <w:r w:rsidR="00663454" w:rsidRPr="605EB176">
              <w:rPr>
                <w:noProof/>
              </w:rPr>
              <w:t xml:space="preserve"> a bank account before registration</w:t>
            </w:r>
            <w:r w:rsidR="00880BCF" w:rsidRPr="605EB176">
              <w:rPr>
                <w:noProof/>
              </w:rPr>
              <w:t xml:space="preserve">. PO6b </w:t>
            </w:r>
            <w:r w:rsidR="00D556F9" w:rsidRPr="605EB176">
              <w:rPr>
                <w:noProof/>
              </w:rPr>
              <w:t xml:space="preserve">therefore </w:t>
            </w:r>
            <w:r w:rsidR="00880BCF" w:rsidRPr="605EB176">
              <w:rPr>
                <w:noProof/>
              </w:rPr>
              <w:t>scores</w:t>
            </w:r>
            <w:r w:rsidR="00D556F9" w:rsidRPr="605EB176">
              <w:rPr>
                <w:noProof/>
              </w:rPr>
              <w:t xml:space="preserve"> highest in terms of coherence</w:t>
            </w:r>
            <w:r w:rsidR="000B01C4" w:rsidRPr="605EB176">
              <w:rPr>
                <w:noProof/>
              </w:rPr>
              <w:t>.</w:t>
            </w:r>
          </w:p>
          <w:p w14:paraId="4D43D70E" w14:textId="78F3D533" w:rsidR="00EC71E4" w:rsidRPr="005A23B4" w:rsidRDefault="00B12AD9" w:rsidP="0009311A">
            <w:pPr>
              <w:jc w:val="both"/>
              <w:rPr>
                <w:noProof/>
                <w:u w:val="single"/>
              </w:rPr>
            </w:pPr>
            <w:r w:rsidRPr="605EB176">
              <w:rPr>
                <w:noProof/>
                <w:u w:val="single"/>
              </w:rPr>
              <w:t>External coherence</w:t>
            </w:r>
            <w:r w:rsidR="00387B9D" w:rsidRPr="605EB176">
              <w:rPr>
                <w:noProof/>
              </w:rPr>
              <w:t>:</w:t>
            </w:r>
            <w:r w:rsidRPr="605EB176">
              <w:rPr>
                <w:noProof/>
              </w:rPr>
              <w:t xml:space="preserve"> PO6a aligns with EU efforts to promote digital</w:t>
            </w:r>
            <w:r w:rsidR="00206180" w:rsidRPr="605EB176">
              <w:rPr>
                <w:noProof/>
              </w:rPr>
              <w:t xml:space="preserve"> </w:t>
            </w:r>
            <w:r w:rsidRPr="605EB176">
              <w:rPr>
                <w:noProof/>
              </w:rPr>
              <w:t xml:space="preserve">procedures and reduce administrative formalities </w:t>
            </w:r>
            <w:r w:rsidR="001957DF" w:rsidRPr="605EB176">
              <w:rPr>
                <w:noProof/>
              </w:rPr>
              <w:t>as followed in the recent developments of EU company law, especially through the Digitalisation and the Upgrading digital company law Directives</w:t>
            </w:r>
            <w:r w:rsidRPr="605EB176">
              <w:rPr>
                <w:noProof/>
              </w:rPr>
              <w:t xml:space="preserve">. </w:t>
            </w:r>
            <w:r w:rsidR="00CD2079" w:rsidRPr="605EB176">
              <w:rPr>
                <w:noProof/>
              </w:rPr>
              <w:t>It</w:t>
            </w:r>
            <w:r w:rsidR="00AE28F6" w:rsidRPr="605EB176">
              <w:rPr>
                <w:noProof/>
              </w:rPr>
              <w:t>s simpl</w:t>
            </w:r>
            <w:r w:rsidR="00BB7C82" w:rsidRPr="605EB176">
              <w:rPr>
                <w:noProof/>
              </w:rPr>
              <w:t xml:space="preserve">e procedures for increasing capital and </w:t>
            </w:r>
            <w:r w:rsidR="002D6762" w:rsidRPr="605EB176">
              <w:rPr>
                <w:noProof/>
              </w:rPr>
              <w:t>issuing shares</w:t>
            </w:r>
            <w:r w:rsidR="00CD2079" w:rsidRPr="605EB176">
              <w:rPr>
                <w:noProof/>
              </w:rPr>
              <w:t xml:space="preserve"> also facilitate investment in </w:t>
            </w:r>
            <w:r w:rsidR="00433E71" w:rsidRPr="605EB176">
              <w:rPr>
                <w:noProof/>
              </w:rPr>
              <w:t>EU companies</w:t>
            </w:r>
            <w:r w:rsidR="00890267" w:rsidRPr="605EB176">
              <w:rPr>
                <w:noProof/>
              </w:rPr>
              <w:t xml:space="preserve">, thereby </w:t>
            </w:r>
            <w:r w:rsidR="003D171F" w:rsidRPr="605EB176">
              <w:rPr>
                <w:noProof/>
              </w:rPr>
              <w:t xml:space="preserve">contributing to </w:t>
            </w:r>
            <w:r w:rsidR="0078448B" w:rsidRPr="605EB176">
              <w:rPr>
                <w:noProof/>
              </w:rPr>
              <w:t xml:space="preserve">a better connection </w:t>
            </w:r>
            <w:r w:rsidR="00CD1E82" w:rsidRPr="605EB176">
              <w:rPr>
                <w:noProof/>
              </w:rPr>
              <w:t xml:space="preserve">between savings and productive investments as </w:t>
            </w:r>
            <w:r w:rsidR="000E08E8" w:rsidRPr="605EB176">
              <w:rPr>
                <w:noProof/>
              </w:rPr>
              <w:t>envisaged under</w:t>
            </w:r>
            <w:r w:rsidR="00407F95" w:rsidRPr="605EB176">
              <w:rPr>
                <w:noProof/>
              </w:rPr>
              <w:t xml:space="preserve"> </w:t>
            </w:r>
            <w:r w:rsidR="00890267" w:rsidRPr="605EB176">
              <w:rPr>
                <w:noProof/>
              </w:rPr>
              <w:t xml:space="preserve">the </w:t>
            </w:r>
            <w:r w:rsidR="000E08E8" w:rsidRPr="605EB176">
              <w:rPr>
                <w:noProof/>
              </w:rPr>
              <w:t xml:space="preserve">EU’s </w:t>
            </w:r>
            <w:r w:rsidR="00890267" w:rsidRPr="605EB176">
              <w:rPr>
                <w:noProof/>
              </w:rPr>
              <w:t>S</w:t>
            </w:r>
            <w:r w:rsidR="003D45B5" w:rsidRPr="605EB176">
              <w:rPr>
                <w:noProof/>
              </w:rPr>
              <w:t>avings and Investment Union</w:t>
            </w:r>
            <w:r w:rsidR="002D6762" w:rsidRPr="605EB176">
              <w:rPr>
                <w:noProof/>
              </w:rPr>
              <w:t>.</w:t>
            </w:r>
            <w:r w:rsidR="007C5A8B" w:rsidRPr="605EB176">
              <w:rPr>
                <w:noProof/>
              </w:rPr>
              <w:t xml:space="preserve"> As regards PO6b and PO6c which</w:t>
            </w:r>
            <w:r w:rsidR="004D3B46" w:rsidRPr="605EB176">
              <w:rPr>
                <w:noProof/>
              </w:rPr>
              <w:t xml:space="preserve"> furthermore</w:t>
            </w:r>
            <w:r w:rsidR="007C5A8B" w:rsidRPr="605EB176">
              <w:rPr>
                <w:noProof/>
              </w:rPr>
              <w:t xml:space="preserve"> </w:t>
            </w:r>
            <w:r w:rsidR="00526222" w:rsidRPr="605EB176">
              <w:rPr>
                <w:noProof/>
              </w:rPr>
              <w:t>harmonise minimum capital requirements</w:t>
            </w:r>
            <w:r w:rsidR="005D57C4" w:rsidRPr="605EB176">
              <w:rPr>
                <w:noProof/>
              </w:rPr>
              <w:t xml:space="preserve"> and therefore contribute to a simpler and quicker setting up of 28</w:t>
            </w:r>
            <w:r w:rsidR="005D57C4" w:rsidRPr="605EB176">
              <w:rPr>
                <w:noProof/>
                <w:vertAlign w:val="superscript"/>
              </w:rPr>
              <w:t>th</w:t>
            </w:r>
            <w:r w:rsidR="005D57C4" w:rsidRPr="605EB176">
              <w:rPr>
                <w:noProof/>
              </w:rPr>
              <w:t xml:space="preserve"> regime companies</w:t>
            </w:r>
            <w:r w:rsidR="004D3B46" w:rsidRPr="605EB176">
              <w:rPr>
                <w:noProof/>
              </w:rPr>
              <w:t>,</w:t>
            </w:r>
            <w:r w:rsidRPr="605EB176" w:rsidDel="004D3B46">
              <w:rPr>
                <w:noProof/>
              </w:rPr>
              <w:t xml:space="preserve"> </w:t>
            </w:r>
            <w:r w:rsidR="00CC5EED" w:rsidRPr="605EB176">
              <w:rPr>
                <w:noProof/>
              </w:rPr>
              <w:t xml:space="preserve">they will </w:t>
            </w:r>
            <w:r w:rsidR="007D7105" w:rsidRPr="605EB176">
              <w:rPr>
                <w:noProof/>
              </w:rPr>
              <w:t>respond to the calls to enable companies to establish in Europe more rapidly</w:t>
            </w:r>
            <w:r w:rsidR="005D57C4" w:rsidRPr="605EB176">
              <w:rPr>
                <w:noProof/>
              </w:rPr>
              <w:t xml:space="preserve"> under the Single Market and </w:t>
            </w:r>
            <w:r w:rsidR="51314A65" w:rsidRPr="605EB176">
              <w:rPr>
                <w:noProof/>
              </w:rPr>
              <w:t>S</w:t>
            </w:r>
            <w:r w:rsidR="4D92C6CF" w:rsidRPr="605EB176">
              <w:rPr>
                <w:noProof/>
              </w:rPr>
              <w:t>tartup</w:t>
            </w:r>
            <w:r w:rsidR="005D57C4" w:rsidRPr="605EB176">
              <w:rPr>
                <w:noProof/>
              </w:rPr>
              <w:t xml:space="preserve"> and </w:t>
            </w:r>
            <w:r w:rsidR="51314A65" w:rsidRPr="2A191B55">
              <w:rPr>
                <w:noProof/>
              </w:rPr>
              <w:t>s</w:t>
            </w:r>
            <w:r w:rsidR="50B274BA" w:rsidRPr="2A191B55">
              <w:rPr>
                <w:noProof/>
              </w:rPr>
              <w:t>caleup</w:t>
            </w:r>
            <w:r w:rsidR="005D57C4" w:rsidRPr="605EB176">
              <w:rPr>
                <w:noProof/>
              </w:rPr>
              <w:t xml:space="preserve"> Strategies, with</w:t>
            </w:r>
            <w:r w:rsidR="007D7105" w:rsidRPr="605EB176">
              <w:rPr>
                <w:noProof/>
              </w:rPr>
              <w:t xml:space="preserve"> </w:t>
            </w:r>
            <w:r w:rsidRPr="605EB176">
              <w:rPr>
                <w:noProof/>
              </w:rPr>
              <w:t>PO6b show</w:t>
            </w:r>
            <w:r w:rsidR="005D57C4" w:rsidRPr="605EB176">
              <w:rPr>
                <w:noProof/>
              </w:rPr>
              <w:t>ing</w:t>
            </w:r>
            <w:r w:rsidRPr="605EB176">
              <w:rPr>
                <w:noProof/>
              </w:rPr>
              <w:t xml:space="preserve"> the strongest external coherence.</w:t>
            </w:r>
          </w:p>
        </w:tc>
      </w:tr>
    </w:tbl>
    <w:p w14:paraId="34BBBE9E" w14:textId="457F5D44" w:rsidR="00EC71E4" w:rsidRPr="009705F3" w:rsidRDefault="00EC71E4" w:rsidP="00EC71E4">
      <w:pPr>
        <w:pStyle w:val="Heading2"/>
        <w:numPr>
          <w:ilvl w:val="0"/>
          <w:numId w:val="0"/>
        </w:numPr>
        <w:ind w:left="680"/>
        <w:rPr>
          <w:rFonts w:eastAsia="Courier New"/>
          <w:i/>
          <w:iCs/>
          <w:noProof/>
          <w:u w:val="single"/>
        </w:rPr>
      </w:pPr>
      <w:r w:rsidRPr="00A0575B">
        <w:rPr>
          <w:rFonts w:eastAsia="Courier New"/>
          <w:noProof/>
          <w:szCs w:val="24"/>
          <w:u w:val="single"/>
        </w:rPr>
        <w:t xml:space="preserve">Policy options </w:t>
      </w:r>
      <w:r>
        <w:rPr>
          <w:rFonts w:eastAsia="Courier New"/>
          <w:noProof/>
          <w:szCs w:val="24"/>
          <w:u w:val="single"/>
        </w:rPr>
        <w:t xml:space="preserve">7 </w:t>
      </w:r>
      <w:r w:rsidRPr="004C378E">
        <w:rPr>
          <w:rFonts w:eastAsia="Courier New"/>
          <w:noProof/>
          <w:u w:val="single"/>
        </w:rPr>
        <w:t>to</w:t>
      </w:r>
      <w:r w:rsidR="003F79C7" w:rsidRPr="003F79C7">
        <w:rPr>
          <w:noProof/>
          <w:u w:val="single"/>
        </w:rPr>
        <w:t xml:space="preserve"> </w:t>
      </w:r>
      <w:r w:rsidR="003F79C7" w:rsidRPr="003F79C7">
        <w:rPr>
          <w:rFonts w:eastAsia="Courier New"/>
          <w:noProof/>
          <w:u w:val="single"/>
        </w:rPr>
        <w:t>facilitate exit options</w:t>
      </w:r>
    </w:p>
    <w:p w14:paraId="4C7ADD27" w14:textId="4CAD4834" w:rsidR="003D3222" w:rsidRDefault="003D3222" w:rsidP="00C4288E">
      <w:pPr>
        <w:pStyle w:val="ListParagraph"/>
        <w:numPr>
          <w:ilvl w:val="0"/>
          <w:numId w:val="15"/>
        </w:numPr>
        <w:tabs>
          <w:tab w:val="left" w:pos="170"/>
        </w:tabs>
        <w:jc w:val="both"/>
        <w:rPr>
          <w:noProof/>
        </w:rPr>
      </w:pPr>
      <w:r>
        <w:rPr>
          <w:noProof/>
        </w:rPr>
        <w:t xml:space="preserve">Policy option 7a </w:t>
      </w:r>
      <w:r w:rsidR="00F77A4B">
        <w:rPr>
          <w:noProof/>
        </w:rPr>
        <w:t>–</w:t>
      </w:r>
      <w:r>
        <w:rPr>
          <w:noProof/>
        </w:rPr>
        <w:t xml:space="preserve"> </w:t>
      </w:r>
      <w:r w:rsidR="00F77A4B">
        <w:rPr>
          <w:noProof/>
        </w:rPr>
        <w:t>Ensure that</w:t>
      </w:r>
      <w:r>
        <w:rPr>
          <w:noProof/>
        </w:rPr>
        <w:t xml:space="preserve"> </w:t>
      </w:r>
      <w:r w:rsidRPr="000F07E3">
        <w:rPr>
          <w:noProof/>
        </w:rPr>
        <w:t>transfers of shares of 28</w:t>
      </w:r>
      <w:r w:rsidRPr="0077266A">
        <w:rPr>
          <w:noProof/>
        </w:rPr>
        <w:t>th</w:t>
      </w:r>
      <w:r w:rsidRPr="000F07E3">
        <w:rPr>
          <w:noProof/>
        </w:rPr>
        <w:t xml:space="preserve"> regime companies </w:t>
      </w:r>
      <w:r w:rsidR="00F77A4B">
        <w:rPr>
          <w:noProof/>
        </w:rPr>
        <w:t>can</w:t>
      </w:r>
      <w:r w:rsidRPr="000F07E3">
        <w:rPr>
          <w:noProof/>
        </w:rPr>
        <w:t xml:space="preserve"> be carried out fully digitally</w:t>
      </w:r>
      <w:r w:rsidRPr="004C599B">
        <w:rPr>
          <w:noProof/>
        </w:rPr>
        <w:t>.</w:t>
      </w:r>
    </w:p>
    <w:p w14:paraId="2083056D" w14:textId="77777777" w:rsidR="003D3222" w:rsidRDefault="003D3222" w:rsidP="00C4288E">
      <w:pPr>
        <w:pStyle w:val="ListParagraph"/>
        <w:numPr>
          <w:ilvl w:val="0"/>
          <w:numId w:val="15"/>
        </w:numPr>
        <w:tabs>
          <w:tab w:val="left" w:pos="170"/>
        </w:tabs>
        <w:jc w:val="both"/>
        <w:rPr>
          <w:noProof/>
        </w:rPr>
      </w:pPr>
      <w:r>
        <w:rPr>
          <w:noProof/>
        </w:rPr>
        <w:t xml:space="preserve">Policy option 7b - </w:t>
      </w:r>
      <w:r w:rsidRPr="00926445">
        <w:rPr>
          <w:noProof/>
        </w:rPr>
        <w:t xml:space="preserve">Option </w:t>
      </w:r>
      <w:r>
        <w:rPr>
          <w:noProof/>
        </w:rPr>
        <w:t>7</w:t>
      </w:r>
      <w:r w:rsidRPr="00926445">
        <w:rPr>
          <w:noProof/>
        </w:rPr>
        <w:t xml:space="preserve">a + </w:t>
      </w:r>
      <w:r w:rsidRPr="000F07E3">
        <w:rPr>
          <w:noProof/>
        </w:rPr>
        <w:t>no requirement to involve intermediaries in share transfers of 28</w:t>
      </w:r>
      <w:r w:rsidRPr="0077266A">
        <w:rPr>
          <w:noProof/>
        </w:rPr>
        <w:t>th</w:t>
      </w:r>
      <w:r w:rsidRPr="000F07E3">
        <w:rPr>
          <w:noProof/>
        </w:rPr>
        <w:t xml:space="preserve"> regime companies</w:t>
      </w:r>
      <w:r w:rsidRPr="004C599B">
        <w:rPr>
          <w:noProof/>
        </w:rPr>
        <w:t>.</w:t>
      </w:r>
    </w:p>
    <w:p w14:paraId="5D73DB6C" w14:textId="2EB7CE14" w:rsidR="003D3222" w:rsidRDefault="003D3222" w:rsidP="00C4288E">
      <w:pPr>
        <w:pStyle w:val="ListParagraph"/>
        <w:numPr>
          <w:ilvl w:val="0"/>
          <w:numId w:val="15"/>
        </w:numPr>
        <w:tabs>
          <w:tab w:val="left" w:pos="170"/>
        </w:tabs>
        <w:spacing w:before="0" w:after="0"/>
        <w:jc w:val="both"/>
        <w:rPr>
          <w:noProof/>
        </w:rPr>
      </w:pPr>
      <w:r>
        <w:rPr>
          <w:noProof/>
        </w:rPr>
        <w:t>Policy option 7c - O</w:t>
      </w:r>
      <w:r w:rsidRPr="004C599B">
        <w:rPr>
          <w:noProof/>
        </w:rPr>
        <w:t xml:space="preserve">ption </w:t>
      </w:r>
      <w:r>
        <w:rPr>
          <w:noProof/>
        </w:rPr>
        <w:t>7</w:t>
      </w:r>
      <w:r w:rsidRPr="004C599B">
        <w:rPr>
          <w:noProof/>
        </w:rPr>
        <w:t xml:space="preserve">b </w:t>
      </w:r>
      <w:r>
        <w:rPr>
          <w:noProof/>
        </w:rPr>
        <w:t>+</w:t>
      </w:r>
      <w:r w:rsidRPr="004C599B">
        <w:rPr>
          <w:noProof/>
        </w:rPr>
        <w:t xml:space="preserve"> </w:t>
      </w:r>
      <w:r w:rsidR="00F77A4B">
        <w:rPr>
          <w:noProof/>
        </w:rPr>
        <w:t xml:space="preserve">a </w:t>
      </w:r>
      <w:r w:rsidRPr="000F07E3">
        <w:rPr>
          <w:noProof/>
        </w:rPr>
        <w:t xml:space="preserve">possibility for Member States to grant </w:t>
      </w:r>
      <w:r w:rsidR="00066BE9" w:rsidRPr="000F07E3">
        <w:rPr>
          <w:noProof/>
        </w:rPr>
        <w:t xml:space="preserve">access to public equity markets </w:t>
      </w:r>
      <w:r w:rsidR="00066BE9">
        <w:rPr>
          <w:noProof/>
        </w:rPr>
        <w:t xml:space="preserve">to </w:t>
      </w:r>
      <w:r w:rsidRPr="000F07E3">
        <w:rPr>
          <w:noProof/>
        </w:rPr>
        <w:t>28</w:t>
      </w:r>
      <w:r w:rsidRPr="0077266A">
        <w:rPr>
          <w:noProof/>
        </w:rPr>
        <w:t>th</w:t>
      </w:r>
      <w:r w:rsidRPr="000F07E3">
        <w:rPr>
          <w:noProof/>
        </w:rPr>
        <w:t xml:space="preserve"> regime companies</w:t>
      </w:r>
      <w:r>
        <w:rPr>
          <w:noProof/>
        </w:rPr>
        <w:t>.</w:t>
      </w:r>
    </w:p>
    <w:p w14:paraId="46B07883" w14:textId="77777777" w:rsidR="003D3222" w:rsidRDefault="003D3222" w:rsidP="003D3222">
      <w:pPr>
        <w:tabs>
          <w:tab w:val="left" w:pos="170"/>
        </w:tabs>
        <w:spacing w:before="0" w:after="0"/>
        <w:jc w:val="both"/>
        <w:rPr>
          <w:noProof/>
        </w:rPr>
      </w:pPr>
    </w:p>
    <w:tbl>
      <w:tblPr>
        <w:tblStyle w:val="TableGrid"/>
        <w:tblW w:w="9889" w:type="dxa"/>
        <w:tblLook w:val="04A0" w:firstRow="1" w:lastRow="0" w:firstColumn="1" w:lastColumn="0" w:noHBand="0" w:noVBand="1"/>
      </w:tblPr>
      <w:tblGrid>
        <w:gridCol w:w="1766"/>
        <w:gridCol w:w="842"/>
        <w:gridCol w:w="848"/>
        <w:gridCol w:w="845"/>
        <w:gridCol w:w="5588"/>
      </w:tblGrid>
      <w:tr w:rsidR="003A3DFC" w:rsidRPr="00566C3C" w14:paraId="3E80E12F" w14:textId="77777777">
        <w:tc>
          <w:tcPr>
            <w:tcW w:w="1418" w:type="dxa"/>
            <w:shd w:val="clear" w:color="auto" w:fill="95B3D7" w:themeFill="accent1" w:themeFillTint="99"/>
          </w:tcPr>
          <w:p w14:paraId="617D9B3A" w14:textId="77777777" w:rsidR="00EC71E4" w:rsidRPr="005A23B4" w:rsidRDefault="00EC71E4">
            <w:pPr>
              <w:rPr>
                <w:rFonts w:cstheme="minorHAnsi"/>
                <w:b/>
                <w:noProof/>
                <w:szCs w:val="20"/>
              </w:rPr>
            </w:pPr>
            <w:r w:rsidRPr="005A23B4">
              <w:rPr>
                <w:rFonts w:cstheme="minorHAnsi"/>
                <w:b/>
                <w:noProof/>
                <w:szCs w:val="20"/>
              </w:rPr>
              <w:t>Unit of measurement</w:t>
            </w:r>
          </w:p>
        </w:tc>
        <w:tc>
          <w:tcPr>
            <w:tcW w:w="845" w:type="dxa"/>
            <w:shd w:val="clear" w:color="auto" w:fill="95B3D7" w:themeFill="accent1" w:themeFillTint="99"/>
          </w:tcPr>
          <w:p w14:paraId="2AB8F329" w14:textId="331DA6C0"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7</w:t>
            </w:r>
            <w:r w:rsidRPr="005A23B4">
              <w:rPr>
                <w:rFonts w:cstheme="minorHAnsi"/>
                <w:b/>
                <w:noProof/>
                <w:szCs w:val="20"/>
              </w:rPr>
              <w:t>a</w:t>
            </w:r>
          </w:p>
          <w:p w14:paraId="145545BD" w14:textId="77777777" w:rsidR="00EC71E4" w:rsidRPr="005A23B4" w:rsidRDefault="00EC71E4">
            <w:pPr>
              <w:rPr>
                <w:rFonts w:cstheme="minorHAnsi"/>
                <w:b/>
                <w:noProof/>
                <w:szCs w:val="20"/>
              </w:rPr>
            </w:pPr>
          </w:p>
        </w:tc>
        <w:tc>
          <w:tcPr>
            <w:tcW w:w="851" w:type="dxa"/>
            <w:shd w:val="clear" w:color="auto" w:fill="95B3D7" w:themeFill="accent1" w:themeFillTint="99"/>
          </w:tcPr>
          <w:p w14:paraId="26610EF8" w14:textId="061372A5"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7</w:t>
            </w:r>
            <w:r w:rsidRPr="005A23B4">
              <w:rPr>
                <w:rFonts w:cstheme="minorHAnsi"/>
                <w:b/>
                <w:noProof/>
                <w:szCs w:val="20"/>
              </w:rPr>
              <w:t>b</w:t>
            </w:r>
          </w:p>
        </w:tc>
        <w:tc>
          <w:tcPr>
            <w:tcW w:w="850" w:type="dxa"/>
            <w:shd w:val="clear" w:color="auto" w:fill="95B3D7" w:themeFill="accent1" w:themeFillTint="99"/>
          </w:tcPr>
          <w:p w14:paraId="7488197B" w14:textId="33B99C66" w:rsidR="00EC71E4" w:rsidRPr="005A23B4" w:rsidRDefault="00EC71E4">
            <w:pPr>
              <w:rPr>
                <w:rFonts w:cstheme="minorHAnsi"/>
                <w:b/>
                <w:noProof/>
                <w:szCs w:val="20"/>
              </w:rPr>
            </w:pPr>
            <w:r w:rsidRPr="005A23B4">
              <w:rPr>
                <w:rFonts w:cstheme="minorHAnsi"/>
                <w:b/>
                <w:noProof/>
                <w:szCs w:val="20"/>
              </w:rPr>
              <w:t>PO</w:t>
            </w:r>
            <w:r>
              <w:rPr>
                <w:rFonts w:cstheme="minorHAnsi"/>
                <w:b/>
                <w:noProof/>
                <w:szCs w:val="20"/>
              </w:rPr>
              <w:t>7</w:t>
            </w:r>
            <w:r w:rsidRPr="005A23B4">
              <w:rPr>
                <w:rFonts w:cstheme="minorHAnsi"/>
                <w:b/>
                <w:noProof/>
                <w:szCs w:val="20"/>
              </w:rPr>
              <w:t>c</w:t>
            </w:r>
          </w:p>
        </w:tc>
        <w:tc>
          <w:tcPr>
            <w:tcW w:w="5925" w:type="dxa"/>
            <w:shd w:val="clear" w:color="auto" w:fill="95B3D7" w:themeFill="accent1" w:themeFillTint="99"/>
          </w:tcPr>
          <w:p w14:paraId="24467846" w14:textId="77777777" w:rsidR="00EC71E4" w:rsidRPr="005A23B4" w:rsidRDefault="00EC71E4">
            <w:pPr>
              <w:rPr>
                <w:rFonts w:cstheme="minorHAnsi"/>
                <w:b/>
                <w:noProof/>
                <w:szCs w:val="20"/>
              </w:rPr>
            </w:pPr>
            <w:r w:rsidRPr="005A23B4">
              <w:rPr>
                <w:rFonts w:cstheme="minorHAnsi"/>
                <w:b/>
                <w:noProof/>
                <w:szCs w:val="20"/>
              </w:rPr>
              <w:t>Motivation</w:t>
            </w:r>
          </w:p>
        </w:tc>
      </w:tr>
      <w:tr w:rsidR="00EC71E4" w:rsidRPr="00566C3C" w14:paraId="5E444318" w14:textId="77777777">
        <w:tc>
          <w:tcPr>
            <w:tcW w:w="1418" w:type="dxa"/>
          </w:tcPr>
          <w:p w14:paraId="714B940C" w14:textId="77777777" w:rsidR="00EC71E4" w:rsidRPr="005A23B4" w:rsidRDefault="00EC71E4" w:rsidP="000F60AA">
            <w:pPr>
              <w:jc w:val="both"/>
              <w:rPr>
                <w:rFonts w:cstheme="minorHAnsi"/>
                <w:b/>
                <w:noProof/>
                <w:szCs w:val="20"/>
              </w:rPr>
            </w:pPr>
            <w:r w:rsidRPr="005A23B4">
              <w:rPr>
                <w:rFonts w:cstheme="minorHAnsi"/>
                <w:noProof/>
                <w:szCs w:val="20"/>
              </w:rPr>
              <w:t xml:space="preserve">Score 1-5 </w:t>
            </w:r>
          </w:p>
        </w:tc>
        <w:tc>
          <w:tcPr>
            <w:tcW w:w="845" w:type="dxa"/>
          </w:tcPr>
          <w:p w14:paraId="7B7B979A" w14:textId="2C6C3845" w:rsidR="00EC71E4" w:rsidRPr="00B810A1" w:rsidRDefault="00BA6C4A" w:rsidP="00B810A1">
            <w:pPr>
              <w:jc w:val="center"/>
              <w:rPr>
                <w:rFonts w:cstheme="minorHAnsi"/>
                <w:noProof/>
                <w:szCs w:val="20"/>
              </w:rPr>
            </w:pPr>
            <w:r w:rsidRPr="00B810A1">
              <w:rPr>
                <w:rFonts w:cstheme="minorHAnsi"/>
                <w:noProof/>
                <w:szCs w:val="20"/>
              </w:rPr>
              <w:t>2</w:t>
            </w:r>
          </w:p>
        </w:tc>
        <w:tc>
          <w:tcPr>
            <w:tcW w:w="851" w:type="dxa"/>
          </w:tcPr>
          <w:p w14:paraId="4F73E9E7" w14:textId="70349329" w:rsidR="00EC71E4" w:rsidRPr="00B810A1" w:rsidRDefault="00BA6C4A" w:rsidP="00B810A1">
            <w:pPr>
              <w:jc w:val="center"/>
              <w:rPr>
                <w:rFonts w:cstheme="minorHAnsi"/>
                <w:noProof/>
                <w:szCs w:val="20"/>
              </w:rPr>
            </w:pPr>
            <w:r w:rsidRPr="00B810A1">
              <w:rPr>
                <w:rFonts w:cstheme="minorHAnsi"/>
                <w:noProof/>
                <w:szCs w:val="20"/>
              </w:rPr>
              <w:t>3</w:t>
            </w:r>
          </w:p>
        </w:tc>
        <w:tc>
          <w:tcPr>
            <w:tcW w:w="850" w:type="dxa"/>
          </w:tcPr>
          <w:p w14:paraId="2CE11F9B" w14:textId="4E395375" w:rsidR="00EC71E4" w:rsidRPr="00B810A1" w:rsidRDefault="00BA6C4A" w:rsidP="00B810A1">
            <w:pPr>
              <w:jc w:val="center"/>
              <w:rPr>
                <w:rFonts w:cstheme="minorHAnsi"/>
                <w:noProof/>
                <w:szCs w:val="20"/>
              </w:rPr>
            </w:pPr>
            <w:r w:rsidRPr="00B810A1">
              <w:rPr>
                <w:rFonts w:cstheme="minorHAnsi"/>
                <w:noProof/>
                <w:szCs w:val="20"/>
              </w:rPr>
              <w:t>4</w:t>
            </w:r>
          </w:p>
        </w:tc>
        <w:tc>
          <w:tcPr>
            <w:tcW w:w="5925" w:type="dxa"/>
          </w:tcPr>
          <w:p w14:paraId="3BF91F60" w14:textId="00565C4E" w:rsidR="00CC01B4" w:rsidRPr="00CC01B4" w:rsidRDefault="00EC71E4" w:rsidP="000F60AA">
            <w:pPr>
              <w:jc w:val="both"/>
              <w:rPr>
                <w:rFonts w:cstheme="minorHAnsi"/>
                <w:noProof/>
                <w:szCs w:val="20"/>
              </w:rPr>
            </w:pPr>
            <w:r w:rsidRPr="00B810A1">
              <w:rPr>
                <w:rFonts w:cstheme="minorHAnsi"/>
                <w:noProof/>
                <w:szCs w:val="20"/>
                <w:u w:val="single"/>
              </w:rPr>
              <w:t>Internal coherence</w:t>
            </w:r>
            <w:r w:rsidRPr="00357F7B">
              <w:rPr>
                <w:rFonts w:cstheme="minorHAnsi"/>
                <w:noProof/>
                <w:szCs w:val="20"/>
              </w:rPr>
              <w:t>:</w:t>
            </w:r>
            <w:r>
              <w:rPr>
                <w:rFonts w:cstheme="minorHAnsi"/>
                <w:noProof/>
                <w:szCs w:val="20"/>
              </w:rPr>
              <w:t xml:space="preserve"> </w:t>
            </w:r>
            <w:r w:rsidR="00CC01B4" w:rsidRPr="00CC01B4">
              <w:rPr>
                <w:rFonts w:cstheme="minorHAnsi"/>
                <w:noProof/>
                <w:szCs w:val="20"/>
              </w:rPr>
              <w:t xml:space="preserve">Policy Options 7a, 7b and 7c are coherent </w:t>
            </w:r>
            <w:r w:rsidR="00C51041">
              <w:rPr>
                <w:rFonts w:cstheme="minorHAnsi"/>
                <w:noProof/>
                <w:szCs w:val="20"/>
              </w:rPr>
              <w:t>with other policy options</w:t>
            </w:r>
            <w:r w:rsidR="00E45D30">
              <w:rPr>
                <w:rFonts w:cstheme="minorHAnsi"/>
                <w:noProof/>
                <w:szCs w:val="20"/>
              </w:rPr>
              <w:t xml:space="preserve"> under this initiative</w:t>
            </w:r>
            <w:r w:rsidR="00CC01B4" w:rsidRPr="00CC01B4">
              <w:rPr>
                <w:rFonts w:cstheme="minorHAnsi"/>
                <w:noProof/>
                <w:szCs w:val="20"/>
              </w:rPr>
              <w:t xml:space="preserve">. </w:t>
            </w:r>
            <w:r w:rsidR="00457EA2">
              <w:rPr>
                <w:rFonts w:cstheme="minorHAnsi"/>
                <w:noProof/>
                <w:szCs w:val="20"/>
              </w:rPr>
              <w:t>The</w:t>
            </w:r>
            <w:r w:rsidR="00E45D30">
              <w:rPr>
                <w:rFonts w:cstheme="minorHAnsi"/>
                <w:noProof/>
                <w:szCs w:val="20"/>
              </w:rPr>
              <w:t>y</w:t>
            </w:r>
            <w:r w:rsidR="00457EA2">
              <w:rPr>
                <w:rFonts w:cstheme="minorHAnsi"/>
                <w:noProof/>
                <w:szCs w:val="20"/>
              </w:rPr>
              <w:t xml:space="preserve"> are in particular coherent with </w:t>
            </w:r>
            <w:r w:rsidR="00457EA2" w:rsidRPr="00CC01B4">
              <w:rPr>
                <w:rFonts w:cstheme="minorHAnsi"/>
                <w:noProof/>
                <w:szCs w:val="20"/>
              </w:rPr>
              <w:t>Policy Option</w:t>
            </w:r>
            <w:r w:rsidR="003E2909">
              <w:rPr>
                <w:rFonts w:cstheme="minorHAnsi"/>
                <w:noProof/>
                <w:szCs w:val="20"/>
              </w:rPr>
              <w:t>s</w:t>
            </w:r>
            <w:r w:rsidR="00457EA2" w:rsidRPr="00CC01B4">
              <w:rPr>
                <w:rFonts w:cstheme="minorHAnsi"/>
                <w:noProof/>
                <w:szCs w:val="20"/>
              </w:rPr>
              <w:t xml:space="preserve"> 6</w:t>
            </w:r>
            <w:r w:rsidR="003E2909">
              <w:rPr>
                <w:rFonts w:cstheme="minorHAnsi"/>
                <w:noProof/>
                <w:szCs w:val="20"/>
              </w:rPr>
              <w:t xml:space="preserve"> – and mostly with PO6a</w:t>
            </w:r>
            <w:r w:rsidR="00457EA2" w:rsidRPr="00CC01B4">
              <w:rPr>
                <w:rFonts w:cstheme="minorHAnsi"/>
                <w:noProof/>
                <w:szCs w:val="20"/>
              </w:rPr>
              <w:t xml:space="preserve">, </w:t>
            </w:r>
            <w:r w:rsidR="00FB3456">
              <w:rPr>
                <w:rFonts w:cstheme="minorHAnsi"/>
                <w:noProof/>
                <w:szCs w:val="20"/>
              </w:rPr>
              <w:t xml:space="preserve">as </w:t>
            </w:r>
            <w:r w:rsidR="00854D35">
              <w:rPr>
                <w:rFonts w:cstheme="minorHAnsi"/>
                <w:noProof/>
                <w:szCs w:val="20"/>
              </w:rPr>
              <w:t>both</w:t>
            </w:r>
            <w:r w:rsidR="00FB3456">
              <w:rPr>
                <w:rFonts w:cstheme="minorHAnsi"/>
                <w:noProof/>
                <w:szCs w:val="20"/>
              </w:rPr>
              <w:t xml:space="preserve"> </w:t>
            </w:r>
            <w:r w:rsidR="00457EA2" w:rsidRPr="00CC01B4">
              <w:rPr>
                <w:rFonts w:cstheme="minorHAnsi"/>
                <w:noProof/>
                <w:szCs w:val="20"/>
              </w:rPr>
              <w:t>simpl</w:t>
            </w:r>
            <w:r w:rsidR="00FB3456">
              <w:rPr>
                <w:rFonts w:cstheme="minorHAnsi"/>
                <w:noProof/>
                <w:szCs w:val="20"/>
              </w:rPr>
              <w:t>er</w:t>
            </w:r>
            <w:r w:rsidR="00457EA2" w:rsidRPr="00CC01B4">
              <w:rPr>
                <w:rFonts w:cstheme="minorHAnsi"/>
                <w:noProof/>
                <w:szCs w:val="20"/>
              </w:rPr>
              <w:t xml:space="preserve"> </w:t>
            </w:r>
            <w:r w:rsidR="00DC4630">
              <w:rPr>
                <w:rFonts w:cstheme="minorHAnsi"/>
                <w:noProof/>
                <w:szCs w:val="20"/>
              </w:rPr>
              <w:t xml:space="preserve">and more digital </w:t>
            </w:r>
            <w:r w:rsidR="00457EA2" w:rsidRPr="00CC01B4">
              <w:rPr>
                <w:rFonts w:cstheme="minorHAnsi"/>
                <w:noProof/>
                <w:szCs w:val="20"/>
              </w:rPr>
              <w:t>capital increases and share issuance</w:t>
            </w:r>
            <w:r w:rsidR="00231A92">
              <w:rPr>
                <w:rFonts w:cstheme="minorHAnsi"/>
                <w:noProof/>
                <w:szCs w:val="20"/>
              </w:rPr>
              <w:t>s</w:t>
            </w:r>
            <w:r w:rsidR="00DC4630">
              <w:rPr>
                <w:rFonts w:cstheme="minorHAnsi"/>
                <w:noProof/>
                <w:szCs w:val="20"/>
              </w:rPr>
              <w:t xml:space="preserve"> under PO6a</w:t>
            </w:r>
            <w:r w:rsidR="00BE5932">
              <w:rPr>
                <w:rFonts w:cstheme="minorHAnsi"/>
                <w:noProof/>
                <w:szCs w:val="20"/>
              </w:rPr>
              <w:t xml:space="preserve"> and </w:t>
            </w:r>
            <w:r w:rsidR="00B73482">
              <w:rPr>
                <w:rFonts w:cstheme="minorHAnsi"/>
                <w:noProof/>
                <w:szCs w:val="20"/>
              </w:rPr>
              <w:t>digital</w:t>
            </w:r>
            <w:r w:rsidR="00BE5932">
              <w:rPr>
                <w:rFonts w:cstheme="minorHAnsi"/>
                <w:noProof/>
                <w:szCs w:val="20"/>
              </w:rPr>
              <w:t xml:space="preserve"> share transfers under PO7b</w:t>
            </w:r>
            <w:r w:rsidR="003D45EA">
              <w:rPr>
                <w:rFonts w:cstheme="minorHAnsi"/>
                <w:noProof/>
                <w:szCs w:val="20"/>
              </w:rPr>
              <w:t xml:space="preserve"> </w:t>
            </w:r>
            <w:r w:rsidR="0043745F">
              <w:rPr>
                <w:rFonts w:cstheme="minorHAnsi"/>
                <w:noProof/>
                <w:szCs w:val="20"/>
              </w:rPr>
              <w:t xml:space="preserve">are </w:t>
            </w:r>
            <w:r w:rsidR="002007E2">
              <w:rPr>
                <w:rFonts w:cstheme="minorHAnsi"/>
                <w:noProof/>
                <w:szCs w:val="20"/>
              </w:rPr>
              <w:t>creating a mo</w:t>
            </w:r>
            <w:r w:rsidR="0066771E">
              <w:rPr>
                <w:rFonts w:cstheme="minorHAnsi"/>
                <w:noProof/>
                <w:szCs w:val="20"/>
              </w:rPr>
              <w:t>re attractive framework for investing</w:t>
            </w:r>
            <w:r w:rsidR="00A8790B">
              <w:rPr>
                <w:rFonts w:cstheme="minorHAnsi"/>
                <w:noProof/>
                <w:szCs w:val="20"/>
              </w:rPr>
              <w:t xml:space="preserve"> </w:t>
            </w:r>
            <w:r w:rsidR="0066771E">
              <w:rPr>
                <w:rFonts w:cstheme="minorHAnsi"/>
                <w:noProof/>
                <w:szCs w:val="20"/>
              </w:rPr>
              <w:t>in</w:t>
            </w:r>
            <w:r w:rsidR="00A8790B">
              <w:rPr>
                <w:rFonts w:cstheme="minorHAnsi"/>
                <w:noProof/>
                <w:szCs w:val="20"/>
              </w:rPr>
              <w:t xml:space="preserve"> 28</w:t>
            </w:r>
            <w:r w:rsidR="00A8790B" w:rsidRPr="00A8790B">
              <w:rPr>
                <w:rFonts w:cstheme="minorHAnsi"/>
                <w:noProof/>
                <w:szCs w:val="20"/>
                <w:vertAlign w:val="superscript"/>
              </w:rPr>
              <w:t>th</w:t>
            </w:r>
            <w:r w:rsidR="00A8790B">
              <w:rPr>
                <w:rFonts w:cstheme="minorHAnsi"/>
                <w:noProof/>
                <w:szCs w:val="20"/>
              </w:rPr>
              <w:t xml:space="preserve"> regime companies</w:t>
            </w:r>
            <w:r w:rsidR="00AF6CB8">
              <w:rPr>
                <w:rFonts w:cstheme="minorHAnsi"/>
                <w:noProof/>
                <w:szCs w:val="20"/>
              </w:rPr>
              <w:t xml:space="preserve">. </w:t>
            </w:r>
            <w:r w:rsidR="00664A26">
              <w:rPr>
                <w:rFonts w:cstheme="minorHAnsi"/>
                <w:noProof/>
                <w:szCs w:val="20"/>
              </w:rPr>
              <w:t xml:space="preserve">All three policy options also contribute to Policy options 5 by facilitating transfers of shares, including those acquired through ESOPs, with policy option 7c being the most coherent as it </w:t>
            </w:r>
            <w:r w:rsidR="00370267">
              <w:rPr>
                <w:rFonts w:cstheme="minorHAnsi"/>
                <w:noProof/>
                <w:szCs w:val="20"/>
              </w:rPr>
              <w:t>allows Member States to</w:t>
            </w:r>
            <w:r w:rsidR="00664A26">
              <w:rPr>
                <w:rFonts w:cstheme="minorHAnsi"/>
                <w:noProof/>
                <w:szCs w:val="20"/>
              </w:rPr>
              <w:t xml:space="preserve"> </w:t>
            </w:r>
            <w:r w:rsidR="00A27EF6">
              <w:rPr>
                <w:rFonts w:cstheme="minorHAnsi"/>
                <w:noProof/>
                <w:szCs w:val="20"/>
              </w:rPr>
              <w:t>provide for the possibility of these shares being traded on public markets</w:t>
            </w:r>
            <w:r w:rsidR="00664A26">
              <w:rPr>
                <w:rFonts w:cstheme="minorHAnsi"/>
                <w:noProof/>
                <w:szCs w:val="20"/>
              </w:rPr>
              <w:t>.</w:t>
            </w:r>
            <w:r w:rsidR="00AF6CB8">
              <w:rPr>
                <w:rFonts w:cstheme="minorHAnsi"/>
                <w:noProof/>
                <w:szCs w:val="20"/>
              </w:rPr>
              <w:t xml:space="preserve"> </w:t>
            </w:r>
            <w:r w:rsidR="00CC01B4" w:rsidRPr="00CC01B4">
              <w:rPr>
                <w:rFonts w:cstheme="minorHAnsi"/>
                <w:noProof/>
                <w:szCs w:val="20"/>
              </w:rPr>
              <w:t>PO7c achieves the</w:t>
            </w:r>
            <w:r w:rsidR="007F3581">
              <w:rPr>
                <w:rFonts w:cstheme="minorHAnsi"/>
                <w:noProof/>
                <w:szCs w:val="20"/>
              </w:rPr>
              <w:t xml:space="preserve"> overall</w:t>
            </w:r>
            <w:r w:rsidR="00CC01B4" w:rsidRPr="00CC01B4">
              <w:rPr>
                <w:rFonts w:cstheme="minorHAnsi"/>
                <w:noProof/>
                <w:szCs w:val="20"/>
              </w:rPr>
              <w:t xml:space="preserve"> highest level of internal coherence</w:t>
            </w:r>
            <w:r w:rsidR="002F7E2E">
              <w:rPr>
                <w:rFonts w:cstheme="minorHAnsi"/>
                <w:noProof/>
                <w:szCs w:val="20"/>
              </w:rPr>
              <w:t xml:space="preserve"> with other policy options</w:t>
            </w:r>
            <w:r w:rsidR="00CC01B4" w:rsidRPr="00CC01B4">
              <w:rPr>
                <w:rFonts w:cstheme="minorHAnsi"/>
                <w:noProof/>
                <w:szCs w:val="20"/>
              </w:rPr>
              <w:t>, as it ensures consistency across the full corporate lifecycle</w:t>
            </w:r>
            <w:r w:rsidR="00BA1A66">
              <w:rPr>
                <w:rFonts w:cstheme="minorHAnsi"/>
                <w:noProof/>
                <w:szCs w:val="20"/>
              </w:rPr>
              <w:t>,</w:t>
            </w:r>
            <w:r w:rsidR="00991210">
              <w:rPr>
                <w:rFonts w:cstheme="minorHAnsi"/>
                <w:noProof/>
                <w:szCs w:val="20"/>
              </w:rPr>
              <w:t xml:space="preserve"> </w:t>
            </w:r>
            <w:r w:rsidR="00852BC3">
              <w:rPr>
                <w:rFonts w:cstheme="minorHAnsi"/>
                <w:noProof/>
                <w:szCs w:val="20"/>
              </w:rPr>
              <w:t xml:space="preserve">covering also </w:t>
            </w:r>
            <w:r w:rsidR="004414E1">
              <w:rPr>
                <w:rFonts w:cstheme="minorHAnsi"/>
                <w:noProof/>
                <w:szCs w:val="20"/>
              </w:rPr>
              <w:t xml:space="preserve">investment through </w:t>
            </w:r>
            <w:r w:rsidR="00751323">
              <w:rPr>
                <w:rFonts w:cstheme="minorHAnsi"/>
                <w:noProof/>
                <w:szCs w:val="20"/>
              </w:rPr>
              <w:t>access to</w:t>
            </w:r>
            <w:r w:rsidR="004414E1">
              <w:rPr>
                <w:rFonts w:cstheme="minorHAnsi"/>
                <w:noProof/>
                <w:szCs w:val="20"/>
              </w:rPr>
              <w:t xml:space="preserve"> </w:t>
            </w:r>
            <w:r w:rsidR="00DF3D1F">
              <w:rPr>
                <w:rFonts w:cstheme="minorHAnsi"/>
                <w:noProof/>
                <w:szCs w:val="20"/>
              </w:rPr>
              <w:t xml:space="preserve">public </w:t>
            </w:r>
            <w:r w:rsidR="009849EB">
              <w:rPr>
                <w:rFonts w:cstheme="minorHAnsi"/>
                <w:noProof/>
                <w:szCs w:val="20"/>
              </w:rPr>
              <w:t>equity mark</w:t>
            </w:r>
            <w:r w:rsidR="00751323">
              <w:rPr>
                <w:rFonts w:cstheme="minorHAnsi"/>
                <w:noProof/>
                <w:szCs w:val="20"/>
              </w:rPr>
              <w:t>et which is most relevant for late-stage start</w:t>
            </w:r>
            <w:r w:rsidR="00BA1A66">
              <w:rPr>
                <w:rFonts w:cstheme="minorHAnsi"/>
                <w:noProof/>
                <w:szCs w:val="20"/>
              </w:rPr>
              <w:t>ups and mature companies</w:t>
            </w:r>
            <w:r w:rsidR="00CC01B4" w:rsidRPr="00CC01B4">
              <w:rPr>
                <w:rFonts w:cstheme="minorHAnsi"/>
                <w:noProof/>
                <w:szCs w:val="20"/>
              </w:rPr>
              <w:t>.</w:t>
            </w:r>
            <w:r w:rsidR="004E6958">
              <w:rPr>
                <w:rFonts w:cstheme="minorHAnsi"/>
                <w:noProof/>
                <w:szCs w:val="20"/>
              </w:rPr>
              <w:t xml:space="preserve"> </w:t>
            </w:r>
          </w:p>
          <w:p w14:paraId="6201130A" w14:textId="1EBB7972" w:rsidR="00EC71E4" w:rsidRPr="000F60AA" w:rsidRDefault="00CC01B4" w:rsidP="000F60AA">
            <w:pPr>
              <w:jc w:val="both"/>
              <w:rPr>
                <w:rFonts w:cstheme="minorHAnsi"/>
                <w:noProof/>
                <w:szCs w:val="20"/>
              </w:rPr>
            </w:pPr>
            <w:r w:rsidRPr="00B810A1">
              <w:rPr>
                <w:rFonts w:cstheme="minorHAnsi"/>
                <w:noProof/>
                <w:szCs w:val="20"/>
                <w:u w:val="single"/>
              </w:rPr>
              <w:t>External coherence</w:t>
            </w:r>
            <w:r w:rsidR="0069567D" w:rsidRPr="00357F7B">
              <w:rPr>
                <w:rFonts w:cstheme="minorHAnsi"/>
                <w:noProof/>
                <w:szCs w:val="20"/>
              </w:rPr>
              <w:t>:</w:t>
            </w:r>
            <w:r w:rsidRPr="00CC01B4">
              <w:rPr>
                <w:rFonts w:cstheme="minorHAnsi"/>
                <w:noProof/>
                <w:szCs w:val="20"/>
              </w:rPr>
              <w:t xml:space="preserve"> PO7a is </w:t>
            </w:r>
            <w:r w:rsidR="000562E9">
              <w:rPr>
                <w:rFonts w:cstheme="minorHAnsi"/>
                <w:noProof/>
                <w:szCs w:val="20"/>
              </w:rPr>
              <w:t>in line</w:t>
            </w:r>
            <w:r w:rsidRPr="00CC01B4">
              <w:rPr>
                <w:rFonts w:cstheme="minorHAnsi"/>
                <w:noProof/>
                <w:szCs w:val="20"/>
              </w:rPr>
              <w:t xml:space="preserve"> with EU-wide efforts to promote digital procedures and reduce administrative barriers in business operations</w:t>
            </w:r>
            <w:r w:rsidR="00862607">
              <w:rPr>
                <w:rFonts w:cstheme="minorHAnsi"/>
                <w:noProof/>
                <w:szCs w:val="20"/>
              </w:rPr>
              <w:t>, in particular as followed in the recent developments of EU company law</w:t>
            </w:r>
            <w:r w:rsidR="00862607" w:rsidRPr="00CC01B4">
              <w:rPr>
                <w:rFonts w:cstheme="minorHAnsi"/>
                <w:noProof/>
                <w:szCs w:val="20"/>
              </w:rPr>
              <w:t xml:space="preserve">, </w:t>
            </w:r>
            <w:r w:rsidR="004251F3">
              <w:rPr>
                <w:rFonts w:cstheme="minorHAnsi"/>
                <w:noProof/>
                <w:szCs w:val="20"/>
              </w:rPr>
              <w:t xml:space="preserve">especially </w:t>
            </w:r>
            <w:r w:rsidR="00862607">
              <w:rPr>
                <w:rFonts w:cstheme="minorHAnsi"/>
                <w:noProof/>
                <w:szCs w:val="20"/>
              </w:rPr>
              <w:t xml:space="preserve">through </w:t>
            </w:r>
            <w:r w:rsidR="00862607" w:rsidRPr="00CC01B4">
              <w:rPr>
                <w:rFonts w:cstheme="minorHAnsi"/>
                <w:noProof/>
                <w:szCs w:val="20"/>
              </w:rPr>
              <w:t xml:space="preserve">the Digitalisation </w:t>
            </w:r>
            <w:r w:rsidR="004251F3">
              <w:rPr>
                <w:rFonts w:cstheme="minorHAnsi"/>
                <w:noProof/>
                <w:szCs w:val="20"/>
              </w:rPr>
              <w:t xml:space="preserve">and the Upgrading digital company law </w:t>
            </w:r>
            <w:r w:rsidR="00862607" w:rsidRPr="00CC01B4">
              <w:rPr>
                <w:rFonts w:cstheme="minorHAnsi"/>
                <w:noProof/>
                <w:szCs w:val="20"/>
              </w:rPr>
              <w:t>Directive</w:t>
            </w:r>
            <w:r w:rsidR="004251F3">
              <w:rPr>
                <w:rFonts w:cstheme="minorHAnsi"/>
                <w:noProof/>
                <w:szCs w:val="20"/>
              </w:rPr>
              <w:t>s</w:t>
            </w:r>
            <w:r w:rsidRPr="00CC01B4">
              <w:rPr>
                <w:rFonts w:cstheme="minorHAnsi"/>
                <w:noProof/>
                <w:szCs w:val="20"/>
              </w:rPr>
              <w:t xml:space="preserve">. PO7b complements these objectives by reducing legal fragmentation stemming from divergent national formalities, without interfering with substantive national property or contract law. </w:t>
            </w:r>
            <w:r w:rsidR="008E7442">
              <w:rPr>
                <w:rFonts w:cstheme="minorHAnsi"/>
                <w:noProof/>
                <w:szCs w:val="20"/>
              </w:rPr>
              <w:t>All policy options are</w:t>
            </w:r>
            <w:r w:rsidRPr="00CC01B4">
              <w:rPr>
                <w:rFonts w:cstheme="minorHAnsi"/>
                <w:noProof/>
                <w:szCs w:val="20"/>
              </w:rPr>
              <w:t xml:space="preserve"> particularly coherent with </w:t>
            </w:r>
            <w:r w:rsidR="00225F05">
              <w:rPr>
                <w:rFonts w:cstheme="minorHAnsi"/>
                <w:noProof/>
                <w:szCs w:val="20"/>
              </w:rPr>
              <w:t xml:space="preserve">the </w:t>
            </w:r>
            <w:r w:rsidR="00D74B0C">
              <w:rPr>
                <w:rFonts w:cstheme="minorHAnsi"/>
                <w:noProof/>
                <w:szCs w:val="20"/>
              </w:rPr>
              <w:t>Savings and Investment</w:t>
            </w:r>
            <w:r w:rsidR="00225F05">
              <w:rPr>
                <w:rFonts w:cstheme="minorHAnsi"/>
                <w:noProof/>
                <w:szCs w:val="20"/>
              </w:rPr>
              <w:t xml:space="preserve"> </w:t>
            </w:r>
            <w:r w:rsidRPr="00CC01B4">
              <w:rPr>
                <w:rFonts w:cstheme="minorHAnsi"/>
                <w:noProof/>
                <w:szCs w:val="20"/>
              </w:rPr>
              <w:t>U</w:t>
            </w:r>
            <w:r w:rsidR="00225F05">
              <w:rPr>
                <w:rFonts w:cstheme="minorHAnsi"/>
                <w:noProof/>
                <w:szCs w:val="20"/>
              </w:rPr>
              <w:t>nion</w:t>
            </w:r>
            <w:r w:rsidRPr="00CC01B4">
              <w:rPr>
                <w:rFonts w:cstheme="minorHAnsi"/>
                <w:noProof/>
                <w:szCs w:val="20"/>
              </w:rPr>
              <w:t xml:space="preserve">, </w:t>
            </w:r>
            <w:r w:rsidR="000D6AA2">
              <w:rPr>
                <w:rFonts w:cstheme="minorHAnsi"/>
                <w:noProof/>
                <w:szCs w:val="20"/>
              </w:rPr>
              <w:t>which</w:t>
            </w:r>
            <w:r w:rsidRPr="00CC01B4">
              <w:rPr>
                <w:rFonts w:cstheme="minorHAnsi"/>
                <w:noProof/>
                <w:szCs w:val="20"/>
              </w:rPr>
              <w:t xml:space="preserve"> supports </w:t>
            </w:r>
            <w:r w:rsidR="00A1421D">
              <w:rPr>
                <w:rFonts w:cstheme="minorHAnsi"/>
                <w:noProof/>
                <w:szCs w:val="20"/>
              </w:rPr>
              <w:t>both</w:t>
            </w:r>
            <w:r w:rsidR="00C45DFA" w:rsidRPr="00C45DFA">
              <w:rPr>
                <w:rFonts w:cstheme="minorHAnsi"/>
                <w:noProof/>
                <w:szCs w:val="20"/>
              </w:rPr>
              <w:t xml:space="preserve"> exits by investors in private companies</w:t>
            </w:r>
            <w:r w:rsidR="001E3BF5">
              <w:rPr>
                <w:rFonts w:cstheme="minorHAnsi"/>
                <w:noProof/>
                <w:szCs w:val="20"/>
              </w:rPr>
              <w:t xml:space="preserve"> </w:t>
            </w:r>
            <w:r w:rsidR="006E285B">
              <w:rPr>
                <w:rFonts w:cstheme="minorHAnsi"/>
                <w:noProof/>
                <w:szCs w:val="20"/>
              </w:rPr>
              <w:t>and</w:t>
            </w:r>
            <w:r w:rsidRPr="00CC01B4">
              <w:rPr>
                <w:rFonts w:cstheme="minorHAnsi"/>
                <w:noProof/>
                <w:szCs w:val="20"/>
              </w:rPr>
              <w:t xml:space="preserve"> deeper and more integrated EU capital markets by facilitating IPO exits</w:t>
            </w:r>
            <w:r w:rsidR="00D74B0C">
              <w:rPr>
                <w:rFonts w:cstheme="minorHAnsi"/>
                <w:noProof/>
                <w:szCs w:val="20"/>
              </w:rPr>
              <w:t>.</w:t>
            </w:r>
            <w:r w:rsidRPr="00CC01B4">
              <w:rPr>
                <w:rFonts w:cstheme="minorHAnsi"/>
                <w:noProof/>
                <w:szCs w:val="20"/>
              </w:rPr>
              <w:t xml:space="preserve"> Overall, PO7c delivers the strongest external coherence by maximising alignment with broader EU investment, competitiveness and market-integration policies.</w:t>
            </w:r>
          </w:p>
        </w:tc>
      </w:tr>
    </w:tbl>
    <w:p w14:paraId="65F433AE" w14:textId="77777777" w:rsidR="00EC71E4" w:rsidRPr="003C52CD" w:rsidRDefault="00EC71E4" w:rsidP="00EC71E4">
      <w:pPr>
        <w:rPr>
          <w:noProof/>
        </w:rPr>
      </w:pPr>
    </w:p>
    <w:p w14:paraId="6102A901" w14:textId="77777777" w:rsidR="0068111A" w:rsidRDefault="0068111A" w:rsidP="00C4288E">
      <w:pPr>
        <w:pStyle w:val="Heading1"/>
        <w:numPr>
          <w:ilvl w:val="1"/>
          <w:numId w:val="14"/>
        </w:numPr>
        <w:tabs>
          <w:tab w:val="num" w:pos="360"/>
          <w:tab w:val="num" w:pos="1200"/>
        </w:tabs>
        <w:ind w:left="1134" w:hanging="774"/>
        <w:rPr>
          <w:noProof/>
          <w:szCs w:val="24"/>
        </w:rPr>
      </w:pPr>
      <w:bookmarkStart w:id="108" w:name="_Toc126870463"/>
      <w:bookmarkStart w:id="109" w:name="_Toc126873046"/>
      <w:bookmarkStart w:id="110" w:name="_Toc126916132"/>
      <w:bookmarkStart w:id="111" w:name="_Toc126916947"/>
      <w:bookmarkStart w:id="112" w:name="_Toc126919393"/>
      <w:bookmarkStart w:id="113" w:name="_Toc126919848"/>
      <w:bookmarkStart w:id="114" w:name="_Toc126928441"/>
      <w:bookmarkStart w:id="115" w:name="_Toc126930818"/>
      <w:r w:rsidRPr="00C457EC">
        <w:rPr>
          <w:noProof/>
          <w:szCs w:val="24"/>
        </w:rPr>
        <w:t>Overview of the assessment of the options</w:t>
      </w:r>
      <w:bookmarkEnd w:id="108"/>
      <w:bookmarkEnd w:id="109"/>
      <w:bookmarkEnd w:id="110"/>
      <w:bookmarkEnd w:id="111"/>
      <w:bookmarkEnd w:id="112"/>
      <w:bookmarkEnd w:id="113"/>
      <w:bookmarkEnd w:id="114"/>
      <w:bookmarkEnd w:id="115"/>
      <w:r w:rsidRPr="00C457EC">
        <w:rPr>
          <w:noProof/>
          <w:szCs w:val="24"/>
        </w:rPr>
        <w:t xml:space="preserve"> </w:t>
      </w:r>
    </w:p>
    <w:p w14:paraId="3E1A7131" w14:textId="4966EC64" w:rsidR="0068111A" w:rsidRDefault="0068111A" w:rsidP="0068111A">
      <w:pPr>
        <w:tabs>
          <w:tab w:val="left" w:pos="2460"/>
        </w:tabs>
        <w:ind w:firstLine="360"/>
        <w:rPr>
          <w:rFonts w:asciiTheme="minorHAnsi" w:hAnsiTheme="minorHAnsi"/>
          <w:b/>
          <w:noProof/>
          <w:lang w:val="en-US"/>
        </w:rPr>
      </w:pPr>
      <w:r>
        <w:rPr>
          <w:b/>
          <w:noProof/>
          <w:lang w:val="en-US"/>
        </w:rPr>
        <w:t>2.5.1 Multi-</w:t>
      </w:r>
      <w:r w:rsidR="002F7577">
        <w:rPr>
          <w:b/>
          <w:noProof/>
          <w:lang w:val="en-US"/>
        </w:rPr>
        <w:t>C</w:t>
      </w:r>
      <w:r>
        <w:rPr>
          <w:b/>
          <w:noProof/>
          <w:lang w:val="en-US"/>
        </w:rPr>
        <w:t>riteria Analysis</w:t>
      </w:r>
      <w:r>
        <w:rPr>
          <w:b/>
          <w:noProof/>
          <w:lang w:val="en-US"/>
        </w:rPr>
        <w:tab/>
      </w:r>
    </w:p>
    <w:p w14:paraId="154FF610" w14:textId="267B088E" w:rsidR="00BB1F99" w:rsidRDefault="0068111A" w:rsidP="00E95F42">
      <w:pPr>
        <w:tabs>
          <w:tab w:val="left" w:pos="2460"/>
        </w:tabs>
        <w:ind w:right="-1"/>
        <w:jc w:val="both"/>
        <w:rPr>
          <w:noProof/>
        </w:rPr>
      </w:pPr>
      <w:r w:rsidRPr="00A0575B">
        <w:rPr>
          <w:noProof/>
        </w:rPr>
        <w:t xml:space="preserve">To compare the policy options in their relative impacts, we have performed a Multi-Criteria Analysis (MCA). As it is an integrative framework, the MCA allows us to include all retained policy options and assess them against the identified impacts. </w:t>
      </w:r>
      <w:r w:rsidR="000379F7">
        <w:rPr>
          <w:noProof/>
        </w:rPr>
        <w:t>The</w:t>
      </w:r>
      <w:r w:rsidRPr="00A0575B">
        <w:rPr>
          <w:noProof/>
        </w:rPr>
        <w:t xml:space="preserve"> analysis </w:t>
      </w:r>
      <w:r w:rsidR="00AF7B9D">
        <w:rPr>
          <w:noProof/>
        </w:rPr>
        <w:t>relies</w:t>
      </w:r>
      <w:r w:rsidRPr="00A0575B">
        <w:rPr>
          <w:noProof/>
        </w:rPr>
        <w:t xml:space="preserve"> on the following two components:</w:t>
      </w:r>
    </w:p>
    <w:p w14:paraId="1294BBCB" w14:textId="3506F10A" w:rsidR="00E95F42" w:rsidRDefault="00E95F42" w:rsidP="001B383B">
      <w:pPr>
        <w:pStyle w:val="ListParagraph"/>
        <w:numPr>
          <w:ilvl w:val="0"/>
          <w:numId w:val="22"/>
        </w:numPr>
        <w:tabs>
          <w:tab w:val="left" w:pos="2460"/>
        </w:tabs>
        <w:spacing w:before="240" w:after="160" w:line="256" w:lineRule="auto"/>
        <w:ind w:left="426" w:right="-1" w:hanging="426"/>
        <w:contextualSpacing/>
        <w:jc w:val="both"/>
        <w:rPr>
          <w:noProof/>
        </w:rPr>
      </w:pPr>
      <w:r w:rsidRPr="00E95F42">
        <w:rPr>
          <w:noProof/>
        </w:rPr>
        <w:t xml:space="preserve">The scores assigned to each Policy Option </w:t>
      </w:r>
      <w:r w:rsidR="007D7C23">
        <w:rPr>
          <w:noProof/>
        </w:rPr>
        <w:t xml:space="preserve">are </w:t>
      </w:r>
      <w:r w:rsidRPr="00E95F42">
        <w:rPr>
          <w:noProof/>
        </w:rPr>
        <w:t>net of the baseline. The scoring system is represented on a</w:t>
      </w:r>
      <w:r w:rsidR="007D7C23">
        <w:rPr>
          <w:noProof/>
        </w:rPr>
        <w:t xml:space="preserve"> </w:t>
      </w:r>
      <w:r w:rsidR="007D7C23" w:rsidRPr="00E95F42">
        <w:rPr>
          <w:noProof/>
        </w:rPr>
        <w:t xml:space="preserve">0-5 </w:t>
      </w:r>
      <w:r w:rsidRPr="00E95F42">
        <w:rPr>
          <w:noProof/>
        </w:rPr>
        <w:t>scale and is based on the in-depth analysis of the available evidence of the impacts.</w:t>
      </w:r>
    </w:p>
    <w:p w14:paraId="7B5FA72C" w14:textId="1A971BA7" w:rsidR="001B383B" w:rsidRDefault="0068111A">
      <w:pPr>
        <w:pStyle w:val="ListParagraph"/>
        <w:numPr>
          <w:ilvl w:val="0"/>
          <w:numId w:val="22"/>
        </w:numPr>
        <w:tabs>
          <w:tab w:val="left" w:pos="2460"/>
        </w:tabs>
        <w:spacing w:before="240" w:after="160" w:line="256" w:lineRule="auto"/>
        <w:ind w:left="426" w:right="-1" w:hanging="426"/>
        <w:contextualSpacing/>
        <w:jc w:val="both"/>
        <w:rPr>
          <w:noProof/>
        </w:rPr>
      </w:pPr>
      <w:r w:rsidRPr="00A0575B">
        <w:rPr>
          <w:noProof/>
        </w:rPr>
        <w:t>The weights assigned to each impact represent the relative importance assigned to them. To ensure robustness, we have taken two approaches in the distribution of weights:</w:t>
      </w:r>
    </w:p>
    <w:p w14:paraId="1F9D430A" w14:textId="0A8DFE34" w:rsidR="0068111A" w:rsidRPr="00A0575B" w:rsidRDefault="0068111A" w:rsidP="001B383B">
      <w:pPr>
        <w:pStyle w:val="ListParagraph"/>
        <w:numPr>
          <w:ilvl w:val="1"/>
          <w:numId w:val="22"/>
        </w:numPr>
        <w:tabs>
          <w:tab w:val="left" w:pos="2460"/>
        </w:tabs>
        <w:spacing w:before="0" w:after="160" w:line="256" w:lineRule="auto"/>
        <w:ind w:left="709" w:right="-1" w:hanging="283"/>
        <w:jc w:val="both"/>
        <w:rPr>
          <w:noProof/>
        </w:rPr>
      </w:pPr>
      <w:r w:rsidRPr="003B03D3">
        <w:rPr>
          <w:noProof/>
          <w:u w:val="single"/>
        </w:rPr>
        <w:t xml:space="preserve">Approach </w:t>
      </w:r>
      <w:r w:rsidRPr="00A0575B">
        <w:rPr>
          <w:noProof/>
          <w:u w:val="single"/>
        </w:rPr>
        <w:t>1</w:t>
      </w:r>
      <w:r w:rsidRPr="00A0575B">
        <w:rPr>
          <w:noProof/>
        </w:rPr>
        <w:t>: A weight of 30% for Effectiveness, 60% for Efficiency and 10% for Coherence.</w:t>
      </w:r>
    </w:p>
    <w:p w14:paraId="6088251A" w14:textId="3ACD6846" w:rsidR="00AC596B" w:rsidRPr="00AC596B" w:rsidRDefault="00AC596B" w:rsidP="00AC596B">
      <w:pPr>
        <w:pStyle w:val="ListParagraph"/>
        <w:numPr>
          <w:ilvl w:val="2"/>
          <w:numId w:val="22"/>
        </w:numPr>
        <w:tabs>
          <w:tab w:val="left" w:pos="2460"/>
        </w:tabs>
        <w:spacing w:before="0" w:line="257" w:lineRule="auto"/>
        <w:ind w:left="1134" w:hanging="283"/>
        <w:jc w:val="both"/>
        <w:rPr>
          <w:noProof/>
          <w:lang w:val="en-IE"/>
        </w:rPr>
      </w:pPr>
      <w:r w:rsidRPr="00AC596B">
        <w:rPr>
          <w:noProof/>
          <w:lang w:val="en-IE"/>
        </w:rPr>
        <w:t>Effectiveness was assigned a weight of 30%, as all retained policy options contribute positively to the achievement of the core objectives of the initiative. Differences between options mainly concern the extent, scope and timing of their contribution to these objectives, rather than the presence or absence of an effect. As a result, effectiveness plays an important but not decisive role in differentiating between policy options.</w:t>
      </w:r>
      <w:r w:rsidR="00832BCD">
        <w:rPr>
          <w:noProof/>
          <w:lang w:val="en-IE"/>
        </w:rPr>
        <w:t xml:space="preserve"> </w:t>
      </w:r>
      <w:r w:rsidR="00832BCD" w:rsidRPr="00232FAD">
        <w:rPr>
          <w:noProof/>
          <w:lang w:val="en-IE"/>
        </w:rPr>
        <w:t>Effectiveness was assessed by scoring each of the three specific objectives separately, with each objective assigned a</w:t>
      </w:r>
      <w:r w:rsidR="00153420">
        <w:rPr>
          <w:noProof/>
          <w:lang w:val="en-IE"/>
        </w:rPr>
        <w:t>n equal</w:t>
      </w:r>
      <w:r w:rsidR="00832BCD" w:rsidRPr="00232FAD">
        <w:rPr>
          <w:noProof/>
          <w:lang w:val="en-IE"/>
        </w:rPr>
        <w:t xml:space="preserve"> weight of 10%.</w:t>
      </w:r>
    </w:p>
    <w:p w14:paraId="62044497" w14:textId="2AD32D8C" w:rsidR="00AC596B" w:rsidRPr="00AC596B" w:rsidRDefault="00AC596B" w:rsidP="00AC596B">
      <w:pPr>
        <w:pStyle w:val="ListParagraph"/>
        <w:numPr>
          <w:ilvl w:val="2"/>
          <w:numId w:val="22"/>
        </w:numPr>
        <w:tabs>
          <w:tab w:val="left" w:pos="2460"/>
        </w:tabs>
        <w:spacing w:before="0" w:line="257" w:lineRule="auto"/>
        <w:ind w:left="1134" w:hanging="283"/>
        <w:jc w:val="both"/>
        <w:rPr>
          <w:noProof/>
          <w:lang w:val="en-IE"/>
        </w:rPr>
      </w:pPr>
      <w:r w:rsidRPr="00AC596B">
        <w:rPr>
          <w:noProof/>
          <w:lang w:val="en-IE"/>
        </w:rPr>
        <w:t>Efficiency was assigned a weight of 60%, as the largest differences between retained policy options relate to the magnitude and distribution of costs and benefits for companies, investors and public authorities. Policy options differ substantially in terms of administrative burden reduction, adjustment costs, ease of use, and impacts on cross-border activity and investment. Efficiency therefore provides the greatest discriminating power between options and is the criterion for which the most detailed and robust evidence is available, including quantified estimates of administrative burden reductions.</w:t>
      </w:r>
      <w:r w:rsidR="00480592" w:rsidRPr="00480592">
        <w:rPr>
          <w:noProof/>
        </w:rPr>
        <w:t xml:space="preserve"> </w:t>
      </w:r>
      <w:r w:rsidR="00480592" w:rsidRPr="00480592">
        <w:rPr>
          <w:noProof/>
          <w:lang w:val="en-IE"/>
        </w:rPr>
        <w:t>Efficiency was assessed through seven distinct impacts, of which five impacts were each assigned a weight of 10% and two impacts (costs and benefits for public authorities) were each assigned a weight of 5%, with the overall efficiency score reflecting the net effect of benefits minus costs.</w:t>
      </w:r>
    </w:p>
    <w:p w14:paraId="58C83D87" w14:textId="77777777" w:rsidR="00AC596B" w:rsidRPr="00AC596B" w:rsidRDefault="00AC596B" w:rsidP="00AC596B">
      <w:pPr>
        <w:pStyle w:val="ListParagraph"/>
        <w:numPr>
          <w:ilvl w:val="2"/>
          <w:numId w:val="22"/>
        </w:numPr>
        <w:tabs>
          <w:tab w:val="left" w:pos="2460"/>
        </w:tabs>
        <w:spacing w:before="0" w:line="257" w:lineRule="auto"/>
        <w:ind w:left="1134" w:hanging="283"/>
        <w:jc w:val="both"/>
        <w:rPr>
          <w:noProof/>
          <w:lang w:val="en-IE"/>
        </w:rPr>
      </w:pPr>
      <w:r w:rsidRPr="00AC596B">
        <w:rPr>
          <w:noProof/>
          <w:lang w:val="en-IE"/>
        </w:rPr>
        <w:t>Coherence was assigned a weight of 10%, reflecting that all retained policy options are broadly coherent with existing EU company law, digitalisation initiatives and Single Market objectives. Differences between options in terms of coherence are limited and mainly relate to the degree of alignment with existing instruments and frameworks, rather than to fundamental inconsistencies. Coherence is therefore included to ensure overall policy consistency, but does not drive the ranking of options.</w:t>
      </w:r>
    </w:p>
    <w:p w14:paraId="29CB1A6D" w14:textId="72820283" w:rsidR="009619CE" w:rsidRDefault="0068111A" w:rsidP="007F1E65">
      <w:pPr>
        <w:pStyle w:val="ListParagraph"/>
        <w:numPr>
          <w:ilvl w:val="1"/>
          <w:numId w:val="22"/>
        </w:numPr>
        <w:tabs>
          <w:tab w:val="left" w:pos="2460"/>
        </w:tabs>
        <w:spacing w:before="0" w:after="160" w:line="256" w:lineRule="auto"/>
        <w:ind w:left="709" w:right="-1" w:hanging="283"/>
        <w:jc w:val="both"/>
        <w:rPr>
          <w:noProof/>
        </w:rPr>
      </w:pPr>
      <w:r w:rsidRPr="003B03D3">
        <w:rPr>
          <w:noProof/>
          <w:u w:val="single"/>
        </w:rPr>
        <w:t xml:space="preserve">Approach </w:t>
      </w:r>
      <w:r w:rsidRPr="00A0575B">
        <w:rPr>
          <w:noProof/>
          <w:u w:val="single"/>
        </w:rPr>
        <w:t>2</w:t>
      </w:r>
      <w:r w:rsidRPr="00A0575B">
        <w:rPr>
          <w:noProof/>
        </w:rPr>
        <w:t xml:space="preserve">: An alternative </w:t>
      </w:r>
      <w:r w:rsidR="004F4289">
        <w:rPr>
          <w:noProof/>
        </w:rPr>
        <w:t>scenario</w:t>
      </w:r>
      <w:r w:rsidRPr="00A0575B">
        <w:rPr>
          <w:noProof/>
        </w:rPr>
        <w:t xml:space="preserve"> is to assign equal weights to Effectiveness and Efficiency (45% for each) and 10% for </w:t>
      </w:r>
      <w:r w:rsidR="004F4289">
        <w:rPr>
          <w:noProof/>
        </w:rPr>
        <w:t>C</w:t>
      </w:r>
      <w:r w:rsidRPr="00A0575B">
        <w:rPr>
          <w:noProof/>
        </w:rPr>
        <w:t>oherence.</w:t>
      </w:r>
    </w:p>
    <w:p w14:paraId="6FC199DE" w14:textId="3CDDDBF6" w:rsidR="0068111A" w:rsidRPr="00A0575B" w:rsidRDefault="0068111A" w:rsidP="00ED7492">
      <w:pPr>
        <w:pStyle w:val="ListParagraph"/>
        <w:numPr>
          <w:ilvl w:val="2"/>
          <w:numId w:val="22"/>
        </w:numPr>
        <w:tabs>
          <w:tab w:val="left" w:pos="2460"/>
        </w:tabs>
        <w:spacing w:before="0" w:after="160" w:line="256" w:lineRule="auto"/>
        <w:ind w:left="1134" w:right="-1" w:hanging="283"/>
        <w:jc w:val="both"/>
        <w:rPr>
          <w:noProof/>
        </w:rPr>
      </w:pPr>
      <w:r w:rsidRPr="00A0575B">
        <w:rPr>
          <w:noProof/>
        </w:rPr>
        <w:t>The logic behind the specific distribution of weights and impacts is identical to the first approach. What we notice is that the results of the MCA hold even after these weights have been changed to ensure equal significance for the effectiveness and efficiency.</w:t>
      </w:r>
    </w:p>
    <w:p w14:paraId="7138C46B" w14:textId="115EE860" w:rsidR="0068111A" w:rsidRPr="00A0575B" w:rsidRDefault="0068111A" w:rsidP="0012629B">
      <w:pPr>
        <w:tabs>
          <w:tab w:val="left" w:pos="2460"/>
        </w:tabs>
        <w:spacing w:before="0" w:after="160" w:line="256" w:lineRule="auto"/>
        <w:ind w:right="-1"/>
        <w:jc w:val="both"/>
        <w:rPr>
          <w:noProof/>
        </w:rPr>
      </w:pPr>
      <w:r w:rsidRPr="00A0575B">
        <w:rPr>
          <w:noProof/>
        </w:rPr>
        <w:t>The total weighed score for each policy option are calculated as the scores of each policy options against the identified impacts, multiplied by the weight assigned to each specific impact. The weighted performance of the costs is subtracted. All policy options lead to a net benefit, indicating that the benefits outweigh the costs.</w:t>
      </w:r>
    </w:p>
    <w:p w14:paraId="29D436EE" w14:textId="795A30C5" w:rsidR="0068111A" w:rsidRPr="00A0575B" w:rsidRDefault="0068111A" w:rsidP="009D1193">
      <w:pPr>
        <w:pStyle w:val="ListParagraph"/>
        <w:numPr>
          <w:ilvl w:val="0"/>
          <w:numId w:val="23"/>
        </w:numPr>
        <w:tabs>
          <w:tab w:val="left" w:pos="2460"/>
        </w:tabs>
        <w:spacing w:before="0" w:after="160" w:line="256" w:lineRule="auto"/>
        <w:ind w:left="709" w:right="-1" w:hanging="283"/>
        <w:jc w:val="both"/>
        <w:rPr>
          <w:noProof/>
        </w:rPr>
      </w:pPr>
      <w:r w:rsidRPr="00A0575B">
        <w:rPr>
          <w:noProof/>
        </w:rPr>
        <w:t xml:space="preserve">Under the </w:t>
      </w:r>
      <w:r w:rsidR="008210A0">
        <w:rPr>
          <w:noProof/>
        </w:rPr>
        <w:t>main approach</w:t>
      </w:r>
      <w:r w:rsidRPr="00A0575B">
        <w:rPr>
          <w:noProof/>
        </w:rPr>
        <w:t xml:space="preserve"> (30-60-10</w:t>
      </w:r>
      <w:r w:rsidR="0084681C">
        <w:rPr>
          <w:noProof/>
        </w:rPr>
        <w:t>%</w:t>
      </w:r>
      <w:r w:rsidR="00A83122">
        <w:rPr>
          <w:noProof/>
        </w:rPr>
        <w:t xml:space="preserve"> weights</w:t>
      </w:r>
      <w:r w:rsidRPr="00A0575B">
        <w:rPr>
          <w:noProof/>
        </w:rPr>
        <w:t xml:space="preserve">), we observe that </w:t>
      </w:r>
      <w:r w:rsidR="00DE60A0" w:rsidRPr="00DE60A0">
        <w:rPr>
          <w:noProof/>
        </w:rPr>
        <w:t>policy options</w:t>
      </w:r>
      <w:r w:rsidR="00495C5C">
        <w:rPr>
          <w:noProof/>
        </w:rPr>
        <w:t xml:space="preserve"> 1c,</w:t>
      </w:r>
      <w:r w:rsidR="00DE60A0" w:rsidRPr="00DE60A0">
        <w:rPr>
          <w:noProof/>
        </w:rPr>
        <w:t xml:space="preserve"> 3c, 4c, 5c, 6b and 7c rank highest </w:t>
      </w:r>
      <w:r w:rsidR="00AE3220">
        <w:rPr>
          <w:noProof/>
        </w:rPr>
        <w:t>under</w:t>
      </w:r>
      <w:r w:rsidR="00AE3220" w:rsidRPr="00DE60A0">
        <w:rPr>
          <w:noProof/>
        </w:rPr>
        <w:t xml:space="preserve"> </w:t>
      </w:r>
      <w:r w:rsidR="00DE60A0" w:rsidRPr="00DE60A0">
        <w:rPr>
          <w:noProof/>
        </w:rPr>
        <w:t xml:space="preserve">all three </w:t>
      </w:r>
      <w:r w:rsidR="00AE3220">
        <w:rPr>
          <w:noProof/>
        </w:rPr>
        <w:t>criteria</w:t>
      </w:r>
      <w:r w:rsidR="00DE60A0" w:rsidRPr="00DE60A0">
        <w:rPr>
          <w:noProof/>
        </w:rPr>
        <w:t xml:space="preserve">. </w:t>
      </w:r>
      <w:r w:rsidR="0084681C">
        <w:rPr>
          <w:noProof/>
        </w:rPr>
        <w:t>Policy o</w:t>
      </w:r>
      <w:r w:rsidR="00DE60A0" w:rsidRPr="00DE60A0">
        <w:rPr>
          <w:noProof/>
        </w:rPr>
        <w:t xml:space="preserve">ption </w:t>
      </w:r>
      <w:r w:rsidR="00AE3220">
        <w:rPr>
          <w:noProof/>
        </w:rPr>
        <w:t>2</w:t>
      </w:r>
      <w:r w:rsidR="00DE60A0" w:rsidRPr="00DE60A0">
        <w:rPr>
          <w:noProof/>
        </w:rPr>
        <w:t>b scores higher due to efficiency.</w:t>
      </w:r>
    </w:p>
    <w:p w14:paraId="1186FE3D" w14:textId="0F26D274" w:rsidR="0068111A" w:rsidRPr="00A0575B" w:rsidRDefault="0068111A" w:rsidP="009D1193">
      <w:pPr>
        <w:pStyle w:val="ListParagraph"/>
        <w:numPr>
          <w:ilvl w:val="0"/>
          <w:numId w:val="23"/>
        </w:numPr>
        <w:tabs>
          <w:tab w:val="left" w:pos="2460"/>
        </w:tabs>
        <w:spacing w:before="0" w:after="160" w:line="256" w:lineRule="auto"/>
        <w:ind w:left="709" w:right="-1" w:hanging="283"/>
        <w:contextualSpacing/>
        <w:jc w:val="both"/>
        <w:rPr>
          <w:noProof/>
          <w:color w:val="FF0000"/>
        </w:rPr>
      </w:pPr>
      <w:r w:rsidRPr="00A0575B">
        <w:rPr>
          <w:noProof/>
        </w:rPr>
        <w:t xml:space="preserve">Under the second </w:t>
      </w:r>
      <w:r w:rsidR="008210A0">
        <w:rPr>
          <w:noProof/>
        </w:rPr>
        <w:t>approach</w:t>
      </w:r>
      <w:r w:rsidRPr="00A0575B">
        <w:rPr>
          <w:noProof/>
        </w:rPr>
        <w:t xml:space="preserve"> (45-45-10</w:t>
      </w:r>
      <w:r w:rsidR="0084681C">
        <w:rPr>
          <w:noProof/>
        </w:rPr>
        <w:t>%</w:t>
      </w:r>
      <w:r w:rsidR="00A83122">
        <w:rPr>
          <w:noProof/>
        </w:rPr>
        <w:t xml:space="preserve"> weights</w:t>
      </w:r>
      <w:r w:rsidRPr="00A0575B">
        <w:rPr>
          <w:noProof/>
        </w:rPr>
        <w:t xml:space="preserve">), the results hold. The same policy options (as under the </w:t>
      </w:r>
      <w:r w:rsidR="00A36C64">
        <w:rPr>
          <w:noProof/>
        </w:rPr>
        <w:t xml:space="preserve">main </w:t>
      </w:r>
      <w:r w:rsidR="00CD72A9">
        <w:rPr>
          <w:noProof/>
        </w:rPr>
        <w:t>approach</w:t>
      </w:r>
      <w:r w:rsidRPr="00A0575B">
        <w:rPr>
          <w:noProof/>
        </w:rPr>
        <w:t xml:space="preserve">) </w:t>
      </w:r>
      <w:r w:rsidR="005C061C">
        <w:rPr>
          <w:noProof/>
        </w:rPr>
        <w:t xml:space="preserve">have the highest scores and </w:t>
      </w:r>
      <w:r w:rsidRPr="00A0575B">
        <w:rPr>
          <w:noProof/>
        </w:rPr>
        <w:t xml:space="preserve">are the preferred options, this time with </w:t>
      </w:r>
      <w:r w:rsidR="001B0B15">
        <w:rPr>
          <w:noProof/>
        </w:rPr>
        <w:t>slightly</w:t>
      </w:r>
      <w:r w:rsidRPr="00A0575B">
        <w:rPr>
          <w:noProof/>
        </w:rPr>
        <w:t xml:space="preserve"> higher </w:t>
      </w:r>
      <w:r w:rsidR="000967C2">
        <w:rPr>
          <w:noProof/>
        </w:rPr>
        <w:t xml:space="preserve">overall </w:t>
      </w:r>
      <w:r w:rsidRPr="00A0575B">
        <w:rPr>
          <w:noProof/>
        </w:rPr>
        <w:t>scores.</w:t>
      </w:r>
    </w:p>
    <w:p w14:paraId="3AD45782" w14:textId="77777777" w:rsidR="004B38E0" w:rsidRDefault="004B38E0" w:rsidP="004B38E0">
      <w:pPr>
        <w:tabs>
          <w:tab w:val="left" w:pos="2460"/>
        </w:tabs>
        <w:spacing w:before="0" w:after="160" w:line="256" w:lineRule="auto"/>
        <w:ind w:right="-1"/>
        <w:contextualSpacing/>
        <w:jc w:val="both"/>
        <w:rPr>
          <w:noProof/>
          <w:color w:val="FF0000"/>
        </w:rPr>
      </w:pPr>
    </w:p>
    <w:p w14:paraId="77AAEF7A" w14:textId="77777777" w:rsidR="00375243" w:rsidRDefault="00375243" w:rsidP="004B38E0">
      <w:pPr>
        <w:tabs>
          <w:tab w:val="left" w:pos="2460"/>
        </w:tabs>
        <w:spacing w:before="0" w:after="160" w:line="256" w:lineRule="auto"/>
        <w:ind w:right="-1"/>
        <w:contextualSpacing/>
        <w:jc w:val="both"/>
        <w:rPr>
          <w:i/>
          <w:iCs/>
          <w:noProof/>
          <w:color w:val="FF0000"/>
        </w:rPr>
        <w:sectPr w:rsidR="00375243" w:rsidSect="00BB1143">
          <w:headerReference w:type="default" r:id="rId30"/>
          <w:footerReference w:type="default" r:id="rId31"/>
          <w:pgSz w:w="11906" w:h="16838"/>
          <w:pgMar w:top="1418" w:right="1418" w:bottom="1418" w:left="1701" w:header="567" w:footer="340" w:gutter="0"/>
          <w:cols w:space="708"/>
          <w:docGrid w:linePitch="360"/>
        </w:sectPr>
      </w:pPr>
    </w:p>
    <w:p w14:paraId="00AFD4E4" w14:textId="217261ED" w:rsidR="004B38E0" w:rsidRDefault="00206809" w:rsidP="004B38E0">
      <w:pPr>
        <w:tabs>
          <w:tab w:val="left" w:pos="2460"/>
        </w:tabs>
        <w:spacing w:before="0" w:after="160" w:line="256" w:lineRule="auto"/>
        <w:ind w:right="-1"/>
        <w:contextualSpacing/>
        <w:jc w:val="both"/>
        <w:rPr>
          <w:noProof/>
          <w:color w:val="auto"/>
        </w:rPr>
      </w:pPr>
      <w:r w:rsidRPr="00206809">
        <w:rPr>
          <w:noProof/>
          <w:color w:val="auto"/>
        </w:rPr>
        <w:t>MCA table</w:t>
      </w:r>
      <w:r w:rsidR="009C6957">
        <w:rPr>
          <w:noProof/>
          <w:color w:val="auto"/>
        </w:rPr>
        <w:t xml:space="preserve"> main </w:t>
      </w:r>
      <w:r w:rsidR="004B3F74">
        <w:rPr>
          <w:noProof/>
          <w:color w:val="auto"/>
        </w:rPr>
        <w:t>scenario</w:t>
      </w:r>
      <w:r w:rsidRPr="00206809">
        <w:rPr>
          <w:noProof/>
          <w:color w:val="auto"/>
        </w:rPr>
        <w:t xml:space="preserve"> 30-60-10%</w:t>
      </w:r>
      <w:r w:rsidR="009C6957">
        <w:rPr>
          <w:noProof/>
          <w:color w:val="auto"/>
        </w:rPr>
        <w:t xml:space="preserve"> weights for effectiveness–efficiency–coherence:</w:t>
      </w:r>
    </w:p>
    <w:p w14:paraId="5C551850" w14:textId="77777777" w:rsidR="009C6957" w:rsidRPr="00206809" w:rsidRDefault="009C6957" w:rsidP="004B38E0">
      <w:pPr>
        <w:tabs>
          <w:tab w:val="left" w:pos="2460"/>
        </w:tabs>
        <w:spacing w:before="0" w:after="160" w:line="256" w:lineRule="auto"/>
        <w:ind w:right="-1"/>
        <w:contextualSpacing/>
        <w:jc w:val="both"/>
        <w:rPr>
          <w:noProof/>
          <w:color w:val="auto"/>
        </w:rPr>
      </w:pPr>
    </w:p>
    <w:tbl>
      <w:tblPr>
        <w:tblW w:w="0" w:type="auto"/>
        <w:tblLook w:val="04A0" w:firstRow="1" w:lastRow="0" w:firstColumn="1" w:lastColumn="0" w:noHBand="0" w:noVBand="1"/>
      </w:tblPr>
      <w:tblGrid>
        <w:gridCol w:w="1186"/>
        <w:gridCol w:w="684"/>
        <w:gridCol w:w="575"/>
        <w:gridCol w:w="585"/>
        <w:gridCol w:w="568"/>
        <w:gridCol w:w="576"/>
        <w:gridCol w:w="585"/>
        <w:gridCol w:w="568"/>
        <w:gridCol w:w="576"/>
        <w:gridCol w:w="585"/>
        <w:gridCol w:w="568"/>
        <w:gridCol w:w="576"/>
        <w:gridCol w:w="585"/>
        <w:gridCol w:w="568"/>
        <w:gridCol w:w="576"/>
        <w:gridCol w:w="585"/>
        <w:gridCol w:w="568"/>
        <w:gridCol w:w="576"/>
        <w:gridCol w:w="585"/>
        <w:gridCol w:w="568"/>
        <w:gridCol w:w="576"/>
        <w:gridCol w:w="585"/>
        <w:gridCol w:w="568"/>
      </w:tblGrid>
      <w:tr w:rsidR="00A36C64" w:rsidRPr="001E311E" w14:paraId="0C7C5622" w14:textId="77777777" w:rsidTr="605EB176">
        <w:trPr>
          <w:trHeight w:val="312"/>
        </w:trPr>
        <w:tc>
          <w:tcPr>
            <w:tcW w:w="0" w:type="auto"/>
            <w:tcBorders>
              <w:top w:val="single" w:sz="12" w:space="0" w:color="auto"/>
              <w:left w:val="single" w:sz="12" w:space="0" w:color="auto"/>
              <w:bottom w:val="single" w:sz="8" w:space="0" w:color="auto"/>
              <w:right w:val="single" w:sz="12" w:space="0" w:color="auto"/>
            </w:tcBorders>
            <w:shd w:val="clear" w:color="auto" w:fill="4472C4"/>
            <w:vAlign w:val="center"/>
            <w:hideMark/>
          </w:tcPr>
          <w:p w14:paraId="683A4A21"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 </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1F3AB519"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Weight</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2A424325"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PO1a</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4B16ABB9"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PO1b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3FC6A469"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PO1c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429E1F92"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PO2a</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472DEC32"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PO2b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47CB10EE"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PO2c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54556156"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PO3a</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6A840924"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PO3b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665F8F4E"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PO3c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7B098C62"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PO4a</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385B7EC4"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PO4b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291B0616"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PO4c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0CC54E84"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PO5a</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0861CD3D"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PO5b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2B0B41E0"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PO5c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69EB085D"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PO6a</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78ACB764"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PO6b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15046ED7"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PO6c</w:t>
            </w:r>
          </w:p>
        </w:tc>
        <w:tc>
          <w:tcPr>
            <w:tcW w:w="0" w:type="auto"/>
            <w:tcBorders>
              <w:top w:val="single" w:sz="12" w:space="0" w:color="auto"/>
              <w:left w:val="nil"/>
              <w:bottom w:val="single" w:sz="8" w:space="0" w:color="auto"/>
              <w:right w:val="nil"/>
            </w:tcBorders>
            <w:shd w:val="clear" w:color="auto" w:fill="4472C4"/>
            <w:vAlign w:val="center"/>
            <w:hideMark/>
          </w:tcPr>
          <w:p w14:paraId="661CFD27"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PO7a</w:t>
            </w:r>
          </w:p>
        </w:tc>
        <w:tc>
          <w:tcPr>
            <w:tcW w:w="0" w:type="auto"/>
            <w:tcBorders>
              <w:top w:val="single" w:sz="12" w:space="0" w:color="auto"/>
              <w:left w:val="nil"/>
              <w:bottom w:val="single" w:sz="8" w:space="0" w:color="auto"/>
              <w:right w:val="nil"/>
            </w:tcBorders>
            <w:shd w:val="clear" w:color="auto" w:fill="4472C4"/>
            <w:vAlign w:val="center"/>
            <w:hideMark/>
          </w:tcPr>
          <w:p w14:paraId="0128B337"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PO7b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116FE3A1" w14:textId="77777777" w:rsidR="001E311E" w:rsidRPr="001E311E" w:rsidRDefault="001E311E" w:rsidP="001E311E">
            <w:pPr>
              <w:spacing w:before="0" w:after="0"/>
              <w:jc w:val="center"/>
              <w:rPr>
                <w:rFonts w:ascii="Times New Roman" w:eastAsia="Times New Roman" w:hAnsi="Times New Roman" w:cs="Times New Roman"/>
                <w:b/>
                <w:bCs/>
                <w:noProof/>
                <w:color w:val="FFFFFF"/>
                <w:sz w:val="18"/>
                <w:szCs w:val="18"/>
                <w:lang w:val="en-IE" w:eastAsia="en-IE"/>
              </w:rPr>
            </w:pPr>
            <w:r w:rsidRPr="001E311E">
              <w:rPr>
                <w:rFonts w:ascii="Times New Roman" w:eastAsia="Times New Roman" w:hAnsi="Times New Roman" w:cs="Times New Roman"/>
                <w:b/>
                <w:bCs/>
                <w:noProof/>
                <w:color w:val="FFFFFF"/>
                <w:sz w:val="18"/>
                <w:szCs w:val="18"/>
                <w:lang w:val="en-IE" w:eastAsia="en-IE"/>
              </w:rPr>
              <w:t>PO7c</w:t>
            </w:r>
          </w:p>
        </w:tc>
      </w:tr>
      <w:tr w:rsidR="001E311E" w:rsidRPr="001E311E" w14:paraId="58C1A1AA" w14:textId="77777777" w:rsidTr="605EB176">
        <w:trPr>
          <w:trHeight w:val="300"/>
        </w:trPr>
        <w:tc>
          <w:tcPr>
            <w:tcW w:w="0" w:type="auto"/>
            <w:gridSpan w:val="23"/>
            <w:tcBorders>
              <w:top w:val="single" w:sz="8" w:space="0" w:color="auto"/>
              <w:left w:val="single" w:sz="12" w:space="0" w:color="auto"/>
              <w:bottom w:val="single" w:sz="8" w:space="0" w:color="auto"/>
              <w:right w:val="single" w:sz="12" w:space="0" w:color="000000" w:themeColor="text1"/>
            </w:tcBorders>
            <w:shd w:val="clear" w:color="auto" w:fill="B4C6E7"/>
            <w:vAlign w:val="center"/>
            <w:hideMark/>
          </w:tcPr>
          <w:p w14:paraId="19010FA3" w14:textId="77777777" w:rsidR="001E311E" w:rsidRPr="001E311E" w:rsidRDefault="001E311E" w:rsidP="001E311E">
            <w:pPr>
              <w:spacing w:before="0" w:after="0"/>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 xml:space="preserve">EFFECTIVENESS </w:t>
            </w:r>
            <w:r w:rsidRPr="001E311E">
              <w:rPr>
                <w:rFonts w:ascii="Times New Roman" w:eastAsia="Times New Roman" w:hAnsi="Times New Roman" w:cs="Times New Roman"/>
                <w:b/>
                <w:bCs/>
                <w:noProof/>
                <w:color w:val="FF0000"/>
                <w:sz w:val="18"/>
                <w:szCs w:val="18"/>
                <w:lang w:val="en-IE" w:eastAsia="en-IE"/>
              </w:rPr>
              <w:t>(30)</w:t>
            </w:r>
          </w:p>
        </w:tc>
      </w:tr>
      <w:tr w:rsidR="009C4055" w:rsidRPr="001E311E" w14:paraId="53ED4411" w14:textId="77777777" w:rsidTr="001E311E">
        <w:trPr>
          <w:trHeight w:val="1128"/>
        </w:trPr>
        <w:tc>
          <w:tcPr>
            <w:tcW w:w="0" w:type="auto"/>
            <w:tcBorders>
              <w:top w:val="nil"/>
              <w:left w:val="single" w:sz="12" w:space="0" w:color="auto"/>
              <w:bottom w:val="single" w:sz="8" w:space="0" w:color="auto"/>
              <w:right w:val="single" w:sz="12" w:space="0" w:color="auto"/>
            </w:tcBorders>
            <w:vAlign w:val="center"/>
            <w:hideMark/>
          </w:tcPr>
          <w:p w14:paraId="1763D6DB" w14:textId="27BC940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605EB176">
              <w:rPr>
                <w:rFonts w:ascii="Times New Roman" w:eastAsia="Times New Roman" w:hAnsi="Times New Roman" w:cs="Times New Roman"/>
                <w:noProof/>
                <w:sz w:val="18"/>
                <w:szCs w:val="18"/>
                <w:lang w:val="en-IE" w:eastAsia="en-IE"/>
              </w:rPr>
              <w:t xml:space="preserve">SO1: Provide a common corporate legal framework for </w:t>
            </w:r>
            <w:r w:rsidR="17FE6241" w:rsidRPr="605EB176">
              <w:rPr>
                <w:rFonts w:ascii="Times New Roman" w:eastAsia="Times New Roman" w:hAnsi="Times New Roman" w:cs="Times New Roman"/>
                <w:noProof/>
                <w:sz w:val="18"/>
                <w:szCs w:val="18"/>
                <w:lang w:val="en-IE" w:eastAsia="en-IE"/>
              </w:rPr>
              <w:t>s</w:t>
            </w:r>
            <w:r w:rsidR="159A8CAF" w:rsidRPr="605EB176">
              <w:rPr>
                <w:rFonts w:ascii="Times New Roman" w:eastAsia="Times New Roman" w:hAnsi="Times New Roman" w:cs="Times New Roman"/>
                <w:noProof/>
                <w:sz w:val="18"/>
                <w:szCs w:val="18"/>
                <w:lang w:val="en-IE" w:eastAsia="en-IE"/>
              </w:rPr>
              <w:t>tartup</w:t>
            </w:r>
            <w:r w:rsidR="17FE6241" w:rsidRPr="605EB176">
              <w:rPr>
                <w:rFonts w:ascii="Times New Roman" w:eastAsia="Times New Roman" w:hAnsi="Times New Roman" w:cs="Times New Roman"/>
                <w:noProof/>
                <w:sz w:val="18"/>
                <w:szCs w:val="18"/>
                <w:lang w:val="en-IE" w:eastAsia="en-IE"/>
              </w:rPr>
              <w:t>s</w:t>
            </w:r>
            <w:r w:rsidRPr="605EB176">
              <w:rPr>
                <w:rFonts w:ascii="Times New Roman" w:eastAsia="Times New Roman" w:hAnsi="Times New Roman" w:cs="Times New Roman"/>
                <w:noProof/>
                <w:sz w:val="18"/>
                <w:szCs w:val="18"/>
                <w:lang w:val="en-IE" w:eastAsia="en-IE"/>
              </w:rPr>
              <w:t xml:space="preserve"> and </w:t>
            </w:r>
            <w:r w:rsidR="17FE6241" w:rsidRPr="2A191B55">
              <w:rPr>
                <w:rFonts w:ascii="Times New Roman" w:eastAsia="Times New Roman" w:hAnsi="Times New Roman" w:cs="Times New Roman"/>
                <w:noProof/>
                <w:sz w:val="18"/>
                <w:szCs w:val="18"/>
                <w:lang w:val="en-IE" w:eastAsia="en-IE"/>
              </w:rPr>
              <w:t>s</w:t>
            </w:r>
            <w:r w:rsidR="7A83D3CC" w:rsidRPr="2A191B55">
              <w:rPr>
                <w:rFonts w:ascii="Times New Roman" w:eastAsia="Times New Roman" w:hAnsi="Times New Roman" w:cs="Times New Roman"/>
                <w:noProof/>
                <w:sz w:val="18"/>
                <w:szCs w:val="18"/>
                <w:lang w:val="en-IE" w:eastAsia="en-IE"/>
              </w:rPr>
              <w:t>caleup</w:t>
            </w:r>
            <w:r w:rsidR="17FE6241" w:rsidRPr="2A191B55">
              <w:rPr>
                <w:rFonts w:ascii="Times New Roman" w:eastAsia="Times New Roman" w:hAnsi="Times New Roman" w:cs="Times New Roman"/>
                <w:noProof/>
                <w:sz w:val="18"/>
                <w:szCs w:val="18"/>
                <w:lang w:val="en-IE" w:eastAsia="en-IE"/>
              </w:rPr>
              <w:t>s</w:t>
            </w:r>
            <w:r w:rsidRPr="605EB176">
              <w:rPr>
                <w:rFonts w:ascii="Times New Roman" w:eastAsia="Times New Roman" w:hAnsi="Times New Roman" w:cs="Times New Roman"/>
                <w:noProof/>
                <w:sz w:val="18"/>
                <w:szCs w:val="18"/>
                <w:lang w:val="en-IE" w:eastAsia="en-IE"/>
              </w:rPr>
              <w:t xml:space="preserve"> in the EU</w:t>
            </w:r>
          </w:p>
        </w:tc>
        <w:tc>
          <w:tcPr>
            <w:tcW w:w="0" w:type="auto"/>
            <w:tcBorders>
              <w:top w:val="nil"/>
              <w:left w:val="nil"/>
              <w:bottom w:val="single" w:sz="8" w:space="0" w:color="auto"/>
              <w:right w:val="single" w:sz="12" w:space="0" w:color="auto"/>
            </w:tcBorders>
            <w:vAlign w:val="center"/>
            <w:hideMark/>
          </w:tcPr>
          <w:p w14:paraId="6C36547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vAlign w:val="center"/>
            <w:hideMark/>
          </w:tcPr>
          <w:p w14:paraId="7B5443C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vAlign w:val="center"/>
            <w:hideMark/>
          </w:tcPr>
          <w:p w14:paraId="6ABA348A" w14:textId="5DB923A2"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vAlign w:val="center"/>
            <w:hideMark/>
          </w:tcPr>
          <w:p w14:paraId="047E71F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01E6F6C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4963FA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6313EFA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vAlign w:val="center"/>
            <w:hideMark/>
          </w:tcPr>
          <w:p w14:paraId="0EDF088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D56275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0D2FEC5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8" w:space="0" w:color="auto"/>
            </w:tcBorders>
            <w:vAlign w:val="center"/>
            <w:hideMark/>
          </w:tcPr>
          <w:p w14:paraId="028B17E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vAlign w:val="center"/>
            <w:hideMark/>
          </w:tcPr>
          <w:p w14:paraId="2D21DA2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6BA079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29C145E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76A29A6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570A878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49FE611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3EDEC24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02CF4C3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65AAFB6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6B7C2F3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162CE8D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r>
      <w:tr w:rsidR="009C4055" w:rsidRPr="001E311E" w14:paraId="1D227E47" w14:textId="77777777" w:rsidTr="001E311E">
        <w:trPr>
          <w:trHeight w:val="1188"/>
        </w:trPr>
        <w:tc>
          <w:tcPr>
            <w:tcW w:w="0" w:type="auto"/>
            <w:tcBorders>
              <w:top w:val="nil"/>
              <w:left w:val="single" w:sz="12" w:space="0" w:color="auto"/>
              <w:bottom w:val="single" w:sz="8" w:space="0" w:color="auto"/>
              <w:right w:val="single" w:sz="12" w:space="0" w:color="auto"/>
            </w:tcBorders>
            <w:vAlign w:val="center"/>
            <w:hideMark/>
          </w:tcPr>
          <w:p w14:paraId="50591059" w14:textId="18E6E1EE"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605EB176">
              <w:rPr>
                <w:rFonts w:ascii="Times New Roman" w:eastAsia="Times New Roman" w:hAnsi="Times New Roman" w:cs="Times New Roman"/>
                <w:noProof/>
                <w:sz w:val="18"/>
                <w:szCs w:val="18"/>
                <w:lang w:val="en-IE" w:eastAsia="en-IE"/>
              </w:rPr>
              <w:t xml:space="preserve">SO2: Provide simple and efficient corporate rules and procedures throughout the lifecycle of </w:t>
            </w:r>
            <w:r w:rsidR="17FE6241" w:rsidRPr="605EB176">
              <w:rPr>
                <w:rFonts w:ascii="Times New Roman" w:eastAsia="Times New Roman" w:hAnsi="Times New Roman" w:cs="Times New Roman"/>
                <w:noProof/>
                <w:sz w:val="18"/>
                <w:szCs w:val="18"/>
                <w:lang w:val="en-IE" w:eastAsia="en-IE"/>
              </w:rPr>
              <w:t>s</w:t>
            </w:r>
            <w:r w:rsidR="12EC07D9" w:rsidRPr="605EB176">
              <w:rPr>
                <w:rFonts w:ascii="Times New Roman" w:eastAsia="Times New Roman" w:hAnsi="Times New Roman" w:cs="Times New Roman"/>
                <w:noProof/>
                <w:sz w:val="18"/>
                <w:szCs w:val="18"/>
                <w:lang w:val="en-IE" w:eastAsia="en-IE"/>
              </w:rPr>
              <w:t>tartup</w:t>
            </w:r>
            <w:r w:rsidR="17FE6241" w:rsidRPr="605EB176">
              <w:rPr>
                <w:rFonts w:ascii="Times New Roman" w:eastAsia="Times New Roman" w:hAnsi="Times New Roman" w:cs="Times New Roman"/>
                <w:noProof/>
                <w:sz w:val="18"/>
                <w:szCs w:val="18"/>
                <w:lang w:val="en-IE" w:eastAsia="en-IE"/>
              </w:rPr>
              <w:t>s</w:t>
            </w:r>
            <w:r w:rsidRPr="605EB176">
              <w:rPr>
                <w:rFonts w:ascii="Times New Roman" w:eastAsia="Times New Roman" w:hAnsi="Times New Roman" w:cs="Times New Roman"/>
                <w:noProof/>
                <w:sz w:val="18"/>
                <w:szCs w:val="18"/>
                <w:lang w:val="en-IE" w:eastAsia="en-IE"/>
              </w:rPr>
              <w:t xml:space="preserve"> and </w:t>
            </w:r>
            <w:r w:rsidR="17FE6241" w:rsidRPr="2A191B55">
              <w:rPr>
                <w:rFonts w:ascii="Times New Roman" w:eastAsia="Times New Roman" w:hAnsi="Times New Roman" w:cs="Times New Roman"/>
                <w:noProof/>
                <w:sz w:val="18"/>
                <w:szCs w:val="18"/>
                <w:lang w:val="en-IE" w:eastAsia="en-IE"/>
              </w:rPr>
              <w:t>s</w:t>
            </w:r>
            <w:r w:rsidR="7A83D3CC" w:rsidRPr="2A191B55">
              <w:rPr>
                <w:rFonts w:ascii="Times New Roman" w:eastAsia="Times New Roman" w:hAnsi="Times New Roman" w:cs="Times New Roman"/>
                <w:noProof/>
                <w:sz w:val="18"/>
                <w:szCs w:val="18"/>
                <w:lang w:val="en-IE" w:eastAsia="en-IE"/>
              </w:rPr>
              <w:t>caleup</w:t>
            </w:r>
            <w:r w:rsidR="17FE6241" w:rsidRPr="2A191B55">
              <w:rPr>
                <w:rFonts w:ascii="Times New Roman" w:eastAsia="Times New Roman" w:hAnsi="Times New Roman" w:cs="Times New Roman"/>
                <w:noProof/>
                <w:sz w:val="18"/>
                <w:szCs w:val="18"/>
                <w:lang w:val="en-IE" w:eastAsia="en-IE"/>
              </w:rPr>
              <w:t>s</w:t>
            </w:r>
          </w:p>
        </w:tc>
        <w:tc>
          <w:tcPr>
            <w:tcW w:w="0" w:type="auto"/>
            <w:tcBorders>
              <w:top w:val="nil"/>
              <w:left w:val="nil"/>
              <w:bottom w:val="single" w:sz="8" w:space="0" w:color="auto"/>
              <w:right w:val="single" w:sz="12" w:space="0" w:color="auto"/>
            </w:tcBorders>
            <w:vAlign w:val="center"/>
            <w:hideMark/>
          </w:tcPr>
          <w:p w14:paraId="03D50DD0"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vAlign w:val="center"/>
            <w:hideMark/>
          </w:tcPr>
          <w:p w14:paraId="1F7F921F" w14:textId="4E90CB42"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single" w:sz="8" w:space="0" w:color="auto"/>
            </w:tcBorders>
            <w:vAlign w:val="center"/>
            <w:hideMark/>
          </w:tcPr>
          <w:p w14:paraId="7C157385" w14:textId="0782275F"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single" w:sz="12" w:space="0" w:color="auto"/>
            </w:tcBorders>
            <w:vAlign w:val="center"/>
            <w:hideMark/>
          </w:tcPr>
          <w:p w14:paraId="5DFDA15D" w14:textId="40C20133"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nil"/>
            </w:tcBorders>
            <w:vAlign w:val="center"/>
            <w:hideMark/>
          </w:tcPr>
          <w:p w14:paraId="662443E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single" w:sz="4" w:space="0" w:color="auto"/>
              <w:bottom w:val="single" w:sz="4" w:space="0" w:color="auto"/>
              <w:right w:val="single" w:sz="4" w:space="0" w:color="auto"/>
            </w:tcBorders>
            <w:vAlign w:val="center"/>
            <w:hideMark/>
          </w:tcPr>
          <w:p w14:paraId="184EBE7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1FED3C70"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6B34556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vAlign w:val="center"/>
            <w:hideMark/>
          </w:tcPr>
          <w:p w14:paraId="51BE0E0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032D6E9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vAlign w:val="center"/>
            <w:hideMark/>
          </w:tcPr>
          <w:p w14:paraId="00F7C82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vAlign w:val="center"/>
            <w:hideMark/>
          </w:tcPr>
          <w:p w14:paraId="3CC7713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single" w:sz="4" w:space="0" w:color="auto"/>
              <w:bottom w:val="single" w:sz="4" w:space="0" w:color="auto"/>
              <w:right w:val="single" w:sz="4" w:space="0" w:color="auto"/>
            </w:tcBorders>
            <w:vAlign w:val="center"/>
            <w:hideMark/>
          </w:tcPr>
          <w:p w14:paraId="4A4E458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37CE25E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7A9020C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0646255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4C12891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7E220A1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7AE9691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6772AB97" w14:textId="0AC23B7B" w:rsidR="001E311E" w:rsidRPr="001E311E" w:rsidRDefault="00396614"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352DBE43" w14:textId="7A99EB0D" w:rsidR="001E311E" w:rsidRPr="001E311E" w:rsidRDefault="00F84152"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36E8D43A" w14:textId="46D48B2A" w:rsidR="001E311E" w:rsidRPr="001E311E" w:rsidRDefault="00F84152"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r>
      <w:tr w:rsidR="009C4055" w:rsidRPr="001E311E" w14:paraId="1F4F71B3" w14:textId="77777777" w:rsidTr="001E311E">
        <w:trPr>
          <w:trHeight w:val="492"/>
        </w:trPr>
        <w:tc>
          <w:tcPr>
            <w:tcW w:w="0" w:type="auto"/>
            <w:tcBorders>
              <w:top w:val="nil"/>
              <w:left w:val="single" w:sz="12" w:space="0" w:color="auto"/>
              <w:bottom w:val="single" w:sz="8" w:space="0" w:color="auto"/>
              <w:right w:val="single" w:sz="12" w:space="0" w:color="auto"/>
            </w:tcBorders>
            <w:vAlign w:val="center"/>
            <w:hideMark/>
          </w:tcPr>
          <w:p w14:paraId="4F532F07"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SO3: Ensure that corporate rules provide an enabling framework to invest</w:t>
            </w:r>
          </w:p>
        </w:tc>
        <w:tc>
          <w:tcPr>
            <w:tcW w:w="0" w:type="auto"/>
            <w:tcBorders>
              <w:top w:val="nil"/>
              <w:left w:val="nil"/>
              <w:bottom w:val="single" w:sz="8" w:space="0" w:color="auto"/>
              <w:right w:val="single" w:sz="12" w:space="0" w:color="auto"/>
            </w:tcBorders>
            <w:vAlign w:val="center"/>
            <w:hideMark/>
          </w:tcPr>
          <w:p w14:paraId="453FF31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vAlign w:val="center"/>
            <w:hideMark/>
          </w:tcPr>
          <w:p w14:paraId="415D8123" w14:textId="4334C727"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single" w:sz="8" w:space="0" w:color="auto"/>
            </w:tcBorders>
            <w:vAlign w:val="center"/>
            <w:hideMark/>
          </w:tcPr>
          <w:p w14:paraId="3B2FF601" w14:textId="6A6C0766"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single" w:sz="12" w:space="0" w:color="auto"/>
            </w:tcBorders>
            <w:vAlign w:val="center"/>
            <w:hideMark/>
          </w:tcPr>
          <w:p w14:paraId="39FD597C" w14:textId="5414F88B"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nil"/>
            </w:tcBorders>
            <w:vAlign w:val="center"/>
            <w:hideMark/>
          </w:tcPr>
          <w:p w14:paraId="475EAAB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nil"/>
              <w:left w:val="single" w:sz="4" w:space="0" w:color="auto"/>
              <w:bottom w:val="single" w:sz="4" w:space="0" w:color="auto"/>
              <w:right w:val="single" w:sz="4" w:space="0" w:color="auto"/>
            </w:tcBorders>
            <w:vAlign w:val="center"/>
            <w:hideMark/>
          </w:tcPr>
          <w:p w14:paraId="15C7D89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2ECCF5D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nil"/>
            </w:tcBorders>
            <w:vAlign w:val="center"/>
            <w:hideMark/>
          </w:tcPr>
          <w:p w14:paraId="080022E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nil"/>
              <w:left w:val="single" w:sz="4" w:space="0" w:color="auto"/>
              <w:bottom w:val="single" w:sz="4" w:space="0" w:color="auto"/>
              <w:right w:val="single" w:sz="4" w:space="0" w:color="auto"/>
            </w:tcBorders>
            <w:vAlign w:val="center"/>
            <w:hideMark/>
          </w:tcPr>
          <w:p w14:paraId="0847E40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4904319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nil"/>
            </w:tcBorders>
            <w:vAlign w:val="center"/>
            <w:hideMark/>
          </w:tcPr>
          <w:p w14:paraId="40EF658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B1655D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62E8E21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1B3762C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36D549E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2F80118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5F2E661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120FD46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04544EE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3163EBC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615A094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5623325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r>
      <w:tr w:rsidR="001E311E" w:rsidRPr="001E311E" w14:paraId="65E6B716" w14:textId="77777777" w:rsidTr="605EB176">
        <w:trPr>
          <w:trHeight w:val="300"/>
        </w:trPr>
        <w:tc>
          <w:tcPr>
            <w:tcW w:w="0" w:type="auto"/>
            <w:gridSpan w:val="23"/>
            <w:tcBorders>
              <w:top w:val="single" w:sz="8" w:space="0" w:color="auto"/>
              <w:left w:val="single" w:sz="12" w:space="0" w:color="auto"/>
              <w:bottom w:val="single" w:sz="8" w:space="0" w:color="auto"/>
              <w:right w:val="single" w:sz="12" w:space="0" w:color="000000" w:themeColor="text1"/>
            </w:tcBorders>
            <w:shd w:val="clear" w:color="auto" w:fill="B4C6E7"/>
            <w:vAlign w:val="center"/>
            <w:hideMark/>
          </w:tcPr>
          <w:p w14:paraId="45C9B30C" w14:textId="77777777" w:rsidR="001E311E" w:rsidRPr="001E311E" w:rsidRDefault="001E311E" w:rsidP="001E311E">
            <w:pPr>
              <w:spacing w:before="0" w:after="0"/>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 xml:space="preserve">EFFICIENCY </w:t>
            </w:r>
            <w:r w:rsidRPr="001E311E">
              <w:rPr>
                <w:rFonts w:ascii="Times New Roman" w:eastAsia="Times New Roman" w:hAnsi="Times New Roman" w:cs="Times New Roman"/>
                <w:b/>
                <w:bCs/>
                <w:noProof/>
                <w:color w:val="FF0000"/>
                <w:sz w:val="18"/>
                <w:szCs w:val="18"/>
                <w:lang w:val="en-IE" w:eastAsia="en-IE"/>
              </w:rPr>
              <w:t>(60)</w:t>
            </w:r>
          </w:p>
        </w:tc>
      </w:tr>
      <w:tr w:rsidR="001E311E" w:rsidRPr="001E311E" w14:paraId="3A2CCA7C" w14:textId="77777777" w:rsidTr="605EB176">
        <w:trPr>
          <w:trHeight w:val="300"/>
        </w:trPr>
        <w:tc>
          <w:tcPr>
            <w:tcW w:w="0" w:type="auto"/>
            <w:gridSpan w:val="23"/>
            <w:tcBorders>
              <w:top w:val="single" w:sz="8" w:space="0" w:color="auto"/>
              <w:left w:val="single" w:sz="12" w:space="0" w:color="auto"/>
              <w:bottom w:val="single" w:sz="8" w:space="0" w:color="auto"/>
              <w:right w:val="single" w:sz="12" w:space="0" w:color="000000" w:themeColor="text1"/>
            </w:tcBorders>
            <w:shd w:val="clear" w:color="auto" w:fill="D9E2F3"/>
            <w:vAlign w:val="center"/>
            <w:hideMark/>
          </w:tcPr>
          <w:p w14:paraId="5F0ABE20" w14:textId="77777777" w:rsidR="001E311E" w:rsidRPr="001E311E" w:rsidRDefault="001E311E" w:rsidP="001E311E">
            <w:pPr>
              <w:spacing w:before="0" w:after="0"/>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Companies and investors</w:t>
            </w:r>
          </w:p>
        </w:tc>
      </w:tr>
      <w:tr w:rsidR="009C4055" w:rsidRPr="001E311E" w14:paraId="3266C1DA" w14:textId="77777777" w:rsidTr="001E311E">
        <w:trPr>
          <w:trHeight w:val="441"/>
        </w:trPr>
        <w:tc>
          <w:tcPr>
            <w:tcW w:w="0" w:type="auto"/>
            <w:tcBorders>
              <w:top w:val="nil"/>
              <w:left w:val="single" w:sz="12" w:space="0" w:color="auto"/>
              <w:bottom w:val="single" w:sz="8" w:space="0" w:color="auto"/>
              <w:right w:val="single" w:sz="12" w:space="0" w:color="auto"/>
            </w:tcBorders>
            <w:vAlign w:val="center"/>
            <w:hideMark/>
          </w:tcPr>
          <w:p w14:paraId="6360D05C"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Ease of doing business</w:t>
            </w:r>
          </w:p>
        </w:tc>
        <w:tc>
          <w:tcPr>
            <w:tcW w:w="0" w:type="auto"/>
            <w:tcBorders>
              <w:top w:val="nil"/>
              <w:left w:val="nil"/>
              <w:bottom w:val="single" w:sz="8" w:space="0" w:color="auto"/>
              <w:right w:val="single" w:sz="12" w:space="0" w:color="auto"/>
            </w:tcBorders>
            <w:vAlign w:val="center"/>
            <w:hideMark/>
          </w:tcPr>
          <w:p w14:paraId="1426470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vAlign w:val="center"/>
            <w:hideMark/>
          </w:tcPr>
          <w:p w14:paraId="1B8040D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vAlign w:val="center"/>
            <w:hideMark/>
          </w:tcPr>
          <w:p w14:paraId="2245769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vAlign w:val="center"/>
            <w:hideMark/>
          </w:tcPr>
          <w:p w14:paraId="5DE44970" w14:textId="26147EAA"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19E236D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165D9D5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2069A29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0F8E629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4698430"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3F0101E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vAlign w:val="center"/>
            <w:hideMark/>
          </w:tcPr>
          <w:p w14:paraId="24B2B3F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vAlign w:val="center"/>
            <w:hideMark/>
          </w:tcPr>
          <w:p w14:paraId="76ADE0C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795A71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1337BAA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5C00735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1855557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1CBCFBB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19127A5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74ED59E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509E4F5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645618B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55FEFE1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r>
      <w:tr w:rsidR="009C4055" w:rsidRPr="001E311E" w14:paraId="72FDBC57" w14:textId="77777777" w:rsidTr="001E311E">
        <w:trPr>
          <w:trHeight w:val="300"/>
        </w:trPr>
        <w:tc>
          <w:tcPr>
            <w:tcW w:w="0" w:type="auto"/>
            <w:tcBorders>
              <w:top w:val="nil"/>
              <w:left w:val="single" w:sz="12" w:space="0" w:color="auto"/>
              <w:bottom w:val="single" w:sz="8" w:space="0" w:color="auto"/>
              <w:right w:val="single" w:sz="12" w:space="0" w:color="auto"/>
            </w:tcBorders>
            <w:vAlign w:val="center"/>
            <w:hideMark/>
          </w:tcPr>
          <w:p w14:paraId="2B278796"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Ease of attracting investment</w:t>
            </w:r>
          </w:p>
        </w:tc>
        <w:tc>
          <w:tcPr>
            <w:tcW w:w="0" w:type="auto"/>
            <w:tcBorders>
              <w:top w:val="nil"/>
              <w:left w:val="nil"/>
              <w:bottom w:val="single" w:sz="8" w:space="0" w:color="auto"/>
              <w:right w:val="single" w:sz="12" w:space="0" w:color="auto"/>
            </w:tcBorders>
            <w:vAlign w:val="center"/>
            <w:hideMark/>
          </w:tcPr>
          <w:p w14:paraId="2689529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vAlign w:val="center"/>
            <w:hideMark/>
          </w:tcPr>
          <w:p w14:paraId="7D32678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vAlign w:val="center"/>
            <w:hideMark/>
          </w:tcPr>
          <w:p w14:paraId="11BAD63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vAlign w:val="center"/>
            <w:hideMark/>
          </w:tcPr>
          <w:p w14:paraId="47B83DDD" w14:textId="3C21EFA5"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022A313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vAlign w:val="center"/>
            <w:hideMark/>
          </w:tcPr>
          <w:p w14:paraId="27AF9E7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17601D7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vAlign w:val="center"/>
            <w:hideMark/>
          </w:tcPr>
          <w:p w14:paraId="5D5853D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single" w:sz="4" w:space="0" w:color="auto"/>
              <w:bottom w:val="single" w:sz="4" w:space="0" w:color="auto"/>
              <w:right w:val="single" w:sz="4" w:space="0" w:color="auto"/>
            </w:tcBorders>
            <w:vAlign w:val="center"/>
            <w:hideMark/>
          </w:tcPr>
          <w:p w14:paraId="2094927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vAlign w:val="center"/>
            <w:hideMark/>
          </w:tcPr>
          <w:p w14:paraId="7EC34CF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single" w:sz="8" w:space="0" w:color="auto"/>
            </w:tcBorders>
            <w:vAlign w:val="center"/>
            <w:hideMark/>
          </w:tcPr>
          <w:p w14:paraId="256BD3D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vAlign w:val="center"/>
            <w:hideMark/>
          </w:tcPr>
          <w:p w14:paraId="34AA45D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vAlign w:val="center"/>
            <w:hideMark/>
          </w:tcPr>
          <w:p w14:paraId="0346B43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4A7D14D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3B94B0E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52528A7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4397ED0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366DC71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2C7AAB9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7916C16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7907B4E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37B3422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r>
      <w:tr w:rsidR="009C4055" w:rsidRPr="001E311E" w14:paraId="28F32D93" w14:textId="77777777" w:rsidTr="001E311E">
        <w:trPr>
          <w:trHeight w:val="300"/>
        </w:trPr>
        <w:tc>
          <w:tcPr>
            <w:tcW w:w="0" w:type="auto"/>
            <w:tcBorders>
              <w:top w:val="nil"/>
              <w:left w:val="single" w:sz="12" w:space="0" w:color="auto"/>
              <w:bottom w:val="single" w:sz="8" w:space="0" w:color="auto"/>
              <w:right w:val="single" w:sz="12" w:space="0" w:color="auto"/>
            </w:tcBorders>
            <w:vAlign w:val="center"/>
            <w:hideMark/>
          </w:tcPr>
          <w:p w14:paraId="0B2F3E35"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Administrative burden reduction</w:t>
            </w:r>
          </w:p>
        </w:tc>
        <w:tc>
          <w:tcPr>
            <w:tcW w:w="0" w:type="auto"/>
            <w:tcBorders>
              <w:top w:val="nil"/>
              <w:left w:val="nil"/>
              <w:bottom w:val="single" w:sz="8" w:space="0" w:color="auto"/>
              <w:right w:val="single" w:sz="12" w:space="0" w:color="auto"/>
            </w:tcBorders>
            <w:vAlign w:val="center"/>
            <w:hideMark/>
          </w:tcPr>
          <w:p w14:paraId="2E72409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vAlign w:val="center"/>
            <w:hideMark/>
          </w:tcPr>
          <w:p w14:paraId="702573D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vAlign w:val="center"/>
            <w:hideMark/>
          </w:tcPr>
          <w:p w14:paraId="67D9F0C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vAlign w:val="center"/>
            <w:hideMark/>
          </w:tcPr>
          <w:p w14:paraId="2EF6A489" w14:textId="09D71D2C" w:rsidR="001E311E" w:rsidRPr="001E311E" w:rsidRDefault="000B625A"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4712F5F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single" w:sz="4" w:space="0" w:color="auto"/>
              <w:bottom w:val="single" w:sz="4" w:space="0" w:color="auto"/>
              <w:right w:val="single" w:sz="4" w:space="0" w:color="auto"/>
            </w:tcBorders>
            <w:vAlign w:val="center"/>
            <w:hideMark/>
          </w:tcPr>
          <w:p w14:paraId="3D7392B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15CFA1D0"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597F78A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vAlign w:val="center"/>
            <w:hideMark/>
          </w:tcPr>
          <w:p w14:paraId="0A44CBE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0C4F34F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vAlign w:val="center"/>
            <w:hideMark/>
          </w:tcPr>
          <w:p w14:paraId="55AF8540"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vAlign w:val="center"/>
            <w:hideMark/>
          </w:tcPr>
          <w:p w14:paraId="4997D7D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single" w:sz="4" w:space="0" w:color="auto"/>
              <w:bottom w:val="single" w:sz="4" w:space="0" w:color="auto"/>
              <w:right w:val="single" w:sz="4" w:space="0" w:color="auto"/>
            </w:tcBorders>
            <w:vAlign w:val="center"/>
            <w:hideMark/>
          </w:tcPr>
          <w:p w14:paraId="613F588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5633E03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1F2DD8D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3CE4FD7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37DD532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40CC594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7A8A15F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1E7A8E4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5EB063D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2FF36EE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r>
      <w:tr w:rsidR="009C4055" w:rsidRPr="001E311E" w14:paraId="2C1C8FD9" w14:textId="77777777" w:rsidTr="605EB176">
        <w:trPr>
          <w:trHeight w:val="300"/>
        </w:trPr>
        <w:tc>
          <w:tcPr>
            <w:tcW w:w="0" w:type="auto"/>
            <w:tcBorders>
              <w:top w:val="nil"/>
              <w:left w:val="single" w:sz="12" w:space="0" w:color="auto"/>
              <w:bottom w:val="single" w:sz="8" w:space="0" w:color="auto"/>
              <w:right w:val="single" w:sz="12" w:space="0" w:color="auto"/>
            </w:tcBorders>
            <w:vAlign w:val="center"/>
            <w:hideMark/>
          </w:tcPr>
          <w:p w14:paraId="14283214"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Administrative and adjustment costs</w:t>
            </w:r>
          </w:p>
        </w:tc>
        <w:tc>
          <w:tcPr>
            <w:tcW w:w="0" w:type="auto"/>
            <w:tcBorders>
              <w:top w:val="nil"/>
              <w:left w:val="nil"/>
              <w:bottom w:val="single" w:sz="8" w:space="0" w:color="auto"/>
              <w:right w:val="single" w:sz="12" w:space="0" w:color="auto"/>
            </w:tcBorders>
            <w:vAlign w:val="center"/>
            <w:hideMark/>
          </w:tcPr>
          <w:p w14:paraId="6515DC4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12B0F77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2A12A8B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28DF1A1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shd w:val="clear" w:color="auto" w:fill="FFFFFF" w:themeFill="background1"/>
            <w:vAlign w:val="center"/>
            <w:hideMark/>
          </w:tcPr>
          <w:p w14:paraId="11F8EB9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14:paraId="1573477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28975E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single" w:sz="8" w:space="0" w:color="auto"/>
            </w:tcBorders>
            <w:vAlign w:val="center"/>
            <w:hideMark/>
          </w:tcPr>
          <w:p w14:paraId="6E7BDD7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nil"/>
            </w:tcBorders>
            <w:vAlign w:val="center"/>
            <w:hideMark/>
          </w:tcPr>
          <w:p w14:paraId="20EB852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single" w:sz="4" w:space="0" w:color="auto"/>
              <w:bottom w:val="single" w:sz="4" w:space="0" w:color="auto"/>
              <w:right w:val="single" w:sz="4" w:space="0" w:color="auto"/>
            </w:tcBorders>
            <w:vAlign w:val="center"/>
            <w:hideMark/>
          </w:tcPr>
          <w:p w14:paraId="065F399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single" w:sz="8" w:space="0" w:color="auto"/>
            </w:tcBorders>
            <w:vAlign w:val="center"/>
            <w:hideMark/>
          </w:tcPr>
          <w:p w14:paraId="0E31910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nil"/>
            </w:tcBorders>
            <w:vAlign w:val="center"/>
            <w:hideMark/>
          </w:tcPr>
          <w:p w14:paraId="1E95895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single" w:sz="4" w:space="0" w:color="auto"/>
              <w:bottom w:val="single" w:sz="4" w:space="0" w:color="auto"/>
              <w:right w:val="single" w:sz="4" w:space="0" w:color="auto"/>
            </w:tcBorders>
            <w:vAlign w:val="center"/>
            <w:hideMark/>
          </w:tcPr>
          <w:p w14:paraId="69C2B99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vAlign w:val="center"/>
            <w:hideMark/>
          </w:tcPr>
          <w:p w14:paraId="6E57317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2211B15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1BCD546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2F2C190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49C84BE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24149F2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462A8AE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691EF9A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645BAD8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r>
      <w:tr w:rsidR="001E311E" w:rsidRPr="001E311E" w14:paraId="1E98108A" w14:textId="77777777" w:rsidTr="605EB176">
        <w:trPr>
          <w:trHeight w:val="300"/>
        </w:trPr>
        <w:tc>
          <w:tcPr>
            <w:tcW w:w="0" w:type="auto"/>
            <w:gridSpan w:val="23"/>
            <w:tcBorders>
              <w:top w:val="single" w:sz="8" w:space="0" w:color="auto"/>
              <w:left w:val="single" w:sz="12" w:space="0" w:color="auto"/>
              <w:bottom w:val="single" w:sz="8" w:space="0" w:color="auto"/>
              <w:right w:val="single" w:sz="12" w:space="0" w:color="000000" w:themeColor="text1"/>
            </w:tcBorders>
            <w:shd w:val="clear" w:color="auto" w:fill="D9E2F3"/>
            <w:vAlign w:val="center"/>
            <w:hideMark/>
          </w:tcPr>
          <w:p w14:paraId="5EC74B13" w14:textId="77777777" w:rsidR="001E311E" w:rsidRPr="001E311E" w:rsidRDefault="001E311E" w:rsidP="001E311E">
            <w:pPr>
              <w:spacing w:before="0" w:after="0"/>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Public authorities</w:t>
            </w:r>
          </w:p>
        </w:tc>
      </w:tr>
      <w:tr w:rsidR="00A36C64" w:rsidRPr="001E311E" w14:paraId="321A998E" w14:textId="77777777" w:rsidTr="605EB176">
        <w:trPr>
          <w:trHeight w:val="300"/>
        </w:trPr>
        <w:tc>
          <w:tcPr>
            <w:tcW w:w="0" w:type="auto"/>
            <w:tcBorders>
              <w:top w:val="nil"/>
              <w:left w:val="single" w:sz="12" w:space="0" w:color="auto"/>
              <w:bottom w:val="single" w:sz="8" w:space="0" w:color="auto"/>
              <w:right w:val="single" w:sz="12" w:space="0" w:color="auto"/>
            </w:tcBorders>
            <w:shd w:val="clear" w:color="auto" w:fill="FFFFFF" w:themeFill="background1"/>
            <w:vAlign w:val="center"/>
            <w:hideMark/>
          </w:tcPr>
          <w:p w14:paraId="4ABF428B"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Costs</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2668A21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5%</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172027A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479DE17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0EDFB47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shd w:val="clear" w:color="auto" w:fill="FFFFFF" w:themeFill="background1"/>
            <w:vAlign w:val="center"/>
            <w:hideMark/>
          </w:tcPr>
          <w:p w14:paraId="371A834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2B436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09C50BD4" w14:textId="759FE688" w:rsidR="001E311E" w:rsidRPr="001E311E" w:rsidRDefault="006F0C7D"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shd w:val="clear" w:color="auto" w:fill="FFFFFF" w:themeFill="background1"/>
            <w:vAlign w:val="center"/>
            <w:hideMark/>
          </w:tcPr>
          <w:p w14:paraId="676375D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ACB14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51A4B3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2CC41CA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shd w:val="clear" w:color="auto" w:fill="FFFFFF" w:themeFill="background1"/>
            <w:vAlign w:val="center"/>
            <w:hideMark/>
          </w:tcPr>
          <w:p w14:paraId="7A8CEC5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52C69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0199E06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0743B7A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4BEA27E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10A069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8AC01C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69CD4C9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03FF3AA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179182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4DA0EFC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r>
      <w:tr w:rsidR="00A36C64" w:rsidRPr="001E311E" w14:paraId="37EA7100" w14:textId="77777777" w:rsidTr="605EB176">
        <w:trPr>
          <w:trHeight w:val="300"/>
        </w:trPr>
        <w:tc>
          <w:tcPr>
            <w:tcW w:w="0" w:type="auto"/>
            <w:tcBorders>
              <w:top w:val="nil"/>
              <w:left w:val="single" w:sz="12" w:space="0" w:color="auto"/>
              <w:bottom w:val="single" w:sz="8" w:space="0" w:color="auto"/>
              <w:right w:val="single" w:sz="12" w:space="0" w:color="auto"/>
            </w:tcBorders>
            <w:shd w:val="clear" w:color="auto" w:fill="FFFFFF" w:themeFill="background1"/>
            <w:vAlign w:val="center"/>
            <w:hideMark/>
          </w:tcPr>
          <w:p w14:paraId="41819947"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Benefits</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23E2179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5%</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33AF59F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691C14D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7558D62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shd w:val="clear" w:color="auto" w:fill="FFFFFF" w:themeFill="background1"/>
            <w:vAlign w:val="center"/>
            <w:hideMark/>
          </w:tcPr>
          <w:p w14:paraId="6C1C394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14:paraId="11CF6CE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5D90E43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shd w:val="clear" w:color="auto" w:fill="FFFFFF" w:themeFill="background1"/>
            <w:vAlign w:val="center"/>
            <w:hideMark/>
          </w:tcPr>
          <w:p w14:paraId="1A8F916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14:paraId="10C9250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F9F7CB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7480C1F6"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shd w:val="clear" w:color="auto" w:fill="FFFFFF" w:themeFill="background1"/>
            <w:vAlign w:val="center"/>
            <w:hideMark/>
          </w:tcPr>
          <w:p w14:paraId="0A9DE4C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14:paraId="665E0A5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0BFB55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159C057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1D89CD8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A9E186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2E1AB38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516738C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7FF9531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1AF4EF9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1997A0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w:t>
            </w:r>
          </w:p>
        </w:tc>
      </w:tr>
      <w:tr w:rsidR="001E311E" w:rsidRPr="001E311E" w14:paraId="1F577CC4" w14:textId="77777777" w:rsidTr="605EB176">
        <w:trPr>
          <w:trHeight w:val="300"/>
        </w:trPr>
        <w:tc>
          <w:tcPr>
            <w:tcW w:w="0" w:type="auto"/>
            <w:gridSpan w:val="23"/>
            <w:tcBorders>
              <w:top w:val="nil"/>
              <w:left w:val="single" w:sz="12" w:space="0" w:color="auto"/>
              <w:bottom w:val="single" w:sz="12" w:space="0" w:color="auto"/>
              <w:right w:val="single" w:sz="12" w:space="0" w:color="000000" w:themeColor="text1"/>
            </w:tcBorders>
            <w:shd w:val="clear" w:color="auto" w:fill="D9E2F3"/>
            <w:vAlign w:val="center"/>
            <w:hideMark/>
          </w:tcPr>
          <w:p w14:paraId="37FDD169" w14:textId="77777777" w:rsidR="001E311E" w:rsidRPr="001E311E" w:rsidRDefault="001E311E" w:rsidP="001E311E">
            <w:pPr>
              <w:spacing w:before="0" w:after="0"/>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Economy and society at large</w:t>
            </w:r>
          </w:p>
        </w:tc>
      </w:tr>
      <w:tr w:rsidR="00A36C64" w:rsidRPr="001E311E" w14:paraId="4120367D" w14:textId="77777777" w:rsidTr="605EB176">
        <w:trPr>
          <w:trHeight w:val="504"/>
        </w:trPr>
        <w:tc>
          <w:tcPr>
            <w:tcW w:w="0" w:type="auto"/>
            <w:tcBorders>
              <w:top w:val="nil"/>
              <w:left w:val="single" w:sz="12" w:space="0" w:color="auto"/>
              <w:bottom w:val="single" w:sz="12" w:space="0" w:color="auto"/>
              <w:right w:val="single" w:sz="12" w:space="0" w:color="auto"/>
            </w:tcBorders>
            <w:vAlign w:val="center"/>
            <w:hideMark/>
          </w:tcPr>
          <w:p w14:paraId="7A5A39F3"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Functioning of the internal market and competitiveness</w:t>
            </w:r>
          </w:p>
        </w:tc>
        <w:tc>
          <w:tcPr>
            <w:tcW w:w="0" w:type="auto"/>
            <w:tcBorders>
              <w:top w:val="nil"/>
              <w:left w:val="nil"/>
              <w:bottom w:val="single" w:sz="8" w:space="0" w:color="auto"/>
              <w:right w:val="single" w:sz="12" w:space="0" w:color="auto"/>
            </w:tcBorders>
            <w:vAlign w:val="center"/>
            <w:hideMark/>
          </w:tcPr>
          <w:p w14:paraId="726E1BC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052DA9D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43D98E9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0C414AB9" w14:textId="79E68B71" w:rsidR="001E311E" w:rsidRPr="001E311E" w:rsidRDefault="008328E6" w:rsidP="001E311E">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shd w:val="clear" w:color="auto" w:fill="FFFFFF" w:themeFill="background1"/>
            <w:vAlign w:val="center"/>
            <w:hideMark/>
          </w:tcPr>
          <w:p w14:paraId="3FDC505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029E6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3983A0D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shd w:val="clear" w:color="auto" w:fill="FFFFFF" w:themeFill="background1"/>
            <w:vAlign w:val="center"/>
            <w:hideMark/>
          </w:tcPr>
          <w:p w14:paraId="09BF617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0B8DB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6C47894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0F69672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shd w:val="clear" w:color="auto" w:fill="FFFFFF" w:themeFill="background1"/>
            <w:vAlign w:val="center"/>
            <w:hideMark/>
          </w:tcPr>
          <w:p w14:paraId="59A7AD7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B6AE10"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4B404AA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C7C6392"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4B04CAC1"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1E32B8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30A871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5EDEA34"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33EAD1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36837A9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6D03AD6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r>
      <w:tr w:rsidR="001E311E" w:rsidRPr="001E311E" w14:paraId="58DEBB0B" w14:textId="77777777" w:rsidTr="605EB176">
        <w:trPr>
          <w:trHeight w:val="312"/>
        </w:trPr>
        <w:tc>
          <w:tcPr>
            <w:tcW w:w="0" w:type="auto"/>
            <w:gridSpan w:val="23"/>
            <w:tcBorders>
              <w:top w:val="nil"/>
              <w:left w:val="single" w:sz="12" w:space="0" w:color="auto"/>
              <w:bottom w:val="single" w:sz="12" w:space="0" w:color="auto"/>
              <w:right w:val="single" w:sz="12" w:space="0" w:color="000000" w:themeColor="text1"/>
            </w:tcBorders>
            <w:shd w:val="clear" w:color="auto" w:fill="B4C6E7"/>
            <w:vAlign w:val="center"/>
            <w:hideMark/>
          </w:tcPr>
          <w:p w14:paraId="0BD72CCF" w14:textId="77777777" w:rsidR="001E311E" w:rsidRPr="001E311E" w:rsidRDefault="001E311E" w:rsidP="001E311E">
            <w:pPr>
              <w:spacing w:before="0" w:after="0"/>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 xml:space="preserve">COHERENCE </w:t>
            </w:r>
            <w:r w:rsidRPr="001E311E">
              <w:rPr>
                <w:rFonts w:ascii="Times New Roman" w:eastAsia="Times New Roman" w:hAnsi="Times New Roman" w:cs="Times New Roman"/>
                <w:b/>
                <w:bCs/>
                <w:noProof/>
                <w:color w:val="FF0000"/>
                <w:sz w:val="18"/>
                <w:szCs w:val="18"/>
                <w:lang w:val="en-IE" w:eastAsia="en-IE"/>
              </w:rPr>
              <w:t>(10)</w:t>
            </w:r>
          </w:p>
        </w:tc>
      </w:tr>
      <w:tr w:rsidR="009C4055" w:rsidRPr="001E311E" w14:paraId="4B59257F" w14:textId="77777777" w:rsidTr="605EB176">
        <w:trPr>
          <w:trHeight w:val="312"/>
        </w:trPr>
        <w:tc>
          <w:tcPr>
            <w:tcW w:w="0" w:type="auto"/>
            <w:tcBorders>
              <w:top w:val="nil"/>
              <w:left w:val="single" w:sz="12" w:space="0" w:color="auto"/>
              <w:bottom w:val="single" w:sz="8" w:space="0" w:color="auto"/>
              <w:right w:val="single" w:sz="12" w:space="0" w:color="auto"/>
            </w:tcBorders>
            <w:shd w:val="clear" w:color="auto" w:fill="FFFFFF" w:themeFill="background1"/>
            <w:vAlign w:val="center"/>
            <w:hideMark/>
          </w:tcPr>
          <w:p w14:paraId="73BA7786" w14:textId="77777777" w:rsidR="001E311E" w:rsidRPr="001E311E" w:rsidRDefault="001E311E" w:rsidP="001E311E">
            <w:pPr>
              <w:spacing w:before="0" w:after="0"/>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Coherence</w:t>
            </w:r>
          </w:p>
        </w:tc>
        <w:tc>
          <w:tcPr>
            <w:tcW w:w="0" w:type="auto"/>
            <w:tcBorders>
              <w:top w:val="nil"/>
              <w:left w:val="nil"/>
              <w:bottom w:val="single" w:sz="8" w:space="0" w:color="auto"/>
              <w:right w:val="single" w:sz="12" w:space="0" w:color="auto"/>
            </w:tcBorders>
            <w:vAlign w:val="center"/>
            <w:hideMark/>
          </w:tcPr>
          <w:p w14:paraId="53884A6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vAlign w:val="center"/>
            <w:hideMark/>
          </w:tcPr>
          <w:p w14:paraId="2E9B8C5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8" w:space="0" w:color="auto"/>
            </w:tcBorders>
            <w:vAlign w:val="center"/>
            <w:hideMark/>
          </w:tcPr>
          <w:p w14:paraId="2064AD0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12" w:space="0" w:color="auto"/>
            </w:tcBorders>
            <w:vAlign w:val="center"/>
            <w:hideMark/>
          </w:tcPr>
          <w:p w14:paraId="514F4FF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6ABCAAA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2EC7BC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25562FDB"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vAlign w:val="center"/>
            <w:hideMark/>
          </w:tcPr>
          <w:p w14:paraId="7676A9D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vAlign w:val="center"/>
            <w:hideMark/>
          </w:tcPr>
          <w:p w14:paraId="415F842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12" w:space="0" w:color="auto"/>
            </w:tcBorders>
            <w:vAlign w:val="center"/>
            <w:hideMark/>
          </w:tcPr>
          <w:p w14:paraId="085E02EC"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5</w:t>
            </w:r>
          </w:p>
        </w:tc>
        <w:tc>
          <w:tcPr>
            <w:tcW w:w="0" w:type="auto"/>
            <w:tcBorders>
              <w:top w:val="nil"/>
              <w:left w:val="nil"/>
              <w:bottom w:val="single" w:sz="8" w:space="0" w:color="auto"/>
              <w:right w:val="single" w:sz="8" w:space="0" w:color="auto"/>
            </w:tcBorders>
            <w:vAlign w:val="center"/>
            <w:hideMark/>
          </w:tcPr>
          <w:p w14:paraId="19A2CC09"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vAlign w:val="center"/>
            <w:hideMark/>
          </w:tcPr>
          <w:p w14:paraId="157A46DF"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EFD851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2EE6D5E3"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68A830D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17669DF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56C70238"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2BACF0FE"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24A6012A"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0F876747"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5891B90D"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697512A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4</w:t>
            </w:r>
          </w:p>
        </w:tc>
      </w:tr>
      <w:tr w:rsidR="00A36C64" w:rsidRPr="001E311E" w14:paraId="1D807D2A" w14:textId="77777777" w:rsidTr="605EB176">
        <w:trPr>
          <w:trHeight w:val="300"/>
        </w:trPr>
        <w:tc>
          <w:tcPr>
            <w:tcW w:w="0" w:type="auto"/>
            <w:tcBorders>
              <w:top w:val="nil"/>
              <w:left w:val="single" w:sz="12" w:space="0" w:color="auto"/>
              <w:bottom w:val="single" w:sz="12" w:space="0" w:color="auto"/>
              <w:right w:val="single" w:sz="12" w:space="0" w:color="auto"/>
            </w:tcBorders>
            <w:shd w:val="clear" w:color="auto" w:fill="B4C6E7"/>
            <w:vAlign w:val="center"/>
            <w:hideMark/>
          </w:tcPr>
          <w:p w14:paraId="36006602" w14:textId="77777777" w:rsidR="001E311E" w:rsidRPr="001E311E" w:rsidRDefault="001E311E" w:rsidP="001E311E">
            <w:pPr>
              <w:spacing w:before="0" w:after="0"/>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TOTAL</w:t>
            </w:r>
          </w:p>
        </w:tc>
        <w:tc>
          <w:tcPr>
            <w:tcW w:w="0" w:type="auto"/>
            <w:tcBorders>
              <w:top w:val="nil"/>
              <w:left w:val="nil"/>
              <w:bottom w:val="single" w:sz="12" w:space="0" w:color="auto"/>
              <w:right w:val="single" w:sz="12" w:space="0" w:color="auto"/>
            </w:tcBorders>
            <w:vAlign w:val="center"/>
            <w:hideMark/>
          </w:tcPr>
          <w:p w14:paraId="485631A5" w14:textId="77777777" w:rsidR="001E311E" w:rsidRPr="001E311E" w:rsidRDefault="001E311E" w:rsidP="001E311E">
            <w:pPr>
              <w:spacing w:before="0" w:after="0"/>
              <w:jc w:val="center"/>
              <w:rPr>
                <w:rFonts w:ascii="Times New Roman" w:eastAsia="Times New Roman" w:hAnsi="Times New Roman" w:cs="Times New Roman"/>
                <w:noProof/>
                <w:color w:val="000000"/>
                <w:sz w:val="18"/>
                <w:szCs w:val="18"/>
                <w:lang w:val="en-IE" w:eastAsia="en-IE"/>
              </w:rPr>
            </w:pPr>
            <w:r w:rsidRPr="001E311E">
              <w:rPr>
                <w:rFonts w:ascii="Times New Roman" w:eastAsia="Times New Roman" w:hAnsi="Times New Roman" w:cs="Times New Roman"/>
                <w:noProof/>
                <w:color w:val="000000"/>
                <w:sz w:val="18"/>
                <w:szCs w:val="18"/>
                <w:lang w:val="en-IE" w:eastAsia="en-IE"/>
              </w:rPr>
              <w:t>100%</w:t>
            </w:r>
          </w:p>
        </w:tc>
        <w:tc>
          <w:tcPr>
            <w:tcW w:w="0" w:type="auto"/>
            <w:tcBorders>
              <w:top w:val="nil"/>
              <w:left w:val="nil"/>
              <w:bottom w:val="single" w:sz="12" w:space="0" w:color="auto"/>
              <w:right w:val="single" w:sz="8" w:space="0" w:color="auto"/>
            </w:tcBorders>
            <w:shd w:val="clear" w:color="auto" w:fill="FCE4D6"/>
            <w:vAlign w:val="center"/>
            <w:hideMark/>
          </w:tcPr>
          <w:p w14:paraId="2DBB5565" w14:textId="76B6C72E"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1.</w:t>
            </w:r>
            <w:r w:rsidR="00DC1FC4">
              <w:rPr>
                <w:rFonts w:ascii="Times New Roman" w:eastAsia="Times New Roman" w:hAnsi="Times New Roman" w:cs="Times New Roman"/>
                <w:b/>
                <w:bCs/>
                <w:noProof/>
                <w:color w:val="000000"/>
                <w:sz w:val="18"/>
                <w:szCs w:val="18"/>
                <w:lang w:val="en-IE" w:eastAsia="en-IE"/>
              </w:rPr>
              <w:t>7</w:t>
            </w:r>
            <w:r w:rsidRPr="001E311E">
              <w:rPr>
                <w:rFonts w:ascii="Times New Roman" w:eastAsia="Times New Roman" w:hAnsi="Times New Roman" w:cs="Times New Roman"/>
                <w:b/>
                <w:bCs/>
                <w:noProof/>
                <w:color w:val="000000"/>
                <w:sz w:val="18"/>
                <w:szCs w:val="18"/>
                <w:lang w:val="en-IE" w:eastAsia="en-IE"/>
              </w:rPr>
              <w:t>5</w:t>
            </w:r>
          </w:p>
        </w:tc>
        <w:tc>
          <w:tcPr>
            <w:tcW w:w="0" w:type="auto"/>
            <w:tcBorders>
              <w:top w:val="nil"/>
              <w:left w:val="nil"/>
              <w:bottom w:val="single" w:sz="12" w:space="0" w:color="auto"/>
              <w:right w:val="single" w:sz="8" w:space="0" w:color="auto"/>
            </w:tcBorders>
            <w:shd w:val="clear" w:color="auto" w:fill="FCE4D6"/>
            <w:vAlign w:val="center"/>
            <w:hideMark/>
          </w:tcPr>
          <w:p w14:paraId="06C7BDFD" w14:textId="67FE392E"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w:t>
            </w:r>
            <w:r w:rsidR="00DC1FC4">
              <w:rPr>
                <w:rFonts w:ascii="Times New Roman" w:eastAsia="Times New Roman" w:hAnsi="Times New Roman" w:cs="Times New Roman"/>
                <w:b/>
                <w:bCs/>
                <w:noProof/>
                <w:color w:val="000000"/>
                <w:sz w:val="18"/>
                <w:szCs w:val="18"/>
                <w:lang w:val="en-IE" w:eastAsia="en-IE"/>
              </w:rPr>
              <w:t>4</w:t>
            </w:r>
            <w:r w:rsidRPr="001E311E">
              <w:rPr>
                <w:rFonts w:ascii="Times New Roman" w:eastAsia="Times New Roman" w:hAnsi="Times New Roman" w:cs="Times New Roman"/>
                <w:b/>
                <w:bCs/>
                <w:noProof/>
                <w:color w:val="000000"/>
                <w:sz w:val="18"/>
                <w:szCs w:val="18"/>
                <w:lang w:val="en-IE" w:eastAsia="en-IE"/>
              </w:rPr>
              <w:t>5</w:t>
            </w:r>
          </w:p>
        </w:tc>
        <w:tc>
          <w:tcPr>
            <w:tcW w:w="0" w:type="auto"/>
            <w:tcBorders>
              <w:top w:val="nil"/>
              <w:left w:val="nil"/>
              <w:bottom w:val="single" w:sz="12" w:space="0" w:color="auto"/>
              <w:right w:val="single" w:sz="8" w:space="0" w:color="auto"/>
            </w:tcBorders>
            <w:shd w:val="clear" w:color="auto" w:fill="FCE4D6"/>
            <w:vAlign w:val="center"/>
            <w:hideMark/>
          </w:tcPr>
          <w:p w14:paraId="37D05286" w14:textId="5700CFA0" w:rsidR="001E311E" w:rsidRPr="001E311E" w:rsidRDefault="00DC1FC4" w:rsidP="001E311E">
            <w:pPr>
              <w:spacing w:before="0" w:after="0"/>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w:t>
            </w:r>
          </w:p>
        </w:tc>
        <w:tc>
          <w:tcPr>
            <w:tcW w:w="0" w:type="auto"/>
            <w:tcBorders>
              <w:top w:val="nil"/>
              <w:left w:val="nil"/>
              <w:bottom w:val="single" w:sz="12" w:space="0" w:color="auto"/>
              <w:right w:val="single" w:sz="8" w:space="0" w:color="auto"/>
            </w:tcBorders>
            <w:shd w:val="clear" w:color="auto" w:fill="E2EFDA"/>
            <w:vAlign w:val="center"/>
            <w:hideMark/>
          </w:tcPr>
          <w:p w14:paraId="4DFAC0AF"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w:t>
            </w:r>
          </w:p>
        </w:tc>
        <w:tc>
          <w:tcPr>
            <w:tcW w:w="0" w:type="auto"/>
            <w:tcBorders>
              <w:top w:val="nil"/>
              <w:left w:val="nil"/>
              <w:bottom w:val="single" w:sz="12" w:space="0" w:color="auto"/>
              <w:right w:val="single" w:sz="8" w:space="0" w:color="auto"/>
            </w:tcBorders>
            <w:shd w:val="clear" w:color="auto" w:fill="E2EFDA"/>
            <w:vAlign w:val="center"/>
            <w:hideMark/>
          </w:tcPr>
          <w:p w14:paraId="27BEE9E5"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2.75</w:t>
            </w:r>
          </w:p>
        </w:tc>
        <w:tc>
          <w:tcPr>
            <w:tcW w:w="0" w:type="auto"/>
            <w:tcBorders>
              <w:top w:val="nil"/>
              <w:left w:val="nil"/>
              <w:bottom w:val="single" w:sz="12" w:space="0" w:color="auto"/>
              <w:right w:val="single" w:sz="8" w:space="0" w:color="auto"/>
            </w:tcBorders>
            <w:shd w:val="clear" w:color="auto" w:fill="E2EFDA"/>
            <w:vAlign w:val="center"/>
            <w:hideMark/>
          </w:tcPr>
          <w:p w14:paraId="621FB461" w14:textId="509FE92C"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2.7</w:t>
            </w:r>
            <w:r w:rsidR="00033D0F">
              <w:rPr>
                <w:rFonts w:ascii="Times New Roman" w:eastAsia="Times New Roman" w:hAnsi="Times New Roman" w:cs="Times New Roman"/>
                <w:b/>
                <w:bCs/>
                <w:noProof/>
                <w:color w:val="000000"/>
                <w:sz w:val="18"/>
                <w:szCs w:val="18"/>
                <w:lang w:val="en-IE" w:eastAsia="en-IE"/>
              </w:rPr>
              <w:t>0</w:t>
            </w:r>
          </w:p>
        </w:tc>
        <w:tc>
          <w:tcPr>
            <w:tcW w:w="0" w:type="auto"/>
            <w:tcBorders>
              <w:top w:val="nil"/>
              <w:left w:val="nil"/>
              <w:bottom w:val="single" w:sz="12" w:space="0" w:color="auto"/>
              <w:right w:val="single" w:sz="8" w:space="0" w:color="auto"/>
            </w:tcBorders>
            <w:shd w:val="clear" w:color="auto" w:fill="FFF2CC"/>
            <w:vAlign w:val="center"/>
            <w:hideMark/>
          </w:tcPr>
          <w:p w14:paraId="7557E44C"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1.35</w:t>
            </w:r>
          </w:p>
        </w:tc>
        <w:tc>
          <w:tcPr>
            <w:tcW w:w="0" w:type="auto"/>
            <w:tcBorders>
              <w:top w:val="nil"/>
              <w:left w:val="nil"/>
              <w:bottom w:val="single" w:sz="12" w:space="0" w:color="auto"/>
              <w:right w:val="single" w:sz="8" w:space="0" w:color="auto"/>
            </w:tcBorders>
            <w:shd w:val="clear" w:color="auto" w:fill="FFF2CC"/>
            <w:vAlign w:val="center"/>
            <w:hideMark/>
          </w:tcPr>
          <w:p w14:paraId="47DE2980"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2.05</w:t>
            </w:r>
          </w:p>
        </w:tc>
        <w:tc>
          <w:tcPr>
            <w:tcW w:w="0" w:type="auto"/>
            <w:tcBorders>
              <w:top w:val="nil"/>
              <w:left w:val="nil"/>
              <w:bottom w:val="single" w:sz="12" w:space="0" w:color="auto"/>
              <w:right w:val="single" w:sz="8" w:space="0" w:color="auto"/>
            </w:tcBorders>
            <w:shd w:val="clear" w:color="auto" w:fill="FFF2CC"/>
            <w:vAlign w:val="center"/>
            <w:hideMark/>
          </w:tcPr>
          <w:p w14:paraId="30EAF0F0"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2.8</w:t>
            </w:r>
          </w:p>
        </w:tc>
        <w:tc>
          <w:tcPr>
            <w:tcW w:w="0" w:type="auto"/>
            <w:tcBorders>
              <w:top w:val="nil"/>
              <w:left w:val="nil"/>
              <w:bottom w:val="single" w:sz="12" w:space="0" w:color="auto"/>
              <w:right w:val="single" w:sz="8" w:space="0" w:color="auto"/>
            </w:tcBorders>
            <w:shd w:val="clear" w:color="auto" w:fill="D6DCE4"/>
            <w:vAlign w:val="center"/>
            <w:hideMark/>
          </w:tcPr>
          <w:p w14:paraId="4029EE12"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1.35</w:t>
            </w:r>
          </w:p>
        </w:tc>
        <w:tc>
          <w:tcPr>
            <w:tcW w:w="0" w:type="auto"/>
            <w:tcBorders>
              <w:top w:val="nil"/>
              <w:left w:val="nil"/>
              <w:bottom w:val="single" w:sz="12" w:space="0" w:color="auto"/>
              <w:right w:val="single" w:sz="8" w:space="0" w:color="auto"/>
            </w:tcBorders>
            <w:shd w:val="clear" w:color="auto" w:fill="D6DCE4"/>
            <w:vAlign w:val="center"/>
            <w:hideMark/>
          </w:tcPr>
          <w:p w14:paraId="239EFBF0"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2.15</w:t>
            </w:r>
          </w:p>
        </w:tc>
        <w:tc>
          <w:tcPr>
            <w:tcW w:w="0" w:type="auto"/>
            <w:tcBorders>
              <w:top w:val="nil"/>
              <w:left w:val="nil"/>
              <w:bottom w:val="single" w:sz="12" w:space="0" w:color="auto"/>
              <w:right w:val="single" w:sz="8" w:space="0" w:color="auto"/>
            </w:tcBorders>
            <w:shd w:val="clear" w:color="auto" w:fill="D6DCE4"/>
            <w:vAlign w:val="center"/>
            <w:hideMark/>
          </w:tcPr>
          <w:p w14:paraId="2533E009"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2.95</w:t>
            </w:r>
          </w:p>
        </w:tc>
        <w:tc>
          <w:tcPr>
            <w:tcW w:w="0" w:type="auto"/>
            <w:tcBorders>
              <w:top w:val="nil"/>
              <w:left w:val="nil"/>
              <w:bottom w:val="single" w:sz="12" w:space="0" w:color="auto"/>
              <w:right w:val="single" w:sz="8" w:space="0" w:color="auto"/>
            </w:tcBorders>
            <w:shd w:val="clear" w:color="auto" w:fill="FCE4D6"/>
            <w:vAlign w:val="center"/>
            <w:hideMark/>
          </w:tcPr>
          <w:p w14:paraId="52267570"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1</w:t>
            </w:r>
          </w:p>
        </w:tc>
        <w:tc>
          <w:tcPr>
            <w:tcW w:w="0" w:type="auto"/>
            <w:tcBorders>
              <w:top w:val="nil"/>
              <w:left w:val="nil"/>
              <w:bottom w:val="single" w:sz="12" w:space="0" w:color="auto"/>
              <w:right w:val="single" w:sz="8" w:space="0" w:color="auto"/>
            </w:tcBorders>
            <w:shd w:val="clear" w:color="auto" w:fill="FCE4D6"/>
            <w:vAlign w:val="center"/>
            <w:hideMark/>
          </w:tcPr>
          <w:p w14:paraId="28741E0F"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w:t>
            </w:r>
          </w:p>
        </w:tc>
        <w:tc>
          <w:tcPr>
            <w:tcW w:w="0" w:type="auto"/>
            <w:tcBorders>
              <w:top w:val="nil"/>
              <w:left w:val="nil"/>
              <w:bottom w:val="single" w:sz="12" w:space="0" w:color="auto"/>
              <w:right w:val="single" w:sz="8" w:space="0" w:color="auto"/>
            </w:tcBorders>
            <w:shd w:val="clear" w:color="auto" w:fill="FCE4D6"/>
            <w:vAlign w:val="center"/>
            <w:hideMark/>
          </w:tcPr>
          <w:p w14:paraId="09B1ED29"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2.8</w:t>
            </w:r>
          </w:p>
        </w:tc>
        <w:tc>
          <w:tcPr>
            <w:tcW w:w="0" w:type="auto"/>
            <w:tcBorders>
              <w:top w:val="nil"/>
              <w:left w:val="nil"/>
              <w:bottom w:val="single" w:sz="12" w:space="0" w:color="auto"/>
              <w:right w:val="single" w:sz="8" w:space="0" w:color="auto"/>
            </w:tcBorders>
            <w:shd w:val="clear" w:color="auto" w:fill="E2EFDA"/>
            <w:vAlign w:val="center"/>
            <w:hideMark/>
          </w:tcPr>
          <w:p w14:paraId="09E3EADB"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1.7</w:t>
            </w:r>
          </w:p>
        </w:tc>
        <w:tc>
          <w:tcPr>
            <w:tcW w:w="0" w:type="auto"/>
            <w:tcBorders>
              <w:top w:val="nil"/>
              <w:left w:val="nil"/>
              <w:bottom w:val="single" w:sz="12" w:space="0" w:color="auto"/>
              <w:right w:val="single" w:sz="8" w:space="0" w:color="auto"/>
            </w:tcBorders>
            <w:shd w:val="clear" w:color="auto" w:fill="E2EFDA"/>
            <w:vAlign w:val="center"/>
            <w:hideMark/>
          </w:tcPr>
          <w:p w14:paraId="07B58670"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2.8</w:t>
            </w:r>
          </w:p>
        </w:tc>
        <w:tc>
          <w:tcPr>
            <w:tcW w:w="0" w:type="auto"/>
            <w:tcBorders>
              <w:top w:val="nil"/>
              <w:left w:val="nil"/>
              <w:bottom w:val="single" w:sz="12" w:space="0" w:color="auto"/>
              <w:right w:val="single" w:sz="8" w:space="0" w:color="auto"/>
            </w:tcBorders>
            <w:shd w:val="clear" w:color="auto" w:fill="E2EFDA"/>
            <w:vAlign w:val="center"/>
            <w:hideMark/>
          </w:tcPr>
          <w:p w14:paraId="59F336FA" w14:textId="77777777"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1.9</w:t>
            </w:r>
          </w:p>
        </w:tc>
        <w:tc>
          <w:tcPr>
            <w:tcW w:w="0" w:type="auto"/>
            <w:tcBorders>
              <w:top w:val="nil"/>
              <w:left w:val="nil"/>
              <w:bottom w:val="single" w:sz="12" w:space="0" w:color="auto"/>
              <w:right w:val="single" w:sz="8" w:space="0" w:color="auto"/>
            </w:tcBorders>
            <w:shd w:val="clear" w:color="auto" w:fill="FFF2CC"/>
            <w:vAlign w:val="center"/>
            <w:hideMark/>
          </w:tcPr>
          <w:p w14:paraId="6290E8D0" w14:textId="416A06C2"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1.</w:t>
            </w:r>
            <w:r w:rsidR="00CA0A71">
              <w:rPr>
                <w:rFonts w:ascii="Times New Roman" w:eastAsia="Times New Roman" w:hAnsi="Times New Roman" w:cs="Times New Roman"/>
                <w:b/>
                <w:bCs/>
                <w:noProof/>
                <w:color w:val="000000"/>
                <w:sz w:val="18"/>
                <w:szCs w:val="18"/>
                <w:lang w:val="en-IE" w:eastAsia="en-IE"/>
              </w:rPr>
              <w:t>4</w:t>
            </w:r>
            <w:r w:rsidRPr="001E311E">
              <w:rPr>
                <w:rFonts w:ascii="Times New Roman" w:eastAsia="Times New Roman" w:hAnsi="Times New Roman" w:cs="Times New Roman"/>
                <w:b/>
                <w:bCs/>
                <w:noProof/>
                <w:color w:val="000000"/>
                <w:sz w:val="18"/>
                <w:szCs w:val="18"/>
                <w:lang w:val="en-IE" w:eastAsia="en-IE"/>
              </w:rPr>
              <w:t>5</w:t>
            </w:r>
          </w:p>
        </w:tc>
        <w:tc>
          <w:tcPr>
            <w:tcW w:w="0" w:type="auto"/>
            <w:tcBorders>
              <w:top w:val="nil"/>
              <w:left w:val="nil"/>
              <w:bottom w:val="single" w:sz="12" w:space="0" w:color="auto"/>
              <w:right w:val="single" w:sz="8" w:space="0" w:color="auto"/>
            </w:tcBorders>
            <w:shd w:val="clear" w:color="auto" w:fill="FFF2CC"/>
            <w:vAlign w:val="center"/>
            <w:hideMark/>
          </w:tcPr>
          <w:p w14:paraId="6C406527" w14:textId="242F204D"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2.2</w:t>
            </w:r>
          </w:p>
        </w:tc>
        <w:tc>
          <w:tcPr>
            <w:tcW w:w="0" w:type="auto"/>
            <w:tcBorders>
              <w:top w:val="nil"/>
              <w:left w:val="nil"/>
              <w:bottom w:val="single" w:sz="12" w:space="0" w:color="auto"/>
              <w:right w:val="single" w:sz="8" w:space="0" w:color="auto"/>
            </w:tcBorders>
            <w:shd w:val="clear" w:color="auto" w:fill="FFF2CC"/>
            <w:vAlign w:val="center"/>
            <w:hideMark/>
          </w:tcPr>
          <w:p w14:paraId="7D757117" w14:textId="30216932" w:rsidR="001E311E" w:rsidRPr="001E311E" w:rsidRDefault="001E311E" w:rsidP="001E311E">
            <w:pPr>
              <w:spacing w:before="0" w:after="0"/>
              <w:jc w:val="center"/>
              <w:rPr>
                <w:rFonts w:ascii="Times New Roman" w:eastAsia="Times New Roman" w:hAnsi="Times New Roman" w:cs="Times New Roman"/>
                <w:b/>
                <w:bCs/>
                <w:noProof/>
                <w:color w:val="000000"/>
                <w:sz w:val="18"/>
                <w:szCs w:val="18"/>
                <w:lang w:val="en-IE" w:eastAsia="en-IE"/>
              </w:rPr>
            </w:pPr>
            <w:r w:rsidRPr="001E311E">
              <w:rPr>
                <w:rFonts w:ascii="Times New Roman" w:eastAsia="Times New Roman" w:hAnsi="Times New Roman" w:cs="Times New Roman"/>
                <w:b/>
                <w:bCs/>
                <w:noProof/>
                <w:color w:val="000000"/>
                <w:sz w:val="18"/>
                <w:szCs w:val="18"/>
                <w:lang w:val="en-IE" w:eastAsia="en-IE"/>
              </w:rPr>
              <w:t>2.9</w:t>
            </w:r>
          </w:p>
        </w:tc>
      </w:tr>
    </w:tbl>
    <w:p w14:paraId="0A45674F" w14:textId="77777777" w:rsidR="000F07E3" w:rsidRDefault="000F07E3" w:rsidP="003C52CD">
      <w:pPr>
        <w:rPr>
          <w:noProof/>
        </w:rPr>
      </w:pPr>
    </w:p>
    <w:p w14:paraId="79E93E49" w14:textId="27E85825" w:rsidR="009C6957" w:rsidRDefault="001C5DEA" w:rsidP="00461108">
      <w:pPr>
        <w:tabs>
          <w:tab w:val="left" w:pos="2460"/>
        </w:tabs>
        <w:spacing w:before="0" w:after="160" w:line="256" w:lineRule="auto"/>
        <w:ind w:right="-1"/>
        <w:contextualSpacing/>
        <w:jc w:val="both"/>
        <w:rPr>
          <w:noProof/>
          <w:color w:val="auto"/>
        </w:rPr>
      </w:pPr>
      <w:r>
        <w:rPr>
          <w:noProof/>
          <w:color w:val="auto"/>
        </w:rPr>
        <w:t>Summary</w:t>
      </w:r>
      <w:r w:rsidR="0071632C">
        <w:rPr>
          <w:noProof/>
          <w:color w:val="auto"/>
        </w:rPr>
        <w:t xml:space="preserve"> table:</w:t>
      </w:r>
    </w:p>
    <w:p w14:paraId="155EAB64" w14:textId="77777777" w:rsidR="0071632C" w:rsidRDefault="0071632C" w:rsidP="00461108">
      <w:pPr>
        <w:tabs>
          <w:tab w:val="left" w:pos="2460"/>
        </w:tabs>
        <w:spacing w:before="0" w:after="160" w:line="256" w:lineRule="auto"/>
        <w:ind w:right="-1"/>
        <w:contextualSpacing/>
        <w:jc w:val="both"/>
        <w:rPr>
          <w:noProof/>
          <w:color w:val="auto"/>
        </w:rPr>
      </w:pPr>
    </w:p>
    <w:tbl>
      <w:tblPr>
        <w:tblW w:w="0" w:type="auto"/>
        <w:tblLook w:val="04A0" w:firstRow="1" w:lastRow="0" w:firstColumn="1" w:lastColumn="0" w:noHBand="0" w:noVBand="1"/>
      </w:tblPr>
      <w:tblGrid>
        <w:gridCol w:w="1068"/>
        <w:gridCol w:w="694"/>
        <w:gridCol w:w="583"/>
        <w:gridCol w:w="592"/>
        <w:gridCol w:w="574"/>
        <w:gridCol w:w="582"/>
        <w:gridCol w:w="591"/>
        <w:gridCol w:w="573"/>
        <w:gridCol w:w="582"/>
        <w:gridCol w:w="591"/>
        <w:gridCol w:w="573"/>
        <w:gridCol w:w="582"/>
        <w:gridCol w:w="591"/>
        <w:gridCol w:w="573"/>
        <w:gridCol w:w="582"/>
        <w:gridCol w:w="591"/>
        <w:gridCol w:w="573"/>
        <w:gridCol w:w="582"/>
        <w:gridCol w:w="591"/>
        <w:gridCol w:w="573"/>
        <w:gridCol w:w="582"/>
        <w:gridCol w:w="591"/>
        <w:gridCol w:w="573"/>
      </w:tblGrid>
      <w:tr w:rsidR="00A36C64" w:rsidRPr="00C401EA" w14:paraId="61EE377F" w14:textId="77777777" w:rsidTr="00CA5097">
        <w:trPr>
          <w:trHeight w:val="312"/>
        </w:trPr>
        <w:tc>
          <w:tcPr>
            <w:tcW w:w="0" w:type="auto"/>
            <w:tcBorders>
              <w:top w:val="nil"/>
              <w:left w:val="nil"/>
              <w:bottom w:val="nil"/>
              <w:right w:val="nil"/>
            </w:tcBorders>
            <w:noWrap/>
            <w:vAlign w:val="bottom"/>
            <w:hideMark/>
          </w:tcPr>
          <w:p w14:paraId="5BEC180C" w14:textId="77777777" w:rsidR="00CA5097" w:rsidRPr="00CA5097" w:rsidRDefault="00CA5097" w:rsidP="00CA5097">
            <w:pPr>
              <w:spacing w:before="0" w:after="0"/>
              <w:rPr>
                <w:rFonts w:ascii="Times New Roman" w:eastAsia="Times New Roman" w:hAnsi="Times New Roman" w:cs="Times New Roman"/>
                <w:noProof/>
                <w:color w:val="auto"/>
                <w:sz w:val="18"/>
                <w:szCs w:val="18"/>
                <w:lang w:val="en-IE" w:eastAsia="en-IE"/>
              </w:rPr>
            </w:pP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0B636D30"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Weight</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00608257"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PO1a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1174E40D"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PO1b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4C5D9327"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PO1c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3CE30B80"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PO2a</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6D3D12BA"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PO2b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5B04529E"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PO2c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4FE26AB6"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PO3a</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3C24B6DD"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PO3b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67880197"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PO3c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67B1FEBB"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PO4a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328635F5"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PO4b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61D0D2AA"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PO4c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232EBBB8"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PO5a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52E45444"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PO5b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1C81870D"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PO5c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3026C91A"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PO6a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5AFDB9F1"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PO6b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52D3480A"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PO6c</w:t>
            </w:r>
          </w:p>
        </w:tc>
        <w:tc>
          <w:tcPr>
            <w:tcW w:w="0" w:type="auto"/>
            <w:tcBorders>
              <w:top w:val="single" w:sz="12" w:space="0" w:color="auto"/>
              <w:left w:val="nil"/>
              <w:bottom w:val="single" w:sz="8" w:space="0" w:color="auto"/>
              <w:right w:val="nil"/>
            </w:tcBorders>
            <w:shd w:val="clear" w:color="000000" w:fill="4472C4"/>
            <w:vAlign w:val="center"/>
            <w:hideMark/>
          </w:tcPr>
          <w:p w14:paraId="0E7F7A48"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PO7a</w:t>
            </w:r>
          </w:p>
        </w:tc>
        <w:tc>
          <w:tcPr>
            <w:tcW w:w="0" w:type="auto"/>
            <w:tcBorders>
              <w:top w:val="single" w:sz="12" w:space="0" w:color="auto"/>
              <w:left w:val="nil"/>
              <w:bottom w:val="single" w:sz="8" w:space="0" w:color="auto"/>
              <w:right w:val="nil"/>
            </w:tcBorders>
            <w:shd w:val="clear" w:color="000000" w:fill="4472C4"/>
            <w:vAlign w:val="center"/>
            <w:hideMark/>
          </w:tcPr>
          <w:p w14:paraId="4B82DD0B"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PO7b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7666D45F" w14:textId="77777777" w:rsidR="00CA5097" w:rsidRPr="00CA5097" w:rsidRDefault="00CA5097" w:rsidP="00CA5097">
            <w:pPr>
              <w:spacing w:before="0" w:after="0"/>
              <w:jc w:val="center"/>
              <w:rPr>
                <w:rFonts w:ascii="Times New Roman" w:eastAsia="Times New Roman" w:hAnsi="Times New Roman" w:cs="Times New Roman"/>
                <w:b/>
                <w:bCs/>
                <w:noProof/>
                <w:color w:val="FFFFFF"/>
                <w:sz w:val="18"/>
                <w:szCs w:val="18"/>
                <w:lang w:val="en-IE" w:eastAsia="en-IE"/>
              </w:rPr>
            </w:pPr>
            <w:r w:rsidRPr="00CA5097">
              <w:rPr>
                <w:rFonts w:ascii="Times New Roman" w:eastAsia="Times New Roman" w:hAnsi="Times New Roman" w:cs="Times New Roman"/>
                <w:b/>
                <w:bCs/>
                <w:noProof/>
                <w:color w:val="FFFFFF"/>
                <w:sz w:val="18"/>
                <w:szCs w:val="18"/>
                <w:lang w:val="en-IE" w:eastAsia="en-IE"/>
              </w:rPr>
              <w:t>PO7c</w:t>
            </w:r>
          </w:p>
        </w:tc>
      </w:tr>
      <w:tr w:rsidR="009C4055" w:rsidRPr="00CA5097" w14:paraId="2AAB9D0E" w14:textId="77777777" w:rsidTr="00CA5097">
        <w:trPr>
          <w:trHeight w:val="288"/>
        </w:trPr>
        <w:tc>
          <w:tcPr>
            <w:tcW w:w="0" w:type="auto"/>
            <w:tcBorders>
              <w:top w:val="single" w:sz="4" w:space="0" w:color="auto"/>
              <w:left w:val="single" w:sz="4" w:space="0" w:color="auto"/>
              <w:bottom w:val="single" w:sz="4" w:space="0" w:color="auto"/>
              <w:right w:val="single" w:sz="4" w:space="0" w:color="auto"/>
            </w:tcBorders>
            <w:shd w:val="clear" w:color="000000" w:fill="B4C6E7"/>
            <w:vAlign w:val="center"/>
            <w:hideMark/>
          </w:tcPr>
          <w:p w14:paraId="0AD3EE10" w14:textId="77777777" w:rsidR="00237200" w:rsidRPr="00CA5097" w:rsidRDefault="00237200" w:rsidP="00237200">
            <w:pPr>
              <w:spacing w:before="0" w:after="0"/>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Effectiveness</w:t>
            </w:r>
          </w:p>
        </w:tc>
        <w:tc>
          <w:tcPr>
            <w:tcW w:w="0" w:type="auto"/>
            <w:tcBorders>
              <w:top w:val="single" w:sz="4" w:space="0" w:color="auto"/>
              <w:left w:val="nil"/>
              <w:bottom w:val="single" w:sz="4" w:space="0" w:color="auto"/>
              <w:right w:val="single" w:sz="4" w:space="0" w:color="auto"/>
            </w:tcBorders>
            <w:noWrap/>
            <w:vAlign w:val="bottom"/>
            <w:hideMark/>
          </w:tcPr>
          <w:p w14:paraId="7F609701" w14:textId="77777777" w:rsidR="00237200" w:rsidRPr="00CA5097" w:rsidRDefault="00237200" w:rsidP="00237200">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30%</w:t>
            </w:r>
          </w:p>
        </w:tc>
        <w:tc>
          <w:tcPr>
            <w:tcW w:w="0" w:type="auto"/>
            <w:tcBorders>
              <w:top w:val="single" w:sz="4" w:space="0" w:color="auto"/>
              <w:left w:val="nil"/>
              <w:bottom w:val="single" w:sz="4" w:space="0" w:color="auto"/>
              <w:right w:val="single" w:sz="4" w:space="0" w:color="auto"/>
            </w:tcBorders>
            <w:noWrap/>
            <w:vAlign w:val="bottom"/>
            <w:hideMark/>
          </w:tcPr>
          <w:p w14:paraId="378DEE3C" w14:textId="7E576950"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w:t>
            </w:r>
            <w:r w:rsidR="00B23A37">
              <w:rPr>
                <w:rFonts w:ascii="Times New Roman" w:hAnsi="Times New Roman" w:cs="Times New Roman"/>
                <w:noProof/>
                <w:color w:val="000000"/>
                <w:sz w:val="18"/>
                <w:szCs w:val="18"/>
              </w:rPr>
              <w:t>6</w:t>
            </w:r>
            <w:r w:rsidRPr="00AA7C2F">
              <w:rPr>
                <w:rFonts w:ascii="Times New Roman" w:hAnsi="Times New Roman" w:cs="Times New Roman"/>
                <w:noProof/>
                <w:color w:val="000000"/>
                <w:sz w:val="18"/>
                <w:szCs w:val="18"/>
              </w:rPr>
              <w:t>0</w:t>
            </w:r>
          </w:p>
        </w:tc>
        <w:tc>
          <w:tcPr>
            <w:tcW w:w="0" w:type="auto"/>
            <w:tcBorders>
              <w:top w:val="single" w:sz="4" w:space="0" w:color="auto"/>
              <w:left w:val="nil"/>
              <w:bottom w:val="single" w:sz="4" w:space="0" w:color="auto"/>
              <w:right w:val="single" w:sz="4" w:space="0" w:color="auto"/>
            </w:tcBorders>
            <w:noWrap/>
            <w:vAlign w:val="bottom"/>
            <w:hideMark/>
          </w:tcPr>
          <w:p w14:paraId="5AF94ACA" w14:textId="332BE942"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w:t>
            </w:r>
            <w:r w:rsidR="00B23A37">
              <w:rPr>
                <w:rFonts w:ascii="Times New Roman" w:hAnsi="Times New Roman" w:cs="Times New Roman"/>
                <w:noProof/>
                <w:color w:val="000000"/>
                <w:sz w:val="18"/>
                <w:szCs w:val="18"/>
              </w:rPr>
              <w:t>9</w:t>
            </w:r>
            <w:r w:rsidRPr="00AA7C2F">
              <w:rPr>
                <w:rFonts w:ascii="Times New Roman" w:hAnsi="Times New Roman" w:cs="Times New Roman"/>
                <w:noProof/>
                <w:color w:val="000000"/>
                <w:sz w:val="18"/>
                <w:szCs w:val="18"/>
              </w:rPr>
              <w:t>0</w:t>
            </w:r>
          </w:p>
        </w:tc>
        <w:tc>
          <w:tcPr>
            <w:tcW w:w="0" w:type="auto"/>
            <w:tcBorders>
              <w:top w:val="single" w:sz="4" w:space="0" w:color="auto"/>
              <w:left w:val="nil"/>
              <w:bottom w:val="single" w:sz="4" w:space="0" w:color="auto"/>
              <w:right w:val="single" w:sz="4" w:space="0" w:color="auto"/>
            </w:tcBorders>
            <w:noWrap/>
            <w:vAlign w:val="bottom"/>
            <w:hideMark/>
          </w:tcPr>
          <w:p w14:paraId="28B6FCCE" w14:textId="4BACB40E" w:rsidR="00237200" w:rsidRPr="00AA7C2F" w:rsidRDefault="000D4259" w:rsidP="00237200">
            <w:pPr>
              <w:spacing w:before="0" w:after="0"/>
              <w:jc w:val="center"/>
              <w:rPr>
                <w:rFonts w:ascii="Times New Roman" w:eastAsia="Times New Roman" w:hAnsi="Times New Roman" w:cs="Times New Roman"/>
                <w:noProof/>
                <w:color w:val="000000"/>
                <w:sz w:val="18"/>
                <w:szCs w:val="18"/>
                <w:lang w:val="en-IE" w:eastAsia="en-IE"/>
              </w:rPr>
            </w:pPr>
            <w:r>
              <w:rPr>
                <w:rFonts w:ascii="Times New Roman" w:hAnsi="Times New Roman" w:cs="Times New Roman"/>
                <w:noProof/>
                <w:color w:val="000000"/>
                <w:sz w:val="18"/>
                <w:szCs w:val="18"/>
              </w:rPr>
              <w:t>1</w:t>
            </w:r>
            <w:r w:rsidR="00237200" w:rsidRPr="00AA7C2F">
              <w:rPr>
                <w:rFonts w:ascii="Times New Roman" w:hAnsi="Times New Roman" w:cs="Times New Roman"/>
                <w:noProof/>
                <w:color w:val="000000"/>
                <w:sz w:val="18"/>
                <w:szCs w:val="18"/>
              </w:rPr>
              <w:t>.</w:t>
            </w:r>
            <w:r>
              <w:rPr>
                <w:rFonts w:ascii="Times New Roman" w:hAnsi="Times New Roman" w:cs="Times New Roman"/>
                <w:noProof/>
                <w:color w:val="000000"/>
                <w:sz w:val="18"/>
                <w:szCs w:val="18"/>
              </w:rPr>
              <w:t>2</w:t>
            </w:r>
            <w:r w:rsidR="00237200" w:rsidRPr="00AA7C2F">
              <w:rPr>
                <w:rFonts w:ascii="Times New Roman" w:hAnsi="Times New Roman" w:cs="Times New Roman"/>
                <w:noProof/>
                <w:color w:val="000000"/>
                <w:sz w:val="18"/>
                <w:szCs w:val="18"/>
              </w:rPr>
              <w:t>0</w:t>
            </w:r>
          </w:p>
        </w:tc>
        <w:tc>
          <w:tcPr>
            <w:tcW w:w="0" w:type="auto"/>
            <w:tcBorders>
              <w:top w:val="single" w:sz="4" w:space="0" w:color="auto"/>
              <w:left w:val="nil"/>
              <w:bottom w:val="single" w:sz="4" w:space="0" w:color="auto"/>
              <w:right w:val="single" w:sz="4" w:space="0" w:color="auto"/>
            </w:tcBorders>
            <w:noWrap/>
            <w:vAlign w:val="bottom"/>
            <w:hideMark/>
          </w:tcPr>
          <w:p w14:paraId="0F0D2103" w14:textId="64046545"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0.75</w:t>
            </w:r>
          </w:p>
        </w:tc>
        <w:tc>
          <w:tcPr>
            <w:tcW w:w="0" w:type="auto"/>
            <w:tcBorders>
              <w:top w:val="single" w:sz="4" w:space="0" w:color="auto"/>
              <w:left w:val="nil"/>
              <w:bottom w:val="single" w:sz="4" w:space="0" w:color="auto"/>
              <w:right w:val="single" w:sz="4" w:space="0" w:color="auto"/>
            </w:tcBorders>
            <w:noWrap/>
            <w:vAlign w:val="bottom"/>
            <w:hideMark/>
          </w:tcPr>
          <w:p w14:paraId="05B83015" w14:textId="092CE001"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1.05</w:t>
            </w:r>
          </w:p>
        </w:tc>
        <w:tc>
          <w:tcPr>
            <w:tcW w:w="0" w:type="auto"/>
            <w:tcBorders>
              <w:top w:val="single" w:sz="4" w:space="0" w:color="auto"/>
              <w:left w:val="nil"/>
              <w:bottom w:val="single" w:sz="4" w:space="0" w:color="auto"/>
              <w:right w:val="single" w:sz="4" w:space="0" w:color="auto"/>
            </w:tcBorders>
            <w:noWrap/>
            <w:vAlign w:val="bottom"/>
            <w:hideMark/>
          </w:tcPr>
          <w:p w14:paraId="06194DC1" w14:textId="4ABB5505"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1.05</w:t>
            </w:r>
          </w:p>
        </w:tc>
        <w:tc>
          <w:tcPr>
            <w:tcW w:w="0" w:type="auto"/>
            <w:tcBorders>
              <w:top w:val="single" w:sz="4" w:space="0" w:color="auto"/>
              <w:left w:val="nil"/>
              <w:bottom w:val="single" w:sz="4" w:space="0" w:color="auto"/>
              <w:right w:val="single" w:sz="4" w:space="0" w:color="auto"/>
            </w:tcBorders>
            <w:noWrap/>
            <w:vAlign w:val="bottom"/>
            <w:hideMark/>
          </w:tcPr>
          <w:p w14:paraId="13C89A77" w14:textId="5C4F71EC"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0.45</w:t>
            </w:r>
          </w:p>
        </w:tc>
        <w:tc>
          <w:tcPr>
            <w:tcW w:w="0" w:type="auto"/>
            <w:tcBorders>
              <w:top w:val="single" w:sz="4" w:space="0" w:color="auto"/>
              <w:left w:val="nil"/>
              <w:bottom w:val="single" w:sz="4" w:space="0" w:color="auto"/>
              <w:right w:val="single" w:sz="4" w:space="0" w:color="auto"/>
            </w:tcBorders>
            <w:noWrap/>
            <w:vAlign w:val="bottom"/>
            <w:hideMark/>
          </w:tcPr>
          <w:p w14:paraId="11DA874C" w14:textId="160A7125"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0.75</w:t>
            </w:r>
          </w:p>
        </w:tc>
        <w:tc>
          <w:tcPr>
            <w:tcW w:w="0" w:type="auto"/>
            <w:tcBorders>
              <w:top w:val="single" w:sz="4" w:space="0" w:color="auto"/>
              <w:left w:val="nil"/>
              <w:bottom w:val="single" w:sz="4" w:space="0" w:color="auto"/>
              <w:right w:val="single" w:sz="4" w:space="0" w:color="auto"/>
            </w:tcBorders>
            <w:noWrap/>
            <w:vAlign w:val="bottom"/>
            <w:hideMark/>
          </w:tcPr>
          <w:p w14:paraId="07852DB4" w14:textId="776DD602"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1.05</w:t>
            </w:r>
          </w:p>
        </w:tc>
        <w:tc>
          <w:tcPr>
            <w:tcW w:w="0" w:type="auto"/>
            <w:tcBorders>
              <w:top w:val="single" w:sz="4" w:space="0" w:color="auto"/>
              <w:left w:val="nil"/>
              <w:bottom w:val="single" w:sz="4" w:space="0" w:color="auto"/>
              <w:right w:val="single" w:sz="4" w:space="0" w:color="auto"/>
            </w:tcBorders>
            <w:noWrap/>
            <w:vAlign w:val="bottom"/>
            <w:hideMark/>
          </w:tcPr>
          <w:p w14:paraId="1B37039F" w14:textId="6C2C795D"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0.45</w:t>
            </w:r>
          </w:p>
        </w:tc>
        <w:tc>
          <w:tcPr>
            <w:tcW w:w="0" w:type="auto"/>
            <w:tcBorders>
              <w:top w:val="single" w:sz="4" w:space="0" w:color="auto"/>
              <w:left w:val="nil"/>
              <w:bottom w:val="single" w:sz="4" w:space="0" w:color="auto"/>
              <w:right w:val="single" w:sz="4" w:space="0" w:color="auto"/>
            </w:tcBorders>
            <w:noWrap/>
            <w:vAlign w:val="bottom"/>
            <w:hideMark/>
          </w:tcPr>
          <w:p w14:paraId="2892AB34" w14:textId="7D26018E"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0.75</w:t>
            </w:r>
          </w:p>
        </w:tc>
        <w:tc>
          <w:tcPr>
            <w:tcW w:w="0" w:type="auto"/>
            <w:tcBorders>
              <w:top w:val="single" w:sz="4" w:space="0" w:color="auto"/>
              <w:left w:val="nil"/>
              <w:bottom w:val="single" w:sz="4" w:space="0" w:color="auto"/>
              <w:right w:val="single" w:sz="4" w:space="0" w:color="auto"/>
            </w:tcBorders>
            <w:noWrap/>
            <w:vAlign w:val="bottom"/>
            <w:hideMark/>
          </w:tcPr>
          <w:p w14:paraId="1DBEA576" w14:textId="1D46DBE6"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1.05</w:t>
            </w:r>
          </w:p>
        </w:tc>
        <w:tc>
          <w:tcPr>
            <w:tcW w:w="0" w:type="auto"/>
            <w:tcBorders>
              <w:top w:val="single" w:sz="4" w:space="0" w:color="auto"/>
              <w:left w:val="nil"/>
              <w:bottom w:val="single" w:sz="4" w:space="0" w:color="auto"/>
              <w:right w:val="single" w:sz="4" w:space="0" w:color="auto"/>
            </w:tcBorders>
            <w:noWrap/>
            <w:vAlign w:val="bottom"/>
            <w:hideMark/>
          </w:tcPr>
          <w:p w14:paraId="35DE62DB" w14:textId="2EFD1E65"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single" w:sz="4" w:space="0" w:color="auto"/>
              <w:left w:val="nil"/>
              <w:bottom w:val="single" w:sz="4" w:space="0" w:color="auto"/>
              <w:right w:val="single" w:sz="4" w:space="0" w:color="auto"/>
            </w:tcBorders>
            <w:noWrap/>
            <w:vAlign w:val="bottom"/>
            <w:hideMark/>
          </w:tcPr>
          <w:p w14:paraId="2F832DDF" w14:textId="4103B3AD"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0.80</w:t>
            </w:r>
          </w:p>
        </w:tc>
        <w:tc>
          <w:tcPr>
            <w:tcW w:w="0" w:type="auto"/>
            <w:tcBorders>
              <w:top w:val="single" w:sz="4" w:space="0" w:color="auto"/>
              <w:left w:val="nil"/>
              <w:bottom w:val="single" w:sz="4" w:space="0" w:color="auto"/>
              <w:right w:val="single" w:sz="4" w:space="0" w:color="auto"/>
            </w:tcBorders>
            <w:noWrap/>
            <w:vAlign w:val="bottom"/>
            <w:hideMark/>
          </w:tcPr>
          <w:p w14:paraId="56839455" w14:textId="0A9EEDEB"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1.10</w:t>
            </w:r>
          </w:p>
        </w:tc>
        <w:tc>
          <w:tcPr>
            <w:tcW w:w="0" w:type="auto"/>
            <w:tcBorders>
              <w:top w:val="single" w:sz="4" w:space="0" w:color="auto"/>
              <w:left w:val="nil"/>
              <w:bottom w:val="single" w:sz="4" w:space="0" w:color="auto"/>
              <w:right w:val="single" w:sz="4" w:space="0" w:color="auto"/>
            </w:tcBorders>
            <w:noWrap/>
            <w:vAlign w:val="bottom"/>
            <w:hideMark/>
          </w:tcPr>
          <w:p w14:paraId="10DE764B" w14:textId="18E138AF"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0.70</w:t>
            </w:r>
          </w:p>
        </w:tc>
        <w:tc>
          <w:tcPr>
            <w:tcW w:w="0" w:type="auto"/>
            <w:tcBorders>
              <w:top w:val="single" w:sz="4" w:space="0" w:color="auto"/>
              <w:left w:val="nil"/>
              <w:bottom w:val="single" w:sz="4" w:space="0" w:color="auto"/>
              <w:right w:val="single" w:sz="4" w:space="0" w:color="auto"/>
            </w:tcBorders>
            <w:noWrap/>
            <w:vAlign w:val="bottom"/>
            <w:hideMark/>
          </w:tcPr>
          <w:p w14:paraId="416CE6ED" w14:textId="5A8A477C"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1.00</w:t>
            </w:r>
          </w:p>
        </w:tc>
        <w:tc>
          <w:tcPr>
            <w:tcW w:w="0" w:type="auto"/>
            <w:tcBorders>
              <w:top w:val="single" w:sz="4" w:space="0" w:color="auto"/>
              <w:left w:val="nil"/>
              <w:bottom w:val="single" w:sz="4" w:space="0" w:color="auto"/>
              <w:right w:val="single" w:sz="4" w:space="0" w:color="auto"/>
            </w:tcBorders>
            <w:noWrap/>
            <w:vAlign w:val="bottom"/>
            <w:hideMark/>
          </w:tcPr>
          <w:p w14:paraId="09E3D71C" w14:textId="4512F4D6"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0.80</w:t>
            </w:r>
          </w:p>
        </w:tc>
        <w:tc>
          <w:tcPr>
            <w:tcW w:w="0" w:type="auto"/>
            <w:tcBorders>
              <w:top w:val="single" w:sz="4" w:space="0" w:color="auto"/>
              <w:left w:val="nil"/>
              <w:bottom w:val="single" w:sz="4" w:space="0" w:color="auto"/>
              <w:right w:val="single" w:sz="4" w:space="0" w:color="auto"/>
            </w:tcBorders>
            <w:noWrap/>
            <w:vAlign w:val="bottom"/>
            <w:hideMark/>
          </w:tcPr>
          <w:p w14:paraId="04C00BD1" w14:textId="6B9E35D3"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0.45</w:t>
            </w:r>
          </w:p>
        </w:tc>
        <w:tc>
          <w:tcPr>
            <w:tcW w:w="0" w:type="auto"/>
            <w:tcBorders>
              <w:top w:val="single" w:sz="4" w:space="0" w:color="auto"/>
              <w:left w:val="nil"/>
              <w:bottom w:val="single" w:sz="4" w:space="0" w:color="auto"/>
              <w:right w:val="single" w:sz="4" w:space="0" w:color="auto"/>
            </w:tcBorders>
            <w:noWrap/>
            <w:vAlign w:val="bottom"/>
            <w:hideMark/>
          </w:tcPr>
          <w:p w14:paraId="5691FEB5" w14:textId="6E69BD40"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0.75</w:t>
            </w:r>
          </w:p>
        </w:tc>
        <w:tc>
          <w:tcPr>
            <w:tcW w:w="0" w:type="auto"/>
            <w:tcBorders>
              <w:top w:val="single" w:sz="4" w:space="0" w:color="auto"/>
              <w:left w:val="nil"/>
              <w:bottom w:val="single" w:sz="4" w:space="0" w:color="auto"/>
              <w:right w:val="single" w:sz="4" w:space="0" w:color="auto"/>
            </w:tcBorders>
            <w:noWrap/>
            <w:vAlign w:val="bottom"/>
            <w:hideMark/>
          </w:tcPr>
          <w:p w14:paraId="39E53EEB" w14:textId="0E3AB746"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1.05</w:t>
            </w:r>
          </w:p>
        </w:tc>
      </w:tr>
      <w:tr w:rsidR="009C4055" w:rsidRPr="00CA5097" w14:paraId="0D7C24C2" w14:textId="77777777" w:rsidTr="00CA5097">
        <w:trPr>
          <w:trHeight w:val="288"/>
        </w:trPr>
        <w:tc>
          <w:tcPr>
            <w:tcW w:w="0" w:type="auto"/>
            <w:tcBorders>
              <w:top w:val="nil"/>
              <w:left w:val="single" w:sz="4" w:space="0" w:color="auto"/>
              <w:bottom w:val="single" w:sz="4" w:space="0" w:color="auto"/>
              <w:right w:val="single" w:sz="4" w:space="0" w:color="auto"/>
            </w:tcBorders>
            <w:shd w:val="clear" w:color="000000" w:fill="B4C6E7"/>
            <w:vAlign w:val="center"/>
            <w:hideMark/>
          </w:tcPr>
          <w:p w14:paraId="14B4FA34" w14:textId="77777777" w:rsidR="00237200" w:rsidRPr="00CA5097" w:rsidRDefault="00237200" w:rsidP="00237200">
            <w:pPr>
              <w:spacing w:before="0" w:after="0"/>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Efficiency</w:t>
            </w:r>
          </w:p>
        </w:tc>
        <w:tc>
          <w:tcPr>
            <w:tcW w:w="0" w:type="auto"/>
            <w:tcBorders>
              <w:top w:val="nil"/>
              <w:left w:val="nil"/>
              <w:bottom w:val="single" w:sz="4" w:space="0" w:color="auto"/>
              <w:right w:val="single" w:sz="4" w:space="0" w:color="auto"/>
            </w:tcBorders>
            <w:noWrap/>
            <w:vAlign w:val="bottom"/>
            <w:hideMark/>
          </w:tcPr>
          <w:p w14:paraId="7DEF67BE" w14:textId="77777777" w:rsidR="00237200" w:rsidRPr="00CA5097" w:rsidRDefault="00237200" w:rsidP="00237200">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60%</w:t>
            </w:r>
          </w:p>
        </w:tc>
        <w:tc>
          <w:tcPr>
            <w:tcW w:w="0" w:type="auto"/>
            <w:tcBorders>
              <w:top w:val="nil"/>
              <w:left w:val="nil"/>
              <w:bottom w:val="single" w:sz="4" w:space="0" w:color="auto"/>
              <w:right w:val="single" w:sz="4" w:space="0" w:color="auto"/>
            </w:tcBorders>
            <w:noWrap/>
            <w:vAlign w:val="bottom"/>
            <w:hideMark/>
          </w:tcPr>
          <w:p w14:paraId="646BCF78" w14:textId="38CCB8C2"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0.85</w:t>
            </w:r>
          </w:p>
        </w:tc>
        <w:tc>
          <w:tcPr>
            <w:tcW w:w="0" w:type="auto"/>
            <w:tcBorders>
              <w:top w:val="nil"/>
              <w:left w:val="nil"/>
              <w:bottom w:val="single" w:sz="4" w:space="0" w:color="auto"/>
              <w:right w:val="single" w:sz="4" w:space="0" w:color="auto"/>
            </w:tcBorders>
            <w:noWrap/>
            <w:vAlign w:val="bottom"/>
            <w:hideMark/>
          </w:tcPr>
          <w:p w14:paraId="17031AB8" w14:textId="2872059F"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1.15</w:t>
            </w:r>
          </w:p>
        </w:tc>
        <w:tc>
          <w:tcPr>
            <w:tcW w:w="0" w:type="auto"/>
            <w:tcBorders>
              <w:top w:val="nil"/>
              <w:left w:val="nil"/>
              <w:bottom w:val="single" w:sz="4" w:space="0" w:color="auto"/>
              <w:right w:val="single" w:sz="4" w:space="0" w:color="auto"/>
            </w:tcBorders>
            <w:noWrap/>
            <w:vAlign w:val="bottom"/>
            <w:hideMark/>
          </w:tcPr>
          <w:p w14:paraId="6D24BC70" w14:textId="5FB286BF"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w:t>
            </w:r>
            <w:r w:rsidR="000D4259">
              <w:rPr>
                <w:rFonts w:ascii="Times New Roman" w:hAnsi="Times New Roman" w:cs="Times New Roman"/>
                <w:noProof/>
                <w:color w:val="000000"/>
                <w:sz w:val="18"/>
                <w:szCs w:val="18"/>
              </w:rPr>
              <w:t>4</w:t>
            </w:r>
            <w:r w:rsidRPr="00AA7C2F">
              <w:rPr>
                <w:rFonts w:ascii="Times New Roman" w:hAnsi="Times New Roman" w:cs="Times New Roman"/>
                <w:noProof/>
                <w:color w:val="000000"/>
                <w:sz w:val="18"/>
                <w:szCs w:val="18"/>
              </w:rPr>
              <w:t>0</w:t>
            </w:r>
          </w:p>
        </w:tc>
        <w:tc>
          <w:tcPr>
            <w:tcW w:w="0" w:type="auto"/>
            <w:tcBorders>
              <w:top w:val="nil"/>
              <w:left w:val="nil"/>
              <w:bottom w:val="single" w:sz="4" w:space="0" w:color="auto"/>
              <w:right w:val="single" w:sz="4" w:space="0" w:color="auto"/>
            </w:tcBorders>
            <w:noWrap/>
            <w:vAlign w:val="bottom"/>
            <w:hideMark/>
          </w:tcPr>
          <w:p w14:paraId="355E0C59" w14:textId="61308566"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0.95</w:t>
            </w:r>
          </w:p>
        </w:tc>
        <w:tc>
          <w:tcPr>
            <w:tcW w:w="0" w:type="auto"/>
            <w:tcBorders>
              <w:top w:val="nil"/>
              <w:left w:val="nil"/>
              <w:bottom w:val="single" w:sz="4" w:space="0" w:color="auto"/>
              <w:right w:val="single" w:sz="4" w:space="0" w:color="auto"/>
            </w:tcBorders>
            <w:noWrap/>
            <w:vAlign w:val="bottom"/>
            <w:hideMark/>
          </w:tcPr>
          <w:p w14:paraId="740C8F51" w14:textId="00B98777"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1.30</w:t>
            </w:r>
          </w:p>
        </w:tc>
        <w:tc>
          <w:tcPr>
            <w:tcW w:w="0" w:type="auto"/>
            <w:tcBorders>
              <w:top w:val="nil"/>
              <w:left w:val="nil"/>
              <w:bottom w:val="single" w:sz="4" w:space="0" w:color="auto"/>
              <w:right w:val="single" w:sz="4" w:space="0" w:color="auto"/>
            </w:tcBorders>
            <w:noWrap/>
            <w:vAlign w:val="bottom"/>
            <w:hideMark/>
          </w:tcPr>
          <w:p w14:paraId="20E3003A" w14:textId="12F74ABE"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w:t>
            </w:r>
            <w:r w:rsidR="0020445E">
              <w:rPr>
                <w:rFonts w:ascii="Times New Roman" w:hAnsi="Times New Roman" w:cs="Times New Roman"/>
                <w:noProof/>
                <w:color w:val="000000"/>
                <w:sz w:val="18"/>
                <w:szCs w:val="18"/>
              </w:rPr>
              <w:t>25</w:t>
            </w:r>
          </w:p>
        </w:tc>
        <w:tc>
          <w:tcPr>
            <w:tcW w:w="0" w:type="auto"/>
            <w:tcBorders>
              <w:top w:val="nil"/>
              <w:left w:val="nil"/>
              <w:bottom w:val="single" w:sz="4" w:space="0" w:color="auto"/>
              <w:right w:val="single" w:sz="4" w:space="0" w:color="auto"/>
            </w:tcBorders>
            <w:noWrap/>
            <w:vAlign w:val="bottom"/>
            <w:hideMark/>
          </w:tcPr>
          <w:p w14:paraId="3F8C76D4" w14:textId="3B74BD56"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0.60</w:t>
            </w:r>
          </w:p>
        </w:tc>
        <w:tc>
          <w:tcPr>
            <w:tcW w:w="0" w:type="auto"/>
            <w:tcBorders>
              <w:top w:val="nil"/>
              <w:left w:val="nil"/>
              <w:bottom w:val="single" w:sz="4" w:space="0" w:color="auto"/>
              <w:right w:val="single" w:sz="4" w:space="0" w:color="auto"/>
            </w:tcBorders>
            <w:noWrap/>
            <w:vAlign w:val="bottom"/>
            <w:hideMark/>
          </w:tcPr>
          <w:p w14:paraId="0AB780FB" w14:textId="2524F6C3"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0.90</w:t>
            </w:r>
          </w:p>
        </w:tc>
        <w:tc>
          <w:tcPr>
            <w:tcW w:w="0" w:type="auto"/>
            <w:tcBorders>
              <w:top w:val="nil"/>
              <w:left w:val="nil"/>
              <w:bottom w:val="single" w:sz="4" w:space="0" w:color="auto"/>
              <w:right w:val="single" w:sz="4" w:space="0" w:color="auto"/>
            </w:tcBorders>
            <w:noWrap/>
            <w:vAlign w:val="bottom"/>
            <w:hideMark/>
          </w:tcPr>
          <w:p w14:paraId="3CDBC81E" w14:textId="32D056A3"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1.25</w:t>
            </w:r>
          </w:p>
        </w:tc>
        <w:tc>
          <w:tcPr>
            <w:tcW w:w="0" w:type="auto"/>
            <w:tcBorders>
              <w:top w:val="nil"/>
              <w:left w:val="nil"/>
              <w:bottom w:val="single" w:sz="4" w:space="0" w:color="auto"/>
              <w:right w:val="single" w:sz="4" w:space="0" w:color="auto"/>
            </w:tcBorders>
            <w:noWrap/>
            <w:vAlign w:val="bottom"/>
            <w:hideMark/>
          </w:tcPr>
          <w:p w14:paraId="569903CF" w14:textId="5F5A9A13"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0.70</w:t>
            </w:r>
          </w:p>
        </w:tc>
        <w:tc>
          <w:tcPr>
            <w:tcW w:w="0" w:type="auto"/>
            <w:tcBorders>
              <w:top w:val="nil"/>
              <w:left w:val="nil"/>
              <w:bottom w:val="single" w:sz="4" w:space="0" w:color="auto"/>
              <w:right w:val="single" w:sz="4" w:space="0" w:color="auto"/>
            </w:tcBorders>
            <w:noWrap/>
            <w:vAlign w:val="bottom"/>
            <w:hideMark/>
          </w:tcPr>
          <w:p w14:paraId="4733FF08" w14:textId="6F87B761"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1.10</w:t>
            </w:r>
          </w:p>
        </w:tc>
        <w:tc>
          <w:tcPr>
            <w:tcW w:w="0" w:type="auto"/>
            <w:tcBorders>
              <w:top w:val="nil"/>
              <w:left w:val="nil"/>
              <w:bottom w:val="single" w:sz="4" w:space="0" w:color="auto"/>
              <w:right w:val="single" w:sz="4" w:space="0" w:color="auto"/>
            </w:tcBorders>
            <w:noWrap/>
            <w:vAlign w:val="bottom"/>
            <w:hideMark/>
          </w:tcPr>
          <w:p w14:paraId="30CB9FC9" w14:textId="53472107"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1.50</w:t>
            </w:r>
          </w:p>
        </w:tc>
        <w:tc>
          <w:tcPr>
            <w:tcW w:w="0" w:type="auto"/>
            <w:tcBorders>
              <w:top w:val="nil"/>
              <w:left w:val="nil"/>
              <w:bottom w:val="single" w:sz="4" w:space="0" w:color="auto"/>
              <w:right w:val="single" w:sz="4" w:space="0" w:color="auto"/>
            </w:tcBorders>
            <w:noWrap/>
            <w:vAlign w:val="bottom"/>
            <w:hideMark/>
          </w:tcPr>
          <w:p w14:paraId="0EBDBF9C" w14:textId="03FADE5B"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206C7221" w14:textId="548E62DB"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0.90</w:t>
            </w:r>
          </w:p>
        </w:tc>
        <w:tc>
          <w:tcPr>
            <w:tcW w:w="0" w:type="auto"/>
            <w:tcBorders>
              <w:top w:val="nil"/>
              <w:left w:val="nil"/>
              <w:bottom w:val="single" w:sz="4" w:space="0" w:color="auto"/>
              <w:right w:val="single" w:sz="4" w:space="0" w:color="auto"/>
            </w:tcBorders>
            <w:noWrap/>
            <w:vAlign w:val="bottom"/>
            <w:hideMark/>
          </w:tcPr>
          <w:p w14:paraId="7B632723" w14:textId="614E7654"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1.30</w:t>
            </w:r>
          </w:p>
        </w:tc>
        <w:tc>
          <w:tcPr>
            <w:tcW w:w="0" w:type="auto"/>
            <w:tcBorders>
              <w:top w:val="nil"/>
              <w:left w:val="nil"/>
              <w:bottom w:val="single" w:sz="4" w:space="0" w:color="auto"/>
              <w:right w:val="single" w:sz="4" w:space="0" w:color="auto"/>
            </w:tcBorders>
            <w:noWrap/>
            <w:vAlign w:val="bottom"/>
            <w:hideMark/>
          </w:tcPr>
          <w:p w14:paraId="25E1710A" w14:textId="1C4595F8"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0.70</w:t>
            </w:r>
          </w:p>
        </w:tc>
        <w:tc>
          <w:tcPr>
            <w:tcW w:w="0" w:type="auto"/>
            <w:tcBorders>
              <w:top w:val="nil"/>
              <w:left w:val="nil"/>
              <w:bottom w:val="single" w:sz="4" w:space="0" w:color="auto"/>
              <w:right w:val="single" w:sz="4" w:space="0" w:color="auto"/>
            </w:tcBorders>
            <w:noWrap/>
            <w:vAlign w:val="bottom"/>
            <w:hideMark/>
          </w:tcPr>
          <w:p w14:paraId="54BA41E8" w14:textId="209CAE1C"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1.40</w:t>
            </w:r>
          </w:p>
        </w:tc>
        <w:tc>
          <w:tcPr>
            <w:tcW w:w="0" w:type="auto"/>
            <w:tcBorders>
              <w:top w:val="nil"/>
              <w:left w:val="nil"/>
              <w:bottom w:val="single" w:sz="4" w:space="0" w:color="auto"/>
              <w:right w:val="single" w:sz="4" w:space="0" w:color="auto"/>
            </w:tcBorders>
            <w:noWrap/>
            <w:vAlign w:val="bottom"/>
            <w:hideMark/>
          </w:tcPr>
          <w:p w14:paraId="087F40BE" w14:textId="0CC9F515"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0.80</w:t>
            </w:r>
          </w:p>
        </w:tc>
        <w:tc>
          <w:tcPr>
            <w:tcW w:w="0" w:type="auto"/>
            <w:tcBorders>
              <w:top w:val="nil"/>
              <w:left w:val="nil"/>
              <w:bottom w:val="single" w:sz="4" w:space="0" w:color="auto"/>
              <w:right w:val="single" w:sz="4" w:space="0" w:color="auto"/>
            </w:tcBorders>
            <w:noWrap/>
            <w:vAlign w:val="bottom"/>
            <w:hideMark/>
          </w:tcPr>
          <w:p w14:paraId="14E37C3D" w14:textId="3A16487F"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0.80</w:t>
            </w:r>
          </w:p>
        </w:tc>
        <w:tc>
          <w:tcPr>
            <w:tcW w:w="0" w:type="auto"/>
            <w:tcBorders>
              <w:top w:val="nil"/>
              <w:left w:val="nil"/>
              <w:bottom w:val="single" w:sz="4" w:space="0" w:color="auto"/>
              <w:right w:val="single" w:sz="4" w:space="0" w:color="auto"/>
            </w:tcBorders>
            <w:noWrap/>
            <w:vAlign w:val="bottom"/>
            <w:hideMark/>
          </w:tcPr>
          <w:p w14:paraId="7621E103" w14:textId="78E78113"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1.15</w:t>
            </w:r>
          </w:p>
        </w:tc>
        <w:tc>
          <w:tcPr>
            <w:tcW w:w="0" w:type="auto"/>
            <w:tcBorders>
              <w:top w:val="nil"/>
              <w:left w:val="nil"/>
              <w:bottom w:val="single" w:sz="4" w:space="0" w:color="auto"/>
              <w:right w:val="single" w:sz="4" w:space="0" w:color="auto"/>
            </w:tcBorders>
            <w:noWrap/>
            <w:vAlign w:val="bottom"/>
            <w:hideMark/>
          </w:tcPr>
          <w:p w14:paraId="0CC21A6B" w14:textId="5F2CD106"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1.45</w:t>
            </w:r>
          </w:p>
        </w:tc>
      </w:tr>
      <w:tr w:rsidR="009C4055" w:rsidRPr="00CA5097" w14:paraId="3DC58E40" w14:textId="77777777" w:rsidTr="00CA5097">
        <w:trPr>
          <w:trHeight w:val="288"/>
        </w:trPr>
        <w:tc>
          <w:tcPr>
            <w:tcW w:w="0" w:type="auto"/>
            <w:tcBorders>
              <w:top w:val="nil"/>
              <w:left w:val="single" w:sz="4" w:space="0" w:color="auto"/>
              <w:bottom w:val="single" w:sz="4" w:space="0" w:color="auto"/>
              <w:right w:val="single" w:sz="4" w:space="0" w:color="auto"/>
            </w:tcBorders>
            <w:shd w:val="clear" w:color="000000" w:fill="B4C6E7"/>
            <w:vAlign w:val="center"/>
            <w:hideMark/>
          </w:tcPr>
          <w:p w14:paraId="6E9AEE8E" w14:textId="77777777" w:rsidR="00237200" w:rsidRPr="00CA5097" w:rsidRDefault="00237200" w:rsidP="00237200">
            <w:pPr>
              <w:spacing w:before="0" w:after="0"/>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Coherence</w:t>
            </w:r>
          </w:p>
        </w:tc>
        <w:tc>
          <w:tcPr>
            <w:tcW w:w="0" w:type="auto"/>
            <w:tcBorders>
              <w:top w:val="nil"/>
              <w:left w:val="nil"/>
              <w:bottom w:val="single" w:sz="4" w:space="0" w:color="auto"/>
              <w:right w:val="single" w:sz="4" w:space="0" w:color="auto"/>
            </w:tcBorders>
            <w:noWrap/>
            <w:vAlign w:val="bottom"/>
            <w:hideMark/>
          </w:tcPr>
          <w:p w14:paraId="48BEB3BF" w14:textId="77777777" w:rsidR="00237200" w:rsidRPr="00CA5097" w:rsidRDefault="00237200" w:rsidP="00237200">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10%</w:t>
            </w:r>
          </w:p>
        </w:tc>
        <w:tc>
          <w:tcPr>
            <w:tcW w:w="0" w:type="auto"/>
            <w:tcBorders>
              <w:top w:val="nil"/>
              <w:left w:val="nil"/>
              <w:bottom w:val="single" w:sz="4" w:space="0" w:color="auto"/>
              <w:right w:val="single" w:sz="4" w:space="0" w:color="auto"/>
            </w:tcBorders>
            <w:noWrap/>
            <w:vAlign w:val="bottom"/>
            <w:hideMark/>
          </w:tcPr>
          <w:p w14:paraId="57029175" w14:textId="6C5FEE57"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18932500" w14:textId="7A8ED4E6"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5FFF2F44" w14:textId="5D17118A"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5BC51B5E" w14:textId="3F6996BD"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33B7D2EB" w14:textId="3E6F9498"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2E235F2F" w14:textId="11197565"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1E075170" w14:textId="19493EAF"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19CBF47B" w14:textId="707196D4"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406ECE67" w14:textId="2DFC7318"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0.50</w:t>
            </w:r>
          </w:p>
        </w:tc>
        <w:tc>
          <w:tcPr>
            <w:tcW w:w="0" w:type="auto"/>
            <w:tcBorders>
              <w:top w:val="nil"/>
              <w:left w:val="nil"/>
              <w:bottom w:val="single" w:sz="4" w:space="0" w:color="auto"/>
              <w:right w:val="single" w:sz="4" w:space="0" w:color="auto"/>
            </w:tcBorders>
            <w:noWrap/>
            <w:vAlign w:val="bottom"/>
            <w:hideMark/>
          </w:tcPr>
          <w:p w14:paraId="75F11656" w14:textId="2A5B922A"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0.20</w:t>
            </w:r>
          </w:p>
        </w:tc>
        <w:tc>
          <w:tcPr>
            <w:tcW w:w="0" w:type="auto"/>
            <w:tcBorders>
              <w:top w:val="nil"/>
              <w:left w:val="nil"/>
              <w:bottom w:val="single" w:sz="4" w:space="0" w:color="auto"/>
              <w:right w:val="single" w:sz="4" w:space="0" w:color="auto"/>
            </w:tcBorders>
            <w:noWrap/>
            <w:vAlign w:val="bottom"/>
            <w:hideMark/>
          </w:tcPr>
          <w:p w14:paraId="3CF2E80A" w14:textId="12E50740"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4DBC98C8" w14:textId="6597399D"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573DFFA1" w14:textId="4E1CBC8C"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0084AE91" w14:textId="49E0D4BC"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7D299370" w14:textId="3BADDDF4"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3F0A3AAE" w14:textId="6C914652"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067A087F" w14:textId="67F456B3"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c>
          <w:tcPr>
            <w:tcW w:w="0" w:type="auto"/>
            <w:tcBorders>
              <w:top w:val="nil"/>
              <w:left w:val="nil"/>
              <w:bottom w:val="single" w:sz="4" w:space="0" w:color="auto"/>
              <w:right w:val="single" w:sz="4" w:space="0" w:color="auto"/>
            </w:tcBorders>
            <w:noWrap/>
            <w:vAlign w:val="bottom"/>
            <w:hideMark/>
          </w:tcPr>
          <w:p w14:paraId="12A4971A" w14:textId="08EAF306"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4F45854E" w14:textId="34481A40"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0.20</w:t>
            </w:r>
          </w:p>
        </w:tc>
        <w:tc>
          <w:tcPr>
            <w:tcW w:w="0" w:type="auto"/>
            <w:tcBorders>
              <w:top w:val="nil"/>
              <w:left w:val="nil"/>
              <w:bottom w:val="single" w:sz="4" w:space="0" w:color="auto"/>
              <w:right w:val="single" w:sz="4" w:space="0" w:color="auto"/>
            </w:tcBorders>
            <w:noWrap/>
            <w:vAlign w:val="bottom"/>
            <w:hideMark/>
          </w:tcPr>
          <w:p w14:paraId="3917D867" w14:textId="740B23B0"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0.30</w:t>
            </w:r>
          </w:p>
        </w:tc>
        <w:tc>
          <w:tcPr>
            <w:tcW w:w="0" w:type="auto"/>
            <w:tcBorders>
              <w:top w:val="nil"/>
              <w:left w:val="nil"/>
              <w:bottom w:val="single" w:sz="4" w:space="0" w:color="auto"/>
              <w:right w:val="single" w:sz="4" w:space="0" w:color="auto"/>
            </w:tcBorders>
            <w:noWrap/>
            <w:vAlign w:val="bottom"/>
            <w:hideMark/>
          </w:tcPr>
          <w:p w14:paraId="62D5C3CE" w14:textId="4446A59D" w:rsidR="00237200" w:rsidRPr="00AA7C2F" w:rsidRDefault="00237200" w:rsidP="00237200">
            <w:pPr>
              <w:spacing w:before="0" w:after="0"/>
              <w:jc w:val="center"/>
              <w:rPr>
                <w:rFonts w:ascii="Times New Roman" w:eastAsia="Times New Roman" w:hAnsi="Times New Roman" w:cs="Times New Roman"/>
                <w:noProof/>
                <w:color w:val="000000"/>
                <w:sz w:val="18"/>
                <w:szCs w:val="18"/>
                <w:lang w:val="en-IE" w:eastAsia="en-IE"/>
              </w:rPr>
            </w:pPr>
            <w:r w:rsidRPr="00AA7C2F">
              <w:rPr>
                <w:rFonts w:ascii="Times New Roman" w:hAnsi="Times New Roman" w:cs="Times New Roman"/>
                <w:noProof/>
                <w:color w:val="000000"/>
                <w:sz w:val="18"/>
                <w:szCs w:val="18"/>
              </w:rPr>
              <w:t>0.40</w:t>
            </w:r>
          </w:p>
        </w:tc>
      </w:tr>
      <w:tr w:rsidR="00A36C64" w:rsidRPr="00C401EA" w14:paraId="4350A65F" w14:textId="77777777" w:rsidTr="00CA5097">
        <w:trPr>
          <w:trHeight w:val="288"/>
        </w:trPr>
        <w:tc>
          <w:tcPr>
            <w:tcW w:w="0" w:type="auto"/>
            <w:tcBorders>
              <w:top w:val="nil"/>
              <w:left w:val="single" w:sz="4" w:space="0" w:color="auto"/>
              <w:bottom w:val="single" w:sz="4" w:space="0" w:color="auto"/>
              <w:right w:val="single" w:sz="4" w:space="0" w:color="auto"/>
            </w:tcBorders>
            <w:shd w:val="clear" w:color="000000" w:fill="B4C6E7"/>
            <w:vAlign w:val="center"/>
            <w:hideMark/>
          </w:tcPr>
          <w:p w14:paraId="5EEF13FA" w14:textId="77777777" w:rsidR="00CA5097" w:rsidRPr="00CA5097" w:rsidRDefault="00CA5097" w:rsidP="00CA5097">
            <w:pPr>
              <w:spacing w:before="0" w:after="0"/>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Total</w:t>
            </w:r>
          </w:p>
        </w:tc>
        <w:tc>
          <w:tcPr>
            <w:tcW w:w="0" w:type="auto"/>
            <w:tcBorders>
              <w:top w:val="nil"/>
              <w:left w:val="nil"/>
              <w:bottom w:val="single" w:sz="4" w:space="0" w:color="auto"/>
              <w:right w:val="single" w:sz="4" w:space="0" w:color="auto"/>
            </w:tcBorders>
            <w:noWrap/>
            <w:vAlign w:val="bottom"/>
            <w:hideMark/>
          </w:tcPr>
          <w:p w14:paraId="14DE38C9" w14:textId="7777777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100%</w:t>
            </w:r>
          </w:p>
        </w:tc>
        <w:tc>
          <w:tcPr>
            <w:tcW w:w="0" w:type="auto"/>
            <w:tcBorders>
              <w:top w:val="nil"/>
              <w:left w:val="nil"/>
              <w:bottom w:val="single" w:sz="4" w:space="0" w:color="auto"/>
              <w:right w:val="single" w:sz="4" w:space="0" w:color="auto"/>
            </w:tcBorders>
            <w:shd w:val="clear" w:color="000000" w:fill="FCE4D6"/>
            <w:noWrap/>
            <w:vAlign w:val="bottom"/>
            <w:hideMark/>
          </w:tcPr>
          <w:p w14:paraId="2C353E21" w14:textId="2C83499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w:t>
            </w:r>
            <w:r w:rsidR="00A12E9B">
              <w:rPr>
                <w:rFonts w:ascii="Times New Roman" w:eastAsia="Times New Roman" w:hAnsi="Times New Roman" w:cs="Times New Roman"/>
                <w:b/>
                <w:bCs/>
                <w:noProof/>
                <w:color w:val="000000"/>
                <w:sz w:val="18"/>
                <w:szCs w:val="18"/>
                <w:lang w:val="en-IE" w:eastAsia="en-IE"/>
              </w:rPr>
              <w:t>7</w:t>
            </w:r>
            <w:r w:rsidRPr="00CA5097">
              <w:rPr>
                <w:rFonts w:ascii="Times New Roman" w:eastAsia="Times New Roman" w:hAnsi="Times New Roman" w:cs="Times New Roman"/>
                <w:b/>
                <w:bCs/>
                <w:noProof/>
                <w:color w:val="000000"/>
                <w:sz w:val="18"/>
                <w:szCs w:val="18"/>
                <w:lang w:val="en-IE" w:eastAsia="en-IE"/>
              </w:rPr>
              <w:t>5</w:t>
            </w:r>
          </w:p>
        </w:tc>
        <w:tc>
          <w:tcPr>
            <w:tcW w:w="0" w:type="auto"/>
            <w:tcBorders>
              <w:top w:val="nil"/>
              <w:left w:val="nil"/>
              <w:bottom w:val="single" w:sz="4" w:space="0" w:color="auto"/>
              <w:right w:val="single" w:sz="4" w:space="0" w:color="auto"/>
            </w:tcBorders>
            <w:shd w:val="clear" w:color="000000" w:fill="FCE4D6"/>
            <w:noWrap/>
            <w:vAlign w:val="bottom"/>
            <w:hideMark/>
          </w:tcPr>
          <w:p w14:paraId="119D39EE" w14:textId="7854579B"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w:t>
            </w:r>
            <w:r w:rsidR="00A12E9B">
              <w:rPr>
                <w:rFonts w:ascii="Times New Roman" w:eastAsia="Times New Roman" w:hAnsi="Times New Roman" w:cs="Times New Roman"/>
                <w:b/>
                <w:bCs/>
                <w:noProof/>
                <w:color w:val="000000"/>
                <w:sz w:val="18"/>
                <w:szCs w:val="18"/>
                <w:lang w:val="en-IE" w:eastAsia="en-IE"/>
              </w:rPr>
              <w:t>4</w:t>
            </w:r>
            <w:r w:rsidRPr="00CA5097">
              <w:rPr>
                <w:rFonts w:ascii="Times New Roman" w:eastAsia="Times New Roman" w:hAnsi="Times New Roman" w:cs="Times New Roman"/>
                <w:b/>
                <w:bCs/>
                <w:noProof/>
                <w:color w:val="000000"/>
                <w:sz w:val="18"/>
                <w:szCs w:val="18"/>
                <w:lang w:val="en-IE" w:eastAsia="en-IE"/>
              </w:rPr>
              <w:t>5</w:t>
            </w:r>
          </w:p>
        </w:tc>
        <w:tc>
          <w:tcPr>
            <w:tcW w:w="0" w:type="auto"/>
            <w:tcBorders>
              <w:top w:val="nil"/>
              <w:left w:val="nil"/>
              <w:bottom w:val="single" w:sz="4" w:space="0" w:color="auto"/>
              <w:right w:val="single" w:sz="4" w:space="0" w:color="auto"/>
            </w:tcBorders>
            <w:shd w:val="clear" w:color="000000" w:fill="FCE4D6"/>
            <w:noWrap/>
            <w:vAlign w:val="bottom"/>
            <w:hideMark/>
          </w:tcPr>
          <w:p w14:paraId="57C40CF1" w14:textId="3E081F9C" w:rsidR="00CA5097" w:rsidRPr="00CA5097" w:rsidRDefault="00A12E9B" w:rsidP="00CA5097">
            <w:pPr>
              <w:spacing w:before="0" w:after="0"/>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w:t>
            </w:r>
          </w:p>
        </w:tc>
        <w:tc>
          <w:tcPr>
            <w:tcW w:w="0" w:type="auto"/>
            <w:tcBorders>
              <w:top w:val="nil"/>
              <w:left w:val="nil"/>
              <w:bottom w:val="single" w:sz="4" w:space="0" w:color="auto"/>
              <w:right w:val="single" w:sz="4" w:space="0" w:color="auto"/>
            </w:tcBorders>
            <w:shd w:val="clear" w:color="000000" w:fill="E2EFDA"/>
            <w:noWrap/>
            <w:vAlign w:val="bottom"/>
            <w:hideMark/>
          </w:tcPr>
          <w:p w14:paraId="17315D35" w14:textId="09C0E034"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w:t>
            </w:r>
          </w:p>
        </w:tc>
        <w:tc>
          <w:tcPr>
            <w:tcW w:w="0" w:type="auto"/>
            <w:tcBorders>
              <w:top w:val="nil"/>
              <w:left w:val="nil"/>
              <w:bottom w:val="single" w:sz="4" w:space="0" w:color="auto"/>
              <w:right w:val="single" w:sz="4" w:space="0" w:color="auto"/>
            </w:tcBorders>
            <w:shd w:val="clear" w:color="000000" w:fill="E2EFDA"/>
            <w:noWrap/>
            <w:vAlign w:val="bottom"/>
            <w:hideMark/>
          </w:tcPr>
          <w:p w14:paraId="5BD1840F" w14:textId="7777777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2.75</w:t>
            </w:r>
          </w:p>
        </w:tc>
        <w:tc>
          <w:tcPr>
            <w:tcW w:w="0" w:type="auto"/>
            <w:tcBorders>
              <w:top w:val="nil"/>
              <w:left w:val="nil"/>
              <w:bottom w:val="single" w:sz="4" w:space="0" w:color="auto"/>
              <w:right w:val="single" w:sz="4" w:space="0" w:color="auto"/>
            </w:tcBorders>
            <w:shd w:val="clear" w:color="000000" w:fill="E2EFDA"/>
            <w:noWrap/>
            <w:vAlign w:val="bottom"/>
            <w:hideMark/>
          </w:tcPr>
          <w:p w14:paraId="0FC40A12" w14:textId="1537FE94"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2.7</w:t>
            </w:r>
            <w:r w:rsidR="00033D0F">
              <w:rPr>
                <w:rFonts w:ascii="Times New Roman" w:eastAsia="Times New Roman" w:hAnsi="Times New Roman" w:cs="Times New Roman"/>
                <w:b/>
                <w:bCs/>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000000" w:fill="FFF2CC"/>
            <w:noWrap/>
            <w:vAlign w:val="bottom"/>
            <w:hideMark/>
          </w:tcPr>
          <w:p w14:paraId="6EC3071D" w14:textId="7777777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1.35</w:t>
            </w:r>
          </w:p>
        </w:tc>
        <w:tc>
          <w:tcPr>
            <w:tcW w:w="0" w:type="auto"/>
            <w:tcBorders>
              <w:top w:val="nil"/>
              <w:left w:val="nil"/>
              <w:bottom w:val="single" w:sz="4" w:space="0" w:color="auto"/>
              <w:right w:val="single" w:sz="4" w:space="0" w:color="auto"/>
            </w:tcBorders>
            <w:shd w:val="clear" w:color="000000" w:fill="FFF2CC"/>
            <w:noWrap/>
            <w:vAlign w:val="bottom"/>
            <w:hideMark/>
          </w:tcPr>
          <w:p w14:paraId="4AF4D4AD" w14:textId="7777777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2.05</w:t>
            </w:r>
          </w:p>
        </w:tc>
        <w:tc>
          <w:tcPr>
            <w:tcW w:w="0" w:type="auto"/>
            <w:tcBorders>
              <w:top w:val="nil"/>
              <w:left w:val="nil"/>
              <w:bottom w:val="single" w:sz="4" w:space="0" w:color="auto"/>
              <w:right w:val="single" w:sz="4" w:space="0" w:color="auto"/>
            </w:tcBorders>
            <w:shd w:val="clear" w:color="000000" w:fill="FFF2CC"/>
            <w:noWrap/>
            <w:vAlign w:val="bottom"/>
            <w:hideMark/>
          </w:tcPr>
          <w:p w14:paraId="2D8FD57A" w14:textId="6199715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2.8</w:t>
            </w:r>
          </w:p>
        </w:tc>
        <w:tc>
          <w:tcPr>
            <w:tcW w:w="0" w:type="auto"/>
            <w:tcBorders>
              <w:top w:val="nil"/>
              <w:left w:val="nil"/>
              <w:bottom w:val="single" w:sz="4" w:space="0" w:color="auto"/>
              <w:right w:val="single" w:sz="4" w:space="0" w:color="auto"/>
            </w:tcBorders>
            <w:shd w:val="clear" w:color="000000" w:fill="D9E1F2"/>
            <w:noWrap/>
            <w:vAlign w:val="bottom"/>
            <w:hideMark/>
          </w:tcPr>
          <w:p w14:paraId="01FD80FE" w14:textId="7777777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1.35</w:t>
            </w:r>
          </w:p>
        </w:tc>
        <w:tc>
          <w:tcPr>
            <w:tcW w:w="0" w:type="auto"/>
            <w:tcBorders>
              <w:top w:val="nil"/>
              <w:left w:val="nil"/>
              <w:bottom w:val="single" w:sz="4" w:space="0" w:color="auto"/>
              <w:right w:val="single" w:sz="4" w:space="0" w:color="auto"/>
            </w:tcBorders>
            <w:shd w:val="clear" w:color="000000" w:fill="D9E1F2"/>
            <w:noWrap/>
            <w:vAlign w:val="bottom"/>
            <w:hideMark/>
          </w:tcPr>
          <w:p w14:paraId="754A3150" w14:textId="7777777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2.15</w:t>
            </w:r>
          </w:p>
        </w:tc>
        <w:tc>
          <w:tcPr>
            <w:tcW w:w="0" w:type="auto"/>
            <w:tcBorders>
              <w:top w:val="nil"/>
              <w:left w:val="nil"/>
              <w:bottom w:val="single" w:sz="4" w:space="0" w:color="auto"/>
              <w:right w:val="single" w:sz="4" w:space="0" w:color="auto"/>
            </w:tcBorders>
            <w:shd w:val="clear" w:color="000000" w:fill="D9E1F2"/>
            <w:noWrap/>
            <w:vAlign w:val="bottom"/>
            <w:hideMark/>
          </w:tcPr>
          <w:p w14:paraId="3A52CE3D" w14:textId="7777777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2.95</w:t>
            </w:r>
          </w:p>
        </w:tc>
        <w:tc>
          <w:tcPr>
            <w:tcW w:w="0" w:type="auto"/>
            <w:tcBorders>
              <w:top w:val="nil"/>
              <w:left w:val="nil"/>
              <w:bottom w:val="single" w:sz="4" w:space="0" w:color="auto"/>
              <w:right w:val="single" w:sz="4" w:space="0" w:color="auto"/>
            </w:tcBorders>
            <w:shd w:val="clear" w:color="000000" w:fill="FCE4D6"/>
            <w:noWrap/>
            <w:vAlign w:val="bottom"/>
            <w:hideMark/>
          </w:tcPr>
          <w:p w14:paraId="15BED49A" w14:textId="31BEC8D6"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000000" w:fill="FCE4D6"/>
            <w:noWrap/>
            <w:vAlign w:val="bottom"/>
            <w:hideMark/>
          </w:tcPr>
          <w:p w14:paraId="54EED4A3" w14:textId="60B12D88"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w:t>
            </w:r>
          </w:p>
        </w:tc>
        <w:tc>
          <w:tcPr>
            <w:tcW w:w="0" w:type="auto"/>
            <w:tcBorders>
              <w:top w:val="nil"/>
              <w:left w:val="nil"/>
              <w:bottom w:val="single" w:sz="4" w:space="0" w:color="auto"/>
              <w:right w:val="single" w:sz="4" w:space="0" w:color="auto"/>
            </w:tcBorders>
            <w:shd w:val="clear" w:color="000000" w:fill="FCE4D6"/>
            <w:noWrap/>
            <w:vAlign w:val="bottom"/>
            <w:hideMark/>
          </w:tcPr>
          <w:p w14:paraId="69604FFF" w14:textId="2F24B937"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2.8</w:t>
            </w:r>
          </w:p>
        </w:tc>
        <w:tc>
          <w:tcPr>
            <w:tcW w:w="0" w:type="auto"/>
            <w:tcBorders>
              <w:top w:val="nil"/>
              <w:left w:val="nil"/>
              <w:bottom w:val="single" w:sz="4" w:space="0" w:color="auto"/>
              <w:right w:val="single" w:sz="4" w:space="0" w:color="auto"/>
            </w:tcBorders>
            <w:shd w:val="clear" w:color="000000" w:fill="E2EFDA"/>
            <w:noWrap/>
            <w:vAlign w:val="bottom"/>
            <w:hideMark/>
          </w:tcPr>
          <w:p w14:paraId="2EE9E139" w14:textId="2648AEB5"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1.7</w:t>
            </w:r>
          </w:p>
        </w:tc>
        <w:tc>
          <w:tcPr>
            <w:tcW w:w="0" w:type="auto"/>
            <w:tcBorders>
              <w:top w:val="nil"/>
              <w:left w:val="nil"/>
              <w:bottom w:val="single" w:sz="4" w:space="0" w:color="auto"/>
              <w:right w:val="single" w:sz="4" w:space="0" w:color="auto"/>
            </w:tcBorders>
            <w:shd w:val="clear" w:color="000000" w:fill="E2EFDA"/>
            <w:noWrap/>
            <w:vAlign w:val="bottom"/>
            <w:hideMark/>
          </w:tcPr>
          <w:p w14:paraId="5D721DA6" w14:textId="0CD812B9"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2.8</w:t>
            </w:r>
          </w:p>
        </w:tc>
        <w:tc>
          <w:tcPr>
            <w:tcW w:w="0" w:type="auto"/>
            <w:tcBorders>
              <w:top w:val="nil"/>
              <w:left w:val="nil"/>
              <w:bottom w:val="single" w:sz="4" w:space="0" w:color="auto"/>
              <w:right w:val="single" w:sz="4" w:space="0" w:color="auto"/>
            </w:tcBorders>
            <w:shd w:val="clear" w:color="000000" w:fill="E2EFDA"/>
            <w:noWrap/>
            <w:vAlign w:val="bottom"/>
            <w:hideMark/>
          </w:tcPr>
          <w:p w14:paraId="7DE85041" w14:textId="77F2DA10"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1.9</w:t>
            </w:r>
          </w:p>
        </w:tc>
        <w:tc>
          <w:tcPr>
            <w:tcW w:w="0" w:type="auto"/>
            <w:tcBorders>
              <w:top w:val="nil"/>
              <w:left w:val="nil"/>
              <w:bottom w:val="single" w:sz="4" w:space="0" w:color="auto"/>
              <w:right w:val="single" w:sz="4" w:space="0" w:color="auto"/>
            </w:tcBorders>
            <w:shd w:val="clear" w:color="000000" w:fill="FFF2CC"/>
            <w:noWrap/>
            <w:vAlign w:val="bottom"/>
            <w:hideMark/>
          </w:tcPr>
          <w:p w14:paraId="545BBD7B" w14:textId="53DEA495"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1.</w:t>
            </w:r>
            <w:r w:rsidR="00A85ED1">
              <w:rPr>
                <w:rFonts w:ascii="Times New Roman" w:eastAsia="Times New Roman" w:hAnsi="Times New Roman" w:cs="Times New Roman"/>
                <w:b/>
                <w:bCs/>
                <w:noProof/>
                <w:color w:val="000000"/>
                <w:sz w:val="18"/>
                <w:szCs w:val="18"/>
                <w:lang w:val="en-IE" w:eastAsia="en-IE"/>
              </w:rPr>
              <w:t>4</w:t>
            </w:r>
            <w:r w:rsidRPr="00CA5097">
              <w:rPr>
                <w:rFonts w:ascii="Times New Roman" w:eastAsia="Times New Roman" w:hAnsi="Times New Roman" w:cs="Times New Roman"/>
                <w:b/>
                <w:bCs/>
                <w:noProof/>
                <w:color w:val="000000"/>
                <w:sz w:val="18"/>
                <w:szCs w:val="18"/>
                <w:lang w:val="en-IE" w:eastAsia="en-IE"/>
              </w:rPr>
              <w:t>5</w:t>
            </w:r>
          </w:p>
        </w:tc>
        <w:tc>
          <w:tcPr>
            <w:tcW w:w="0" w:type="auto"/>
            <w:tcBorders>
              <w:top w:val="nil"/>
              <w:left w:val="nil"/>
              <w:bottom w:val="single" w:sz="4" w:space="0" w:color="auto"/>
              <w:right w:val="single" w:sz="4" w:space="0" w:color="auto"/>
            </w:tcBorders>
            <w:shd w:val="clear" w:color="000000" w:fill="FFF2CC"/>
            <w:noWrap/>
            <w:vAlign w:val="bottom"/>
            <w:hideMark/>
          </w:tcPr>
          <w:p w14:paraId="5E80F8DD" w14:textId="3B543B44"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2.2</w:t>
            </w:r>
          </w:p>
        </w:tc>
        <w:tc>
          <w:tcPr>
            <w:tcW w:w="0" w:type="auto"/>
            <w:tcBorders>
              <w:top w:val="nil"/>
              <w:left w:val="nil"/>
              <w:bottom w:val="single" w:sz="4" w:space="0" w:color="auto"/>
              <w:right w:val="single" w:sz="4" w:space="0" w:color="auto"/>
            </w:tcBorders>
            <w:shd w:val="clear" w:color="000000" w:fill="FFF2CC"/>
            <w:noWrap/>
            <w:vAlign w:val="bottom"/>
            <w:hideMark/>
          </w:tcPr>
          <w:p w14:paraId="14D826AE" w14:textId="66A0809A" w:rsidR="00CA5097" w:rsidRPr="00CA5097" w:rsidRDefault="00CA5097" w:rsidP="00CA5097">
            <w:pPr>
              <w:spacing w:before="0" w:after="0"/>
              <w:jc w:val="center"/>
              <w:rPr>
                <w:rFonts w:ascii="Times New Roman" w:eastAsia="Times New Roman" w:hAnsi="Times New Roman" w:cs="Times New Roman"/>
                <w:b/>
                <w:bCs/>
                <w:noProof/>
                <w:color w:val="000000"/>
                <w:sz w:val="18"/>
                <w:szCs w:val="18"/>
                <w:lang w:val="en-IE" w:eastAsia="en-IE"/>
              </w:rPr>
            </w:pPr>
            <w:r w:rsidRPr="00CA5097">
              <w:rPr>
                <w:rFonts w:ascii="Times New Roman" w:eastAsia="Times New Roman" w:hAnsi="Times New Roman" w:cs="Times New Roman"/>
                <w:b/>
                <w:bCs/>
                <w:noProof/>
                <w:color w:val="000000"/>
                <w:sz w:val="18"/>
                <w:szCs w:val="18"/>
                <w:lang w:val="en-IE" w:eastAsia="en-IE"/>
              </w:rPr>
              <w:t>2.9</w:t>
            </w:r>
          </w:p>
        </w:tc>
      </w:tr>
    </w:tbl>
    <w:p w14:paraId="3745BF91" w14:textId="77777777" w:rsidR="009C6957" w:rsidRDefault="009C6957" w:rsidP="00461108">
      <w:pPr>
        <w:tabs>
          <w:tab w:val="left" w:pos="2460"/>
        </w:tabs>
        <w:spacing w:before="0" w:after="160" w:line="256" w:lineRule="auto"/>
        <w:ind w:right="-1"/>
        <w:contextualSpacing/>
        <w:jc w:val="both"/>
        <w:rPr>
          <w:noProof/>
          <w:color w:val="auto"/>
        </w:rPr>
      </w:pPr>
    </w:p>
    <w:p w14:paraId="6DC9A74C" w14:textId="41816983" w:rsidR="00461108" w:rsidRDefault="00461108" w:rsidP="00461108">
      <w:pPr>
        <w:tabs>
          <w:tab w:val="left" w:pos="2460"/>
        </w:tabs>
        <w:spacing w:before="0" w:after="160" w:line="256" w:lineRule="auto"/>
        <w:ind w:right="-1"/>
        <w:contextualSpacing/>
        <w:jc w:val="both"/>
        <w:rPr>
          <w:noProof/>
          <w:color w:val="auto"/>
        </w:rPr>
      </w:pPr>
      <w:r w:rsidRPr="00206809">
        <w:rPr>
          <w:noProof/>
          <w:color w:val="auto"/>
        </w:rPr>
        <w:t xml:space="preserve">MCA table </w:t>
      </w:r>
      <w:r w:rsidR="009C6957">
        <w:rPr>
          <w:noProof/>
          <w:color w:val="auto"/>
        </w:rPr>
        <w:t xml:space="preserve">second approach </w:t>
      </w:r>
      <w:r>
        <w:rPr>
          <w:noProof/>
          <w:color w:val="auto"/>
        </w:rPr>
        <w:t>45</w:t>
      </w:r>
      <w:r w:rsidRPr="00206809">
        <w:rPr>
          <w:noProof/>
          <w:color w:val="auto"/>
        </w:rPr>
        <w:t>-</w:t>
      </w:r>
      <w:r>
        <w:rPr>
          <w:noProof/>
          <w:color w:val="auto"/>
        </w:rPr>
        <w:t>45</w:t>
      </w:r>
      <w:r w:rsidRPr="00206809">
        <w:rPr>
          <w:noProof/>
          <w:color w:val="auto"/>
        </w:rPr>
        <w:t>-10%</w:t>
      </w:r>
      <w:r w:rsidR="009C6957">
        <w:rPr>
          <w:noProof/>
          <w:color w:val="auto"/>
        </w:rPr>
        <w:t xml:space="preserve"> weights for effectiveness–efficiency–coherence:</w:t>
      </w:r>
    </w:p>
    <w:p w14:paraId="1E876D23" w14:textId="77777777" w:rsidR="00035AF4" w:rsidRDefault="00035AF4" w:rsidP="00461108">
      <w:pPr>
        <w:tabs>
          <w:tab w:val="left" w:pos="2460"/>
        </w:tabs>
        <w:spacing w:before="0" w:after="160" w:line="256" w:lineRule="auto"/>
        <w:ind w:right="-1"/>
        <w:contextualSpacing/>
        <w:jc w:val="both"/>
        <w:rPr>
          <w:noProof/>
          <w:color w:val="auto"/>
        </w:rPr>
      </w:pPr>
    </w:p>
    <w:tbl>
      <w:tblPr>
        <w:tblW w:w="0" w:type="auto"/>
        <w:tblLook w:val="04A0" w:firstRow="1" w:lastRow="0" w:firstColumn="1" w:lastColumn="0" w:noHBand="0" w:noVBand="1"/>
      </w:tblPr>
      <w:tblGrid>
        <w:gridCol w:w="1186"/>
        <w:gridCol w:w="684"/>
        <w:gridCol w:w="575"/>
        <w:gridCol w:w="585"/>
        <w:gridCol w:w="568"/>
        <w:gridCol w:w="576"/>
        <w:gridCol w:w="585"/>
        <w:gridCol w:w="568"/>
        <w:gridCol w:w="576"/>
        <w:gridCol w:w="585"/>
        <w:gridCol w:w="568"/>
        <w:gridCol w:w="576"/>
        <w:gridCol w:w="585"/>
        <w:gridCol w:w="568"/>
        <w:gridCol w:w="576"/>
        <w:gridCol w:w="585"/>
        <w:gridCol w:w="568"/>
        <w:gridCol w:w="576"/>
        <w:gridCol w:w="585"/>
        <w:gridCol w:w="568"/>
        <w:gridCol w:w="576"/>
        <w:gridCol w:w="585"/>
        <w:gridCol w:w="568"/>
      </w:tblGrid>
      <w:tr w:rsidR="00D94C8D" w:rsidRPr="00875A16" w14:paraId="7AB4BE26" w14:textId="77777777" w:rsidTr="605EB176">
        <w:trPr>
          <w:trHeight w:val="312"/>
        </w:trPr>
        <w:tc>
          <w:tcPr>
            <w:tcW w:w="0" w:type="auto"/>
            <w:tcBorders>
              <w:top w:val="single" w:sz="12" w:space="0" w:color="auto"/>
              <w:left w:val="single" w:sz="12" w:space="0" w:color="auto"/>
              <w:bottom w:val="single" w:sz="8" w:space="0" w:color="auto"/>
              <w:right w:val="single" w:sz="12" w:space="0" w:color="auto"/>
            </w:tcBorders>
            <w:shd w:val="clear" w:color="auto" w:fill="4472C4"/>
            <w:vAlign w:val="center"/>
            <w:hideMark/>
          </w:tcPr>
          <w:p w14:paraId="1F529348"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 </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3DE8F63E"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Weight</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2D3B6E22"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PO1a</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5BFCDE60"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PO1b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0EEBE26B"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PO1c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0A59D8AC"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PO2a</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33DA01FF"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PO2b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4D8B605D"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PO2c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76FCA99F"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PO3a</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560430CC"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PO3b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79D0DBA5"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PO3c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5C874B77"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PO4a</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4D66FE41"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PO4b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0334DE48"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PO4c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1E401B64"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PO5a</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1C679DC1"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PO5b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4E1BB819"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PO5c</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18727FC2"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PO6a</w:t>
            </w:r>
          </w:p>
        </w:tc>
        <w:tc>
          <w:tcPr>
            <w:tcW w:w="0" w:type="auto"/>
            <w:tcBorders>
              <w:top w:val="single" w:sz="12" w:space="0" w:color="auto"/>
              <w:left w:val="nil"/>
              <w:bottom w:val="single" w:sz="8" w:space="0" w:color="auto"/>
              <w:right w:val="single" w:sz="8" w:space="0" w:color="auto"/>
            </w:tcBorders>
            <w:shd w:val="clear" w:color="auto" w:fill="4472C4"/>
            <w:vAlign w:val="center"/>
            <w:hideMark/>
          </w:tcPr>
          <w:p w14:paraId="7B9C05CC"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PO6b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2B975886"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PO6c</w:t>
            </w:r>
          </w:p>
        </w:tc>
        <w:tc>
          <w:tcPr>
            <w:tcW w:w="0" w:type="auto"/>
            <w:tcBorders>
              <w:top w:val="single" w:sz="12" w:space="0" w:color="auto"/>
              <w:left w:val="nil"/>
              <w:bottom w:val="single" w:sz="8" w:space="0" w:color="auto"/>
              <w:right w:val="nil"/>
            </w:tcBorders>
            <w:shd w:val="clear" w:color="auto" w:fill="4472C4"/>
            <w:vAlign w:val="center"/>
            <w:hideMark/>
          </w:tcPr>
          <w:p w14:paraId="682BD86E"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PO7a</w:t>
            </w:r>
          </w:p>
        </w:tc>
        <w:tc>
          <w:tcPr>
            <w:tcW w:w="0" w:type="auto"/>
            <w:tcBorders>
              <w:top w:val="single" w:sz="12" w:space="0" w:color="auto"/>
              <w:left w:val="nil"/>
              <w:bottom w:val="single" w:sz="8" w:space="0" w:color="auto"/>
              <w:right w:val="nil"/>
            </w:tcBorders>
            <w:shd w:val="clear" w:color="auto" w:fill="4472C4"/>
            <w:vAlign w:val="center"/>
            <w:hideMark/>
          </w:tcPr>
          <w:p w14:paraId="751AE64C"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PO7b</w:t>
            </w:r>
          </w:p>
        </w:tc>
        <w:tc>
          <w:tcPr>
            <w:tcW w:w="0" w:type="auto"/>
            <w:tcBorders>
              <w:top w:val="single" w:sz="12" w:space="0" w:color="auto"/>
              <w:left w:val="nil"/>
              <w:bottom w:val="single" w:sz="8" w:space="0" w:color="auto"/>
              <w:right w:val="single" w:sz="12" w:space="0" w:color="auto"/>
            </w:tcBorders>
            <w:shd w:val="clear" w:color="auto" w:fill="4472C4"/>
            <w:vAlign w:val="center"/>
            <w:hideMark/>
          </w:tcPr>
          <w:p w14:paraId="2401F8DB" w14:textId="77777777" w:rsidR="00875A16" w:rsidRPr="00875A16" w:rsidRDefault="00875A16" w:rsidP="00875A16">
            <w:pPr>
              <w:spacing w:before="0" w:after="0"/>
              <w:jc w:val="center"/>
              <w:rPr>
                <w:rFonts w:ascii="Times New Roman" w:eastAsia="Times New Roman" w:hAnsi="Times New Roman" w:cs="Times New Roman"/>
                <w:b/>
                <w:bCs/>
                <w:noProof/>
                <w:color w:val="FFFFFF"/>
                <w:sz w:val="18"/>
                <w:szCs w:val="18"/>
                <w:lang w:val="en-IE" w:eastAsia="en-IE"/>
              </w:rPr>
            </w:pPr>
            <w:r w:rsidRPr="00875A16">
              <w:rPr>
                <w:rFonts w:ascii="Times New Roman" w:eastAsia="Times New Roman" w:hAnsi="Times New Roman" w:cs="Times New Roman"/>
                <w:b/>
                <w:bCs/>
                <w:noProof/>
                <w:color w:val="FFFFFF"/>
                <w:sz w:val="18"/>
                <w:szCs w:val="18"/>
                <w:lang w:val="en-IE" w:eastAsia="en-IE"/>
              </w:rPr>
              <w:t>PO7c</w:t>
            </w:r>
          </w:p>
        </w:tc>
      </w:tr>
      <w:tr w:rsidR="00875A16" w:rsidRPr="00875A16" w14:paraId="41DD519D" w14:textId="77777777" w:rsidTr="605EB176">
        <w:trPr>
          <w:trHeight w:val="300"/>
        </w:trPr>
        <w:tc>
          <w:tcPr>
            <w:tcW w:w="0" w:type="auto"/>
            <w:gridSpan w:val="23"/>
            <w:tcBorders>
              <w:top w:val="single" w:sz="8" w:space="0" w:color="auto"/>
              <w:left w:val="single" w:sz="12" w:space="0" w:color="auto"/>
              <w:bottom w:val="single" w:sz="8" w:space="0" w:color="auto"/>
              <w:right w:val="single" w:sz="12" w:space="0" w:color="000000" w:themeColor="text1"/>
            </w:tcBorders>
            <w:shd w:val="clear" w:color="auto" w:fill="B4C6E7"/>
            <w:vAlign w:val="center"/>
            <w:hideMark/>
          </w:tcPr>
          <w:p w14:paraId="02EFBAC9" w14:textId="77777777" w:rsidR="00875A16" w:rsidRPr="00875A16" w:rsidRDefault="00875A16" w:rsidP="00875A16">
            <w:pPr>
              <w:spacing w:before="0" w:after="0"/>
              <w:rPr>
                <w:rFonts w:ascii="Times New Roman" w:eastAsia="Times New Roman" w:hAnsi="Times New Roman" w:cs="Times New Roman"/>
                <w:b/>
                <w:bCs/>
                <w:noProof/>
                <w:color w:val="000000"/>
                <w:sz w:val="18"/>
                <w:szCs w:val="18"/>
                <w:lang w:val="en-IE" w:eastAsia="en-IE"/>
              </w:rPr>
            </w:pPr>
            <w:r w:rsidRPr="00875A16">
              <w:rPr>
                <w:rFonts w:ascii="Times New Roman" w:eastAsia="Times New Roman" w:hAnsi="Times New Roman" w:cs="Times New Roman"/>
                <w:b/>
                <w:bCs/>
                <w:noProof/>
                <w:color w:val="000000"/>
                <w:sz w:val="18"/>
                <w:szCs w:val="18"/>
                <w:lang w:val="en-IE" w:eastAsia="en-IE"/>
              </w:rPr>
              <w:t xml:space="preserve">EFFECTIVENESS </w:t>
            </w:r>
            <w:r w:rsidRPr="00875A16">
              <w:rPr>
                <w:rFonts w:ascii="Times New Roman" w:eastAsia="Times New Roman" w:hAnsi="Times New Roman" w:cs="Times New Roman"/>
                <w:b/>
                <w:bCs/>
                <w:noProof/>
                <w:color w:val="FF0000"/>
                <w:sz w:val="18"/>
                <w:szCs w:val="18"/>
                <w:lang w:val="en-IE" w:eastAsia="en-IE"/>
              </w:rPr>
              <w:t>(45)</w:t>
            </w:r>
          </w:p>
        </w:tc>
      </w:tr>
      <w:tr w:rsidR="004B3F74" w:rsidRPr="00875A16" w14:paraId="426F8600" w14:textId="77777777" w:rsidTr="00035AF4">
        <w:trPr>
          <w:trHeight w:val="1140"/>
        </w:trPr>
        <w:tc>
          <w:tcPr>
            <w:tcW w:w="0" w:type="auto"/>
            <w:tcBorders>
              <w:top w:val="nil"/>
              <w:left w:val="single" w:sz="12" w:space="0" w:color="auto"/>
              <w:bottom w:val="single" w:sz="8" w:space="0" w:color="auto"/>
              <w:right w:val="single" w:sz="12" w:space="0" w:color="auto"/>
            </w:tcBorders>
            <w:vAlign w:val="center"/>
            <w:hideMark/>
          </w:tcPr>
          <w:p w14:paraId="6290CE66" w14:textId="2C0B0CD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605EB176">
              <w:rPr>
                <w:rFonts w:ascii="Times New Roman" w:eastAsia="Times New Roman" w:hAnsi="Times New Roman" w:cs="Times New Roman"/>
                <w:noProof/>
                <w:sz w:val="18"/>
                <w:szCs w:val="18"/>
                <w:lang w:val="en-IE" w:eastAsia="en-IE"/>
              </w:rPr>
              <w:t xml:space="preserve">SO1: Provide a common corporate legal framework for </w:t>
            </w:r>
            <w:r w:rsidR="596D9E13" w:rsidRPr="605EB176">
              <w:rPr>
                <w:rFonts w:ascii="Times New Roman" w:eastAsia="Times New Roman" w:hAnsi="Times New Roman" w:cs="Times New Roman"/>
                <w:noProof/>
                <w:sz w:val="18"/>
                <w:szCs w:val="18"/>
                <w:lang w:val="en-IE" w:eastAsia="en-IE"/>
              </w:rPr>
              <w:t>s</w:t>
            </w:r>
            <w:r w:rsidR="4936DE7A" w:rsidRPr="605EB176">
              <w:rPr>
                <w:rFonts w:ascii="Times New Roman" w:eastAsia="Times New Roman" w:hAnsi="Times New Roman" w:cs="Times New Roman"/>
                <w:noProof/>
                <w:sz w:val="18"/>
                <w:szCs w:val="18"/>
                <w:lang w:val="en-IE" w:eastAsia="en-IE"/>
              </w:rPr>
              <w:t>tartup</w:t>
            </w:r>
            <w:r w:rsidR="596D9E13" w:rsidRPr="605EB176">
              <w:rPr>
                <w:rFonts w:ascii="Times New Roman" w:eastAsia="Times New Roman" w:hAnsi="Times New Roman" w:cs="Times New Roman"/>
                <w:noProof/>
                <w:sz w:val="18"/>
                <w:szCs w:val="18"/>
                <w:lang w:val="en-IE" w:eastAsia="en-IE"/>
              </w:rPr>
              <w:t>s</w:t>
            </w:r>
            <w:r w:rsidRPr="605EB176">
              <w:rPr>
                <w:rFonts w:ascii="Times New Roman" w:eastAsia="Times New Roman" w:hAnsi="Times New Roman" w:cs="Times New Roman"/>
                <w:noProof/>
                <w:sz w:val="18"/>
                <w:szCs w:val="18"/>
                <w:lang w:val="en-IE" w:eastAsia="en-IE"/>
              </w:rPr>
              <w:t xml:space="preserve"> and </w:t>
            </w:r>
            <w:r w:rsidR="596D9E13" w:rsidRPr="2A191B55">
              <w:rPr>
                <w:rFonts w:ascii="Times New Roman" w:eastAsia="Times New Roman" w:hAnsi="Times New Roman" w:cs="Times New Roman"/>
                <w:noProof/>
                <w:sz w:val="18"/>
                <w:szCs w:val="18"/>
                <w:lang w:val="en-IE" w:eastAsia="en-IE"/>
              </w:rPr>
              <w:t>s</w:t>
            </w:r>
            <w:r w:rsidR="56267DB9" w:rsidRPr="2A191B55">
              <w:rPr>
                <w:rFonts w:ascii="Times New Roman" w:eastAsia="Times New Roman" w:hAnsi="Times New Roman" w:cs="Times New Roman"/>
                <w:noProof/>
                <w:sz w:val="18"/>
                <w:szCs w:val="18"/>
                <w:lang w:val="en-IE" w:eastAsia="en-IE"/>
              </w:rPr>
              <w:t>caleup</w:t>
            </w:r>
            <w:r w:rsidR="596D9E13" w:rsidRPr="2A191B55">
              <w:rPr>
                <w:rFonts w:ascii="Times New Roman" w:eastAsia="Times New Roman" w:hAnsi="Times New Roman" w:cs="Times New Roman"/>
                <w:noProof/>
                <w:sz w:val="18"/>
                <w:szCs w:val="18"/>
                <w:lang w:val="en-IE" w:eastAsia="en-IE"/>
              </w:rPr>
              <w:t>s</w:t>
            </w:r>
            <w:r w:rsidRPr="605EB176">
              <w:rPr>
                <w:rFonts w:ascii="Times New Roman" w:eastAsia="Times New Roman" w:hAnsi="Times New Roman" w:cs="Times New Roman"/>
                <w:noProof/>
                <w:sz w:val="18"/>
                <w:szCs w:val="18"/>
                <w:lang w:val="en-IE" w:eastAsia="en-IE"/>
              </w:rPr>
              <w:t xml:space="preserve"> in the EU</w:t>
            </w:r>
          </w:p>
        </w:tc>
        <w:tc>
          <w:tcPr>
            <w:tcW w:w="0" w:type="auto"/>
            <w:tcBorders>
              <w:top w:val="nil"/>
              <w:left w:val="nil"/>
              <w:bottom w:val="single" w:sz="8" w:space="0" w:color="auto"/>
              <w:right w:val="single" w:sz="12" w:space="0" w:color="auto"/>
            </w:tcBorders>
            <w:vAlign w:val="center"/>
            <w:hideMark/>
          </w:tcPr>
          <w:p w14:paraId="684B122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15%</w:t>
            </w:r>
          </w:p>
        </w:tc>
        <w:tc>
          <w:tcPr>
            <w:tcW w:w="0" w:type="auto"/>
            <w:tcBorders>
              <w:top w:val="nil"/>
              <w:left w:val="nil"/>
              <w:bottom w:val="single" w:sz="8" w:space="0" w:color="auto"/>
              <w:right w:val="single" w:sz="8" w:space="0" w:color="auto"/>
            </w:tcBorders>
            <w:vAlign w:val="center"/>
            <w:hideMark/>
          </w:tcPr>
          <w:p w14:paraId="2303EF4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vAlign w:val="center"/>
            <w:hideMark/>
          </w:tcPr>
          <w:p w14:paraId="68FF6ED3" w14:textId="13A5AFE7"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vAlign w:val="center"/>
            <w:hideMark/>
          </w:tcPr>
          <w:p w14:paraId="2A4B946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3089280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8D0A07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16A95AA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vAlign w:val="center"/>
            <w:hideMark/>
          </w:tcPr>
          <w:p w14:paraId="7A07E64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C1A065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2D7100B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8" w:space="0" w:color="auto"/>
            </w:tcBorders>
            <w:vAlign w:val="center"/>
            <w:hideMark/>
          </w:tcPr>
          <w:p w14:paraId="6334EAD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vAlign w:val="center"/>
            <w:hideMark/>
          </w:tcPr>
          <w:p w14:paraId="0021C75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AEA40C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77C3239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143A8E7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2579117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30A0346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0D0777B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72894E1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1885F70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6662178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5C2CEC3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r>
      <w:tr w:rsidR="004B3F74" w:rsidRPr="00875A16" w14:paraId="4E9E9CEE" w14:textId="77777777" w:rsidTr="00035AF4">
        <w:trPr>
          <w:trHeight w:val="1092"/>
        </w:trPr>
        <w:tc>
          <w:tcPr>
            <w:tcW w:w="0" w:type="auto"/>
            <w:tcBorders>
              <w:top w:val="nil"/>
              <w:left w:val="single" w:sz="12" w:space="0" w:color="auto"/>
              <w:bottom w:val="single" w:sz="8" w:space="0" w:color="auto"/>
              <w:right w:val="single" w:sz="12" w:space="0" w:color="auto"/>
            </w:tcBorders>
            <w:vAlign w:val="center"/>
            <w:hideMark/>
          </w:tcPr>
          <w:p w14:paraId="4B747D6C" w14:textId="716F4136"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605EB176">
              <w:rPr>
                <w:rFonts w:ascii="Times New Roman" w:eastAsia="Times New Roman" w:hAnsi="Times New Roman" w:cs="Times New Roman"/>
                <w:noProof/>
                <w:sz w:val="18"/>
                <w:szCs w:val="18"/>
                <w:lang w:val="en-IE" w:eastAsia="en-IE"/>
              </w:rPr>
              <w:t xml:space="preserve">SO2: Provide simple and efficient corporate rules and procedures throughout the lifecycle of </w:t>
            </w:r>
            <w:r w:rsidR="596D9E13" w:rsidRPr="605EB176">
              <w:rPr>
                <w:rFonts w:ascii="Times New Roman" w:eastAsia="Times New Roman" w:hAnsi="Times New Roman" w:cs="Times New Roman"/>
                <w:noProof/>
                <w:sz w:val="18"/>
                <w:szCs w:val="18"/>
                <w:lang w:val="en-IE" w:eastAsia="en-IE"/>
              </w:rPr>
              <w:t>s</w:t>
            </w:r>
            <w:r w:rsidR="7759963B" w:rsidRPr="605EB176">
              <w:rPr>
                <w:rFonts w:ascii="Times New Roman" w:eastAsia="Times New Roman" w:hAnsi="Times New Roman" w:cs="Times New Roman"/>
                <w:noProof/>
                <w:sz w:val="18"/>
                <w:szCs w:val="18"/>
                <w:lang w:val="en-IE" w:eastAsia="en-IE"/>
              </w:rPr>
              <w:t>tartup</w:t>
            </w:r>
            <w:r w:rsidR="596D9E13" w:rsidRPr="605EB176">
              <w:rPr>
                <w:rFonts w:ascii="Times New Roman" w:eastAsia="Times New Roman" w:hAnsi="Times New Roman" w:cs="Times New Roman"/>
                <w:noProof/>
                <w:sz w:val="18"/>
                <w:szCs w:val="18"/>
                <w:lang w:val="en-IE" w:eastAsia="en-IE"/>
              </w:rPr>
              <w:t>s</w:t>
            </w:r>
            <w:r w:rsidRPr="605EB176">
              <w:rPr>
                <w:rFonts w:ascii="Times New Roman" w:eastAsia="Times New Roman" w:hAnsi="Times New Roman" w:cs="Times New Roman"/>
                <w:noProof/>
                <w:sz w:val="18"/>
                <w:szCs w:val="18"/>
                <w:lang w:val="en-IE" w:eastAsia="en-IE"/>
              </w:rPr>
              <w:t xml:space="preserve"> and </w:t>
            </w:r>
            <w:r w:rsidR="596D9E13" w:rsidRPr="2A191B55">
              <w:rPr>
                <w:rFonts w:ascii="Times New Roman" w:eastAsia="Times New Roman" w:hAnsi="Times New Roman" w:cs="Times New Roman"/>
                <w:noProof/>
                <w:sz w:val="18"/>
                <w:szCs w:val="18"/>
                <w:lang w:val="en-IE" w:eastAsia="en-IE"/>
              </w:rPr>
              <w:t>s</w:t>
            </w:r>
            <w:r w:rsidR="6BD588A1" w:rsidRPr="2A191B55">
              <w:rPr>
                <w:rFonts w:ascii="Times New Roman" w:eastAsia="Times New Roman" w:hAnsi="Times New Roman" w:cs="Times New Roman"/>
                <w:noProof/>
                <w:sz w:val="18"/>
                <w:szCs w:val="18"/>
                <w:lang w:val="en-IE" w:eastAsia="en-IE"/>
              </w:rPr>
              <w:t>caleup</w:t>
            </w:r>
            <w:r w:rsidR="596D9E13" w:rsidRPr="2A191B55">
              <w:rPr>
                <w:rFonts w:ascii="Times New Roman" w:eastAsia="Times New Roman" w:hAnsi="Times New Roman" w:cs="Times New Roman"/>
                <w:noProof/>
                <w:sz w:val="18"/>
                <w:szCs w:val="18"/>
                <w:lang w:val="en-IE" w:eastAsia="en-IE"/>
              </w:rPr>
              <w:t>s</w:t>
            </w:r>
          </w:p>
        </w:tc>
        <w:tc>
          <w:tcPr>
            <w:tcW w:w="0" w:type="auto"/>
            <w:tcBorders>
              <w:top w:val="nil"/>
              <w:left w:val="nil"/>
              <w:bottom w:val="single" w:sz="8" w:space="0" w:color="auto"/>
              <w:right w:val="single" w:sz="12" w:space="0" w:color="auto"/>
            </w:tcBorders>
            <w:vAlign w:val="center"/>
            <w:hideMark/>
          </w:tcPr>
          <w:p w14:paraId="4EFC86C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15%</w:t>
            </w:r>
          </w:p>
        </w:tc>
        <w:tc>
          <w:tcPr>
            <w:tcW w:w="0" w:type="auto"/>
            <w:tcBorders>
              <w:top w:val="nil"/>
              <w:left w:val="nil"/>
              <w:bottom w:val="single" w:sz="8" w:space="0" w:color="auto"/>
              <w:right w:val="single" w:sz="8" w:space="0" w:color="auto"/>
            </w:tcBorders>
            <w:vAlign w:val="center"/>
            <w:hideMark/>
          </w:tcPr>
          <w:p w14:paraId="48CA70E1" w14:textId="1EFBDB3E"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single" w:sz="8" w:space="0" w:color="auto"/>
            </w:tcBorders>
            <w:vAlign w:val="center"/>
            <w:hideMark/>
          </w:tcPr>
          <w:p w14:paraId="19594E9E" w14:textId="71193F70"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single" w:sz="12" w:space="0" w:color="auto"/>
            </w:tcBorders>
            <w:vAlign w:val="center"/>
            <w:hideMark/>
          </w:tcPr>
          <w:p w14:paraId="1229C5F0" w14:textId="32B239CB"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nil"/>
            </w:tcBorders>
            <w:vAlign w:val="center"/>
            <w:hideMark/>
          </w:tcPr>
          <w:p w14:paraId="679B470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single" w:sz="4" w:space="0" w:color="auto"/>
              <w:bottom w:val="single" w:sz="4" w:space="0" w:color="auto"/>
              <w:right w:val="single" w:sz="4" w:space="0" w:color="auto"/>
            </w:tcBorders>
            <w:vAlign w:val="center"/>
            <w:hideMark/>
          </w:tcPr>
          <w:p w14:paraId="4B01A6C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1967C6B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3D3FD4B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vAlign w:val="center"/>
            <w:hideMark/>
          </w:tcPr>
          <w:p w14:paraId="54D14A9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7C26C32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vAlign w:val="center"/>
            <w:hideMark/>
          </w:tcPr>
          <w:p w14:paraId="761A135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vAlign w:val="center"/>
            <w:hideMark/>
          </w:tcPr>
          <w:p w14:paraId="616434B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single" w:sz="4" w:space="0" w:color="auto"/>
              <w:bottom w:val="single" w:sz="4" w:space="0" w:color="auto"/>
              <w:right w:val="single" w:sz="4" w:space="0" w:color="auto"/>
            </w:tcBorders>
            <w:vAlign w:val="center"/>
            <w:hideMark/>
          </w:tcPr>
          <w:p w14:paraId="5C480B8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52F018B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5FF0B497"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304CE0B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1055C0D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44D3FBA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136B1A8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0EE672FC" w14:textId="0A53B64E" w:rsidR="00875A16" w:rsidRPr="00875A16" w:rsidRDefault="00536CC8"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39D5E645" w14:textId="70973DDC" w:rsidR="00875A16" w:rsidRPr="00875A16" w:rsidRDefault="00536CC8"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5DEFABCC" w14:textId="3CCCECA3" w:rsidR="00875A16" w:rsidRPr="00875A16" w:rsidRDefault="00536CC8"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r>
      <w:tr w:rsidR="004B3F74" w:rsidRPr="00875A16" w14:paraId="149BB706" w14:textId="77777777" w:rsidTr="00035AF4">
        <w:trPr>
          <w:trHeight w:val="492"/>
        </w:trPr>
        <w:tc>
          <w:tcPr>
            <w:tcW w:w="0" w:type="auto"/>
            <w:tcBorders>
              <w:top w:val="nil"/>
              <w:left w:val="single" w:sz="12" w:space="0" w:color="auto"/>
              <w:bottom w:val="single" w:sz="8" w:space="0" w:color="auto"/>
              <w:right w:val="single" w:sz="12" w:space="0" w:color="auto"/>
            </w:tcBorders>
            <w:vAlign w:val="center"/>
            <w:hideMark/>
          </w:tcPr>
          <w:p w14:paraId="35F73EE9"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SO3: Ensure that corporate rules provide an enabling framework to invest</w:t>
            </w:r>
          </w:p>
        </w:tc>
        <w:tc>
          <w:tcPr>
            <w:tcW w:w="0" w:type="auto"/>
            <w:tcBorders>
              <w:top w:val="nil"/>
              <w:left w:val="nil"/>
              <w:bottom w:val="single" w:sz="8" w:space="0" w:color="auto"/>
              <w:right w:val="single" w:sz="12" w:space="0" w:color="auto"/>
            </w:tcBorders>
            <w:vAlign w:val="center"/>
            <w:hideMark/>
          </w:tcPr>
          <w:p w14:paraId="6935526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15%</w:t>
            </w:r>
          </w:p>
        </w:tc>
        <w:tc>
          <w:tcPr>
            <w:tcW w:w="0" w:type="auto"/>
            <w:tcBorders>
              <w:top w:val="nil"/>
              <w:left w:val="nil"/>
              <w:bottom w:val="single" w:sz="8" w:space="0" w:color="auto"/>
              <w:right w:val="single" w:sz="8" w:space="0" w:color="auto"/>
            </w:tcBorders>
            <w:vAlign w:val="center"/>
            <w:hideMark/>
          </w:tcPr>
          <w:p w14:paraId="3DA7FB03" w14:textId="26D10940"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single" w:sz="8" w:space="0" w:color="auto"/>
            </w:tcBorders>
            <w:vAlign w:val="center"/>
            <w:hideMark/>
          </w:tcPr>
          <w:p w14:paraId="70556CA4" w14:textId="5EFA0B74"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single" w:sz="12" w:space="0" w:color="auto"/>
            </w:tcBorders>
            <w:vAlign w:val="center"/>
            <w:hideMark/>
          </w:tcPr>
          <w:p w14:paraId="1835C585" w14:textId="1F762446"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nil"/>
            </w:tcBorders>
            <w:vAlign w:val="center"/>
            <w:hideMark/>
          </w:tcPr>
          <w:p w14:paraId="61E72F3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nil"/>
              <w:left w:val="single" w:sz="4" w:space="0" w:color="auto"/>
              <w:bottom w:val="single" w:sz="4" w:space="0" w:color="auto"/>
              <w:right w:val="single" w:sz="4" w:space="0" w:color="auto"/>
            </w:tcBorders>
            <w:vAlign w:val="center"/>
            <w:hideMark/>
          </w:tcPr>
          <w:p w14:paraId="7D0A6D9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141C728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nil"/>
            </w:tcBorders>
            <w:vAlign w:val="center"/>
            <w:hideMark/>
          </w:tcPr>
          <w:p w14:paraId="2261C7E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nil"/>
              <w:left w:val="single" w:sz="4" w:space="0" w:color="auto"/>
              <w:bottom w:val="single" w:sz="4" w:space="0" w:color="auto"/>
              <w:right w:val="single" w:sz="4" w:space="0" w:color="auto"/>
            </w:tcBorders>
            <w:vAlign w:val="center"/>
            <w:hideMark/>
          </w:tcPr>
          <w:p w14:paraId="1C3EF197"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35C6ED5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8" w:space="0" w:color="auto"/>
              <w:right w:val="nil"/>
            </w:tcBorders>
            <w:vAlign w:val="center"/>
            <w:hideMark/>
          </w:tcPr>
          <w:p w14:paraId="2B8B36D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6C4681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07DB2AB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w:t>
            </w:r>
          </w:p>
        </w:tc>
        <w:tc>
          <w:tcPr>
            <w:tcW w:w="0" w:type="auto"/>
            <w:tcBorders>
              <w:top w:val="nil"/>
              <w:left w:val="nil"/>
              <w:bottom w:val="single" w:sz="4" w:space="0" w:color="auto"/>
              <w:right w:val="single" w:sz="4" w:space="0" w:color="auto"/>
            </w:tcBorders>
            <w:vAlign w:val="center"/>
            <w:hideMark/>
          </w:tcPr>
          <w:p w14:paraId="7E02132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30A4CDB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3D75326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541BB7D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4667A65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11643FA7"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4DEAB56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403EBC3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41C7448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r>
      <w:tr w:rsidR="00875A16" w:rsidRPr="00875A16" w14:paraId="208949F3" w14:textId="77777777" w:rsidTr="605EB176">
        <w:trPr>
          <w:trHeight w:val="300"/>
        </w:trPr>
        <w:tc>
          <w:tcPr>
            <w:tcW w:w="0" w:type="auto"/>
            <w:gridSpan w:val="23"/>
            <w:tcBorders>
              <w:top w:val="single" w:sz="8" w:space="0" w:color="auto"/>
              <w:left w:val="single" w:sz="12" w:space="0" w:color="auto"/>
              <w:bottom w:val="single" w:sz="8" w:space="0" w:color="auto"/>
              <w:right w:val="single" w:sz="12" w:space="0" w:color="000000" w:themeColor="text1"/>
            </w:tcBorders>
            <w:shd w:val="clear" w:color="auto" w:fill="B4C6E7"/>
            <w:vAlign w:val="center"/>
            <w:hideMark/>
          </w:tcPr>
          <w:p w14:paraId="34C91076" w14:textId="77777777" w:rsidR="00875A16" w:rsidRPr="00875A16" w:rsidRDefault="00875A16" w:rsidP="00875A16">
            <w:pPr>
              <w:spacing w:before="0" w:after="0"/>
              <w:rPr>
                <w:rFonts w:ascii="Times New Roman" w:eastAsia="Times New Roman" w:hAnsi="Times New Roman" w:cs="Times New Roman"/>
                <w:b/>
                <w:bCs/>
                <w:noProof/>
                <w:color w:val="000000"/>
                <w:sz w:val="18"/>
                <w:szCs w:val="18"/>
                <w:lang w:val="en-IE" w:eastAsia="en-IE"/>
              </w:rPr>
            </w:pPr>
            <w:r w:rsidRPr="00875A16">
              <w:rPr>
                <w:rFonts w:ascii="Times New Roman" w:eastAsia="Times New Roman" w:hAnsi="Times New Roman" w:cs="Times New Roman"/>
                <w:b/>
                <w:bCs/>
                <w:noProof/>
                <w:color w:val="000000"/>
                <w:sz w:val="18"/>
                <w:szCs w:val="18"/>
                <w:lang w:val="en-IE" w:eastAsia="en-IE"/>
              </w:rPr>
              <w:t xml:space="preserve">EFFICIENCY </w:t>
            </w:r>
            <w:r w:rsidRPr="00875A16">
              <w:rPr>
                <w:rFonts w:ascii="Times New Roman" w:eastAsia="Times New Roman" w:hAnsi="Times New Roman" w:cs="Times New Roman"/>
                <w:b/>
                <w:bCs/>
                <w:noProof/>
                <w:color w:val="FF0000"/>
                <w:sz w:val="18"/>
                <w:szCs w:val="18"/>
                <w:lang w:val="en-IE" w:eastAsia="en-IE"/>
              </w:rPr>
              <w:t>(45)</w:t>
            </w:r>
          </w:p>
        </w:tc>
      </w:tr>
      <w:tr w:rsidR="00875A16" w:rsidRPr="00875A16" w14:paraId="24045787" w14:textId="77777777" w:rsidTr="605EB176">
        <w:trPr>
          <w:trHeight w:val="300"/>
        </w:trPr>
        <w:tc>
          <w:tcPr>
            <w:tcW w:w="0" w:type="auto"/>
            <w:gridSpan w:val="23"/>
            <w:tcBorders>
              <w:top w:val="single" w:sz="8" w:space="0" w:color="auto"/>
              <w:left w:val="single" w:sz="12" w:space="0" w:color="auto"/>
              <w:bottom w:val="single" w:sz="8" w:space="0" w:color="auto"/>
              <w:right w:val="single" w:sz="12" w:space="0" w:color="000000" w:themeColor="text1"/>
            </w:tcBorders>
            <w:shd w:val="clear" w:color="auto" w:fill="D9E2F3"/>
            <w:vAlign w:val="center"/>
            <w:hideMark/>
          </w:tcPr>
          <w:p w14:paraId="4DE6A2E7" w14:textId="77777777" w:rsidR="00875A16" w:rsidRPr="00875A16" w:rsidRDefault="00875A16" w:rsidP="00875A16">
            <w:pPr>
              <w:spacing w:before="0" w:after="0"/>
              <w:rPr>
                <w:rFonts w:ascii="Times New Roman" w:eastAsia="Times New Roman" w:hAnsi="Times New Roman" w:cs="Times New Roman"/>
                <w:b/>
                <w:bCs/>
                <w:noProof/>
                <w:color w:val="000000"/>
                <w:sz w:val="18"/>
                <w:szCs w:val="18"/>
                <w:lang w:val="en-IE" w:eastAsia="en-IE"/>
              </w:rPr>
            </w:pPr>
            <w:r w:rsidRPr="00875A16">
              <w:rPr>
                <w:rFonts w:ascii="Times New Roman" w:eastAsia="Times New Roman" w:hAnsi="Times New Roman" w:cs="Times New Roman"/>
                <w:b/>
                <w:bCs/>
                <w:noProof/>
                <w:color w:val="000000"/>
                <w:sz w:val="18"/>
                <w:szCs w:val="18"/>
                <w:lang w:val="en-IE" w:eastAsia="en-IE"/>
              </w:rPr>
              <w:t>Companies and investors</w:t>
            </w:r>
          </w:p>
        </w:tc>
      </w:tr>
      <w:tr w:rsidR="004B3F74" w:rsidRPr="00875A16" w14:paraId="0935A024" w14:textId="77777777" w:rsidTr="00035AF4">
        <w:trPr>
          <w:trHeight w:val="441"/>
        </w:trPr>
        <w:tc>
          <w:tcPr>
            <w:tcW w:w="0" w:type="auto"/>
            <w:tcBorders>
              <w:top w:val="nil"/>
              <w:left w:val="single" w:sz="12" w:space="0" w:color="auto"/>
              <w:bottom w:val="single" w:sz="8" w:space="0" w:color="auto"/>
              <w:right w:val="single" w:sz="12" w:space="0" w:color="auto"/>
            </w:tcBorders>
            <w:vAlign w:val="center"/>
            <w:hideMark/>
          </w:tcPr>
          <w:p w14:paraId="559EA730"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Ease of doing business</w:t>
            </w:r>
          </w:p>
        </w:tc>
        <w:tc>
          <w:tcPr>
            <w:tcW w:w="0" w:type="auto"/>
            <w:tcBorders>
              <w:top w:val="nil"/>
              <w:left w:val="nil"/>
              <w:bottom w:val="single" w:sz="8" w:space="0" w:color="auto"/>
              <w:right w:val="single" w:sz="12" w:space="0" w:color="auto"/>
            </w:tcBorders>
            <w:vAlign w:val="center"/>
            <w:hideMark/>
          </w:tcPr>
          <w:p w14:paraId="4280D1C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7.50%</w:t>
            </w:r>
          </w:p>
        </w:tc>
        <w:tc>
          <w:tcPr>
            <w:tcW w:w="0" w:type="auto"/>
            <w:tcBorders>
              <w:top w:val="nil"/>
              <w:left w:val="nil"/>
              <w:bottom w:val="single" w:sz="8" w:space="0" w:color="auto"/>
              <w:right w:val="single" w:sz="8" w:space="0" w:color="auto"/>
            </w:tcBorders>
            <w:vAlign w:val="center"/>
            <w:hideMark/>
          </w:tcPr>
          <w:p w14:paraId="62FC840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vAlign w:val="center"/>
            <w:hideMark/>
          </w:tcPr>
          <w:p w14:paraId="0C60E37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vAlign w:val="center"/>
            <w:hideMark/>
          </w:tcPr>
          <w:p w14:paraId="7C043D66" w14:textId="24A9C1C1"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49B4701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A3CC38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7826BD9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0144C4C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63E5F5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61DD2E6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vAlign w:val="center"/>
            <w:hideMark/>
          </w:tcPr>
          <w:p w14:paraId="7D4B076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vAlign w:val="center"/>
            <w:hideMark/>
          </w:tcPr>
          <w:p w14:paraId="4266F0C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22FC25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7D40028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vAlign w:val="center"/>
            <w:hideMark/>
          </w:tcPr>
          <w:p w14:paraId="1BAD333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5E91698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0B89C5D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3F76CD1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4BA720A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659DA2E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6B8057A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35AEAD2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r>
      <w:tr w:rsidR="004B3F74" w:rsidRPr="00875A16" w14:paraId="63128FDA" w14:textId="77777777" w:rsidTr="00035AF4">
        <w:trPr>
          <w:trHeight w:val="300"/>
        </w:trPr>
        <w:tc>
          <w:tcPr>
            <w:tcW w:w="0" w:type="auto"/>
            <w:tcBorders>
              <w:top w:val="nil"/>
              <w:left w:val="single" w:sz="12" w:space="0" w:color="auto"/>
              <w:bottom w:val="single" w:sz="8" w:space="0" w:color="auto"/>
              <w:right w:val="single" w:sz="12" w:space="0" w:color="auto"/>
            </w:tcBorders>
            <w:vAlign w:val="center"/>
            <w:hideMark/>
          </w:tcPr>
          <w:p w14:paraId="694D38ED"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Ease of attracting investment</w:t>
            </w:r>
          </w:p>
        </w:tc>
        <w:tc>
          <w:tcPr>
            <w:tcW w:w="0" w:type="auto"/>
            <w:tcBorders>
              <w:top w:val="nil"/>
              <w:left w:val="nil"/>
              <w:bottom w:val="single" w:sz="8" w:space="0" w:color="auto"/>
              <w:right w:val="single" w:sz="12" w:space="0" w:color="auto"/>
            </w:tcBorders>
            <w:vAlign w:val="center"/>
            <w:hideMark/>
          </w:tcPr>
          <w:p w14:paraId="528DD09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7.50%</w:t>
            </w:r>
          </w:p>
        </w:tc>
        <w:tc>
          <w:tcPr>
            <w:tcW w:w="0" w:type="auto"/>
            <w:tcBorders>
              <w:top w:val="nil"/>
              <w:left w:val="nil"/>
              <w:bottom w:val="single" w:sz="8" w:space="0" w:color="auto"/>
              <w:right w:val="single" w:sz="8" w:space="0" w:color="auto"/>
            </w:tcBorders>
            <w:vAlign w:val="center"/>
            <w:hideMark/>
          </w:tcPr>
          <w:p w14:paraId="2588DBD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vAlign w:val="center"/>
            <w:hideMark/>
          </w:tcPr>
          <w:p w14:paraId="0E65D76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vAlign w:val="center"/>
            <w:hideMark/>
          </w:tcPr>
          <w:p w14:paraId="7404D178" w14:textId="77BDE4F7" w:rsidR="00875A16" w:rsidRPr="00875A16" w:rsidRDefault="00721F61"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77E4E6F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vAlign w:val="center"/>
            <w:hideMark/>
          </w:tcPr>
          <w:p w14:paraId="237EAEF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4E0AE39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vAlign w:val="center"/>
            <w:hideMark/>
          </w:tcPr>
          <w:p w14:paraId="12CAEC7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single" w:sz="4" w:space="0" w:color="auto"/>
              <w:bottom w:val="single" w:sz="4" w:space="0" w:color="auto"/>
              <w:right w:val="single" w:sz="4" w:space="0" w:color="auto"/>
            </w:tcBorders>
            <w:vAlign w:val="center"/>
            <w:hideMark/>
          </w:tcPr>
          <w:p w14:paraId="0DDEFA7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vAlign w:val="center"/>
            <w:hideMark/>
          </w:tcPr>
          <w:p w14:paraId="3E3C2BA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single" w:sz="8" w:space="0" w:color="auto"/>
            </w:tcBorders>
            <w:vAlign w:val="center"/>
            <w:hideMark/>
          </w:tcPr>
          <w:p w14:paraId="25649AB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vAlign w:val="center"/>
            <w:hideMark/>
          </w:tcPr>
          <w:p w14:paraId="1F91070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vAlign w:val="center"/>
            <w:hideMark/>
          </w:tcPr>
          <w:p w14:paraId="19C82EA7"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2FB2879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6F08C4A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3E6C62B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5F1363F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05EDD22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0FA394C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118E9C9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271AE71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4E21003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r>
      <w:tr w:rsidR="004B3F74" w:rsidRPr="00875A16" w14:paraId="3E4B80D4" w14:textId="77777777" w:rsidTr="00035AF4">
        <w:trPr>
          <w:trHeight w:val="300"/>
        </w:trPr>
        <w:tc>
          <w:tcPr>
            <w:tcW w:w="0" w:type="auto"/>
            <w:tcBorders>
              <w:top w:val="nil"/>
              <w:left w:val="single" w:sz="12" w:space="0" w:color="auto"/>
              <w:bottom w:val="single" w:sz="8" w:space="0" w:color="auto"/>
              <w:right w:val="single" w:sz="12" w:space="0" w:color="auto"/>
            </w:tcBorders>
            <w:vAlign w:val="center"/>
            <w:hideMark/>
          </w:tcPr>
          <w:p w14:paraId="5A2595C8"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Administrative burden reduction</w:t>
            </w:r>
          </w:p>
        </w:tc>
        <w:tc>
          <w:tcPr>
            <w:tcW w:w="0" w:type="auto"/>
            <w:tcBorders>
              <w:top w:val="nil"/>
              <w:left w:val="nil"/>
              <w:bottom w:val="single" w:sz="8" w:space="0" w:color="auto"/>
              <w:right w:val="single" w:sz="12" w:space="0" w:color="auto"/>
            </w:tcBorders>
            <w:vAlign w:val="center"/>
            <w:hideMark/>
          </w:tcPr>
          <w:p w14:paraId="6EEFEF9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7.50%</w:t>
            </w:r>
          </w:p>
        </w:tc>
        <w:tc>
          <w:tcPr>
            <w:tcW w:w="0" w:type="auto"/>
            <w:tcBorders>
              <w:top w:val="nil"/>
              <w:left w:val="nil"/>
              <w:bottom w:val="single" w:sz="8" w:space="0" w:color="auto"/>
              <w:right w:val="single" w:sz="8" w:space="0" w:color="auto"/>
            </w:tcBorders>
            <w:vAlign w:val="center"/>
            <w:hideMark/>
          </w:tcPr>
          <w:p w14:paraId="05C7A78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vAlign w:val="center"/>
            <w:hideMark/>
          </w:tcPr>
          <w:p w14:paraId="5772FC6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vAlign w:val="center"/>
            <w:hideMark/>
          </w:tcPr>
          <w:p w14:paraId="714AAA47" w14:textId="7E82DD14" w:rsidR="00875A16" w:rsidRPr="00875A16" w:rsidRDefault="00A82499"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587346F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single" w:sz="4" w:space="0" w:color="auto"/>
              <w:bottom w:val="single" w:sz="4" w:space="0" w:color="auto"/>
              <w:right w:val="single" w:sz="4" w:space="0" w:color="auto"/>
            </w:tcBorders>
            <w:vAlign w:val="center"/>
            <w:hideMark/>
          </w:tcPr>
          <w:p w14:paraId="5976AEE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3921863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5627278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vAlign w:val="center"/>
            <w:hideMark/>
          </w:tcPr>
          <w:p w14:paraId="3724325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02AB4A2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vAlign w:val="center"/>
            <w:hideMark/>
          </w:tcPr>
          <w:p w14:paraId="0049B11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vAlign w:val="center"/>
            <w:hideMark/>
          </w:tcPr>
          <w:p w14:paraId="261C565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single" w:sz="4" w:space="0" w:color="auto"/>
              <w:bottom w:val="single" w:sz="4" w:space="0" w:color="auto"/>
              <w:right w:val="single" w:sz="4" w:space="0" w:color="auto"/>
            </w:tcBorders>
            <w:vAlign w:val="center"/>
            <w:hideMark/>
          </w:tcPr>
          <w:p w14:paraId="2828356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299604D7"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7B44841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0E8B89D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1A330AB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332DF42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04FB68F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3BF5759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vAlign w:val="center"/>
            <w:hideMark/>
          </w:tcPr>
          <w:p w14:paraId="52ACD06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vAlign w:val="center"/>
            <w:hideMark/>
          </w:tcPr>
          <w:p w14:paraId="4AC3381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r>
      <w:tr w:rsidR="009C4055" w:rsidRPr="00875A16" w14:paraId="3A6EEF47" w14:textId="77777777" w:rsidTr="605EB176">
        <w:trPr>
          <w:trHeight w:val="300"/>
        </w:trPr>
        <w:tc>
          <w:tcPr>
            <w:tcW w:w="0" w:type="auto"/>
            <w:tcBorders>
              <w:top w:val="nil"/>
              <w:left w:val="single" w:sz="12" w:space="0" w:color="auto"/>
              <w:bottom w:val="single" w:sz="8" w:space="0" w:color="auto"/>
              <w:right w:val="single" w:sz="12" w:space="0" w:color="auto"/>
            </w:tcBorders>
            <w:vAlign w:val="center"/>
            <w:hideMark/>
          </w:tcPr>
          <w:p w14:paraId="719A20E0"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Administrative and adjustment costs</w:t>
            </w:r>
          </w:p>
        </w:tc>
        <w:tc>
          <w:tcPr>
            <w:tcW w:w="0" w:type="auto"/>
            <w:tcBorders>
              <w:top w:val="nil"/>
              <w:left w:val="nil"/>
              <w:bottom w:val="single" w:sz="8" w:space="0" w:color="auto"/>
              <w:right w:val="single" w:sz="12" w:space="0" w:color="auto"/>
            </w:tcBorders>
            <w:vAlign w:val="center"/>
            <w:hideMark/>
          </w:tcPr>
          <w:p w14:paraId="40EC25B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7.50%</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3E70A0F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01DB433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53AEBD5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shd w:val="clear" w:color="auto" w:fill="FFFFFF" w:themeFill="background1"/>
            <w:vAlign w:val="center"/>
            <w:hideMark/>
          </w:tcPr>
          <w:p w14:paraId="71A2B86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14:paraId="0A8A2E2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721A427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single" w:sz="8" w:space="0" w:color="auto"/>
            </w:tcBorders>
            <w:vAlign w:val="center"/>
            <w:hideMark/>
          </w:tcPr>
          <w:p w14:paraId="7475ED4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nil"/>
            </w:tcBorders>
            <w:vAlign w:val="center"/>
            <w:hideMark/>
          </w:tcPr>
          <w:p w14:paraId="6B1CD9C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single" w:sz="4" w:space="0" w:color="auto"/>
              <w:bottom w:val="single" w:sz="4" w:space="0" w:color="auto"/>
              <w:right w:val="single" w:sz="4" w:space="0" w:color="auto"/>
            </w:tcBorders>
            <w:vAlign w:val="center"/>
            <w:hideMark/>
          </w:tcPr>
          <w:p w14:paraId="4CDB22B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single" w:sz="8" w:space="0" w:color="auto"/>
            </w:tcBorders>
            <w:vAlign w:val="center"/>
            <w:hideMark/>
          </w:tcPr>
          <w:p w14:paraId="0DCFEA0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8" w:space="0" w:color="auto"/>
              <w:right w:val="nil"/>
            </w:tcBorders>
            <w:vAlign w:val="center"/>
            <w:hideMark/>
          </w:tcPr>
          <w:p w14:paraId="7C52BC3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single" w:sz="4" w:space="0" w:color="auto"/>
              <w:bottom w:val="single" w:sz="4" w:space="0" w:color="auto"/>
              <w:right w:val="single" w:sz="4" w:space="0" w:color="auto"/>
            </w:tcBorders>
            <w:vAlign w:val="center"/>
            <w:hideMark/>
          </w:tcPr>
          <w:p w14:paraId="0D0AFBA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vAlign w:val="center"/>
            <w:hideMark/>
          </w:tcPr>
          <w:p w14:paraId="7965B4C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4DD5E29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21632EC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7505387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645325D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64DF540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vAlign w:val="center"/>
            <w:hideMark/>
          </w:tcPr>
          <w:p w14:paraId="66A7E08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515E175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vAlign w:val="center"/>
            <w:hideMark/>
          </w:tcPr>
          <w:p w14:paraId="21B1BB6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r>
      <w:tr w:rsidR="00875A16" w:rsidRPr="00875A16" w14:paraId="07079131" w14:textId="77777777" w:rsidTr="605EB176">
        <w:trPr>
          <w:trHeight w:val="300"/>
        </w:trPr>
        <w:tc>
          <w:tcPr>
            <w:tcW w:w="0" w:type="auto"/>
            <w:gridSpan w:val="23"/>
            <w:tcBorders>
              <w:top w:val="single" w:sz="8" w:space="0" w:color="auto"/>
              <w:left w:val="single" w:sz="12" w:space="0" w:color="auto"/>
              <w:bottom w:val="single" w:sz="8" w:space="0" w:color="auto"/>
              <w:right w:val="single" w:sz="12" w:space="0" w:color="000000" w:themeColor="text1"/>
            </w:tcBorders>
            <w:shd w:val="clear" w:color="auto" w:fill="D9E2F3"/>
            <w:vAlign w:val="center"/>
            <w:hideMark/>
          </w:tcPr>
          <w:p w14:paraId="4CDE4B9D" w14:textId="77777777" w:rsidR="00875A16" w:rsidRPr="00875A16" w:rsidRDefault="00875A16" w:rsidP="00875A16">
            <w:pPr>
              <w:spacing w:before="0" w:after="0"/>
              <w:rPr>
                <w:rFonts w:ascii="Times New Roman" w:eastAsia="Times New Roman" w:hAnsi="Times New Roman" w:cs="Times New Roman"/>
                <w:b/>
                <w:bCs/>
                <w:noProof/>
                <w:color w:val="000000"/>
                <w:sz w:val="18"/>
                <w:szCs w:val="18"/>
                <w:lang w:val="en-IE" w:eastAsia="en-IE"/>
              </w:rPr>
            </w:pPr>
            <w:r w:rsidRPr="00875A16">
              <w:rPr>
                <w:rFonts w:ascii="Times New Roman" w:eastAsia="Times New Roman" w:hAnsi="Times New Roman" w:cs="Times New Roman"/>
                <w:b/>
                <w:bCs/>
                <w:noProof/>
                <w:color w:val="000000"/>
                <w:sz w:val="18"/>
                <w:szCs w:val="18"/>
                <w:lang w:val="en-IE" w:eastAsia="en-IE"/>
              </w:rPr>
              <w:t>Public authorities</w:t>
            </w:r>
          </w:p>
        </w:tc>
      </w:tr>
      <w:tr w:rsidR="00D94C8D" w:rsidRPr="00875A16" w14:paraId="5A8393E1" w14:textId="77777777" w:rsidTr="605EB176">
        <w:trPr>
          <w:trHeight w:val="300"/>
        </w:trPr>
        <w:tc>
          <w:tcPr>
            <w:tcW w:w="0" w:type="auto"/>
            <w:tcBorders>
              <w:top w:val="nil"/>
              <w:left w:val="single" w:sz="12" w:space="0" w:color="auto"/>
              <w:bottom w:val="single" w:sz="8" w:space="0" w:color="auto"/>
              <w:right w:val="single" w:sz="12" w:space="0" w:color="auto"/>
            </w:tcBorders>
            <w:shd w:val="clear" w:color="auto" w:fill="FFFFFF" w:themeFill="background1"/>
            <w:vAlign w:val="center"/>
            <w:hideMark/>
          </w:tcPr>
          <w:p w14:paraId="4859BF65"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Costs</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3610612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3.75%</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2D6CF33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47BC104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14C83DB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shd w:val="clear" w:color="auto" w:fill="FFFFFF" w:themeFill="background1"/>
            <w:vAlign w:val="center"/>
            <w:hideMark/>
          </w:tcPr>
          <w:p w14:paraId="60F486D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E605D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67B5FEC" w14:textId="4245D0DA" w:rsidR="00875A16" w:rsidRPr="00875A16" w:rsidRDefault="0098361C"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shd w:val="clear" w:color="auto" w:fill="FFFFFF" w:themeFill="background1"/>
            <w:vAlign w:val="center"/>
            <w:hideMark/>
          </w:tcPr>
          <w:p w14:paraId="561BD7D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35588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6A914C8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633237C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shd w:val="clear" w:color="auto" w:fill="FFFFFF" w:themeFill="background1"/>
            <w:vAlign w:val="center"/>
            <w:hideMark/>
          </w:tcPr>
          <w:p w14:paraId="1891B6FD"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25D38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B302CF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23AF56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AE51DD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2B6047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3BD70B4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43D84A6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BAC3B2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966DF5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A9252E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r>
      <w:tr w:rsidR="00D94C8D" w:rsidRPr="00875A16" w14:paraId="57A79C8C" w14:textId="77777777" w:rsidTr="605EB176">
        <w:trPr>
          <w:trHeight w:val="300"/>
        </w:trPr>
        <w:tc>
          <w:tcPr>
            <w:tcW w:w="0" w:type="auto"/>
            <w:tcBorders>
              <w:top w:val="nil"/>
              <w:left w:val="single" w:sz="12" w:space="0" w:color="auto"/>
              <w:bottom w:val="single" w:sz="8" w:space="0" w:color="auto"/>
              <w:right w:val="single" w:sz="12" w:space="0" w:color="auto"/>
            </w:tcBorders>
            <w:shd w:val="clear" w:color="auto" w:fill="FFFFFF" w:themeFill="background1"/>
            <w:vAlign w:val="center"/>
            <w:hideMark/>
          </w:tcPr>
          <w:p w14:paraId="04CCF37C"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Benefits</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45A5A03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3.75%</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7E00DC8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021868B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7D75966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shd w:val="clear" w:color="auto" w:fill="FFFFFF" w:themeFill="background1"/>
            <w:vAlign w:val="center"/>
            <w:hideMark/>
          </w:tcPr>
          <w:p w14:paraId="2319006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14:paraId="11309B47"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10C1A6F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shd w:val="clear" w:color="auto" w:fill="FFFFFF" w:themeFill="background1"/>
            <w:vAlign w:val="center"/>
            <w:hideMark/>
          </w:tcPr>
          <w:p w14:paraId="702E559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14:paraId="3C95C31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586934E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57202217"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8" w:space="0" w:color="auto"/>
              <w:right w:val="nil"/>
            </w:tcBorders>
            <w:shd w:val="clear" w:color="auto" w:fill="FFFFFF" w:themeFill="background1"/>
            <w:vAlign w:val="center"/>
            <w:hideMark/>
          </w:tcPr>
          <w:p w14:paraId="06C8BCD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14:paraId="5E00B6C7"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5C70DF1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712C27C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6002CF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FC9771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3EEB71A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6973A62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14BAE10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60573A0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D5A2E1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w:t>
            </w:r>
          </w:p>
        </w:tc>
      </w:tr>
      <w:tr w:rsidR="00875A16" w:rsidRPr="00875A16" w14:paraId="707E46E5" w14:textId="77777777" w:rsidTr="605EB176">
        <w:trPr>
          <w:trHeight w:val="300"/>
        </w:trPr>
        <w:tc>
          <w:tcPr>
            <w:tcW w:w="0" w:type="auto"/>
            <w:gridSpan w:val="23"/>
            <w:tcBorders>
              <w:top w:val="nil"/>
              <w:left w:val="single" w:sz="12" w:space="0" w:color="auto"/>
              <w:bottom w:val="single" w:sz="12" w:space="0" w:color="auto"/>
              <w:right w:val="single" w:sz="12" w:space="0" w:color="000000" w:themeColor="text1"/>
            </w:tcBorders>
            <w:shd w:val="clear" w:color="auto" w:fill="D9E2F3"/>
            <w:vAlign w:val="center"/>
            <w:hideMark/>
          </w:tcPr>
          <w:p w14:paraId="542D7F6C" w14:textId="77777777" w:rsidR="00875A16" w:rsidRPr="00875A16" w:rsidRDefault="00875A16" w:rsidP="00875A16">
            <w:pPr>
              <w:spacing w:before="0" w:after="0"/>
              <w:rPr>
                <w:rFonts w:ascii="Times New Roman" w:eastAsia="Times New Roman" w:hAnsi="Times New Roman" w:cs="Times New Roman"/>
                <w:b/>
                <w:bCs/>
                <w:noProof/>
                <w:color w:val="000000"/>
                <w:sz w:val="18"/>
                <w:szCs w:val="18"/>
                <w:lang w:val="en-IE" w:eastAsia="en-IE"/>
              </w:rPr>
            </w:pPr>
            <w:r w:rsidRPr="00875A16">
              <w:rPr>
                <w:rFonts w:ascii="Times New Roman" w:eastAsia="Times New Roman" w:hAnsi="Times New Roman" w:cs="Times New Roman"/>
                <w:b/>
                <w:bCs/>
                <w:noProof/>
                <w:color w:val="000000"/>
                <w:sz w:val="18"/>
                <w:szCs w:val="18"/>
                <w:lang w:val="en-IE" w:eastAsia="en-IE"/>
              </w:rPr>
              <w:t>Economy and society at large</w:t>
            </w:r>
          </w:p>
        </w:tc>
      </w:tr>
      <w:tr w:rsidR="00D94C8D" w:rsidRPr="00875A16" w14:paraId="404DB189" w14:textId="77777777" w:rsidTr="605EB176">
        <w:trPr>
          <w:trHeight w:val="504"/>
        </w:trPr>
        <w:tc>
          <w:tcPr>
            <w:tcW w:w="0" w:type="auto"/>
            <w:tcBorders>
              <w:top w:val="nil"/>
              <w:left w:val="single" w:sz="12" w:space="0" w:color="auto"/>
              <w:bottom w:val="single" w:sz="12" w:space="0" w:color="auto"/>
              <w:right w:val="single" w:sz="12" w:space="0" w:color="auto"/>
            </w:tcBorders>
            <w:vAlign w:val="center"/>
            <w:hideMark/>
          </w:tcPr>
          <w:p w14:paraId="3772B847"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Functioning of the internal market and competitiveness</w:t>
            </w:r>
          </w:p>
        </w:tc>
        <w:tc>
          <w:tcPr>
            <w:tcW w:w="0" w:type="auto"/>
            <w:tcBorders>
              <w:top w:val="nil"/>
              <w:left w:val="nil"/>
              <w:bottom w:val="single" w:sz="8" w:space="0" w:color="auto"/>
              <w:right w:val="single" w:sz="12" w:space="0" w:color="auto"/>
            </w:tcBorders>
            <w:vAlign w:val="center"/>
            <w:hideMark/>
          </w:tcPr>
          <w:p w14:paraId="471443A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7.50%</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6F74188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53DF1D4F"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12" w:space="0" w:color="auto"/>
            </w:tcBorders>
            <w:shd w:val="clear" w:color="auto" w:fill="FFFFFF" w:themeFill="background1"/>
            <w:vAlign w:val="center"/>
            <w:hideMark/>
          </w:tcPr>
          <w:p w14:paraId="3174472D" w14:textId="762C9CFF" w:rsidR="00875A16" w:rsidRPr="00875A16" w:rsidRDefault="00A82499" w:rsidP="00875A16">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shd w:val="clear" w:color="auto" w:fill="FFFFFF" w:themeFill="background1"/>
            <w:vAlign w:val="center"/>
            <w:hideMark/>
          </w:tcPr>
          <w:p w14:paraId="54DB5D4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95E45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765303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shd w:val="clear" w:color="auto" w:fill="FFFFFF" w:themeFill="background1"/>
            <w:vAlign w:val="center"/>
            <w:hideMark/>
          </w:tcPr>
          <w:p w14:paraId="5FF6EBA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BBE27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28EC369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shd w:val="clear" w:color="auto" w:fill="FFFFFF" w:themeFill="background1"/>
            <w:vAlign w:val="center"/>
            <w:hideMark/>
          </w:tcPr>
          <w:p w14:paraId="08F80C2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shd w:val="clear" w:color="auto" w:fill="FFFFFF" w:themeFill="background1"/>
            <w:vAlign w:val="center"/>
            <w:hideMark/>
          </w:tcPr>
          <w:p w14:paraId="2EF67228"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86416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C87A9D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B8C6BE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513ACD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0ED9C77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53C5C55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652FB14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71AFFBFA"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07629F3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6D82719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r>
      <w:tr w:rsidR="00875A16" w:rsidRPr="00875A16" w14:paraId="514374C2" w14:textId="77777777" w:rsidTr="605EB176">
        <w:trPr>
          <w:trHeight w:val="312"/>
        </w:trPr>
        <w:tc>
          <w:tcPr>
            <w:tcW w:w="0" w:type="auto"/>
            <w:gridSpan w:val="23"/>
            <w:tcBorders>
              <w:top w:val="nil"/>
              <w:left w:val="single" w:sz="12" w:space="0" w:color="auto"/>
              <w:bottom w:val="single" w:sz="12" w:space="0" w:color="auto"/>
              <w:right w:val="single" w:sz="12" w:space="0" w:color="000000" w:themeColor="text1"/>
            </w:tcBorders>
            <w:shd w:val="clear" w:color="auto" w:fill="B4C6E7"/>
            <w:vAlign w:val="center"/>
            <w:hideMark/>
          </w:tcPr>
          <w:p w14:paraId="7FA0A769" w14:textId="77777777" w:rsidR="00875A16" w:rsidRPr="00875A16" w:rsidRDefault="00875A16" w:rsidP="00875A16">
            <w:pPr>
              <w:spacing w:before="0" w:after="0"/>
              <w:rPr>
                <w:rFonts w:ascii="Times New Roman" w:eastAsia="Times New Roman" w:hAnsi="Times New Roman" w:cs="Times New Roman"/>
                <w:b/>
                <w:bCs/>
                <w:noProof/>
                <w:color w:val="000000"/>
                <w:sz w:val="18"/>
                <w:szCs w:val="18"/>
                <w:lang w:val="en-IE" w:eastAsia="en-IE"/>
              </w:rPr>
            </w:pPr>
            <w:r w:rsidRPr="00875A16">
              <w:rPr>
                <w:rFonts w:ascii="Times New Roman" w:eastAsia="Times New Roman" w:hAnsi="Times New Roman" w:cs="Times New Roman"/>
                <w:b/>
                <w:bCs/>
                <w:noProof/>
                <w:color w:val="000000"/>
                <w:sz w:val="18"/>
                <w:szCs w:val="18"/>
                <w:lang w:val="en-IE" w:eastAsia="en-IE"/>
              </w:rPr>
              <w:t xml:space="preserve">COHERENCE </w:t>
            </w:r>
            <w:r w:rsidRPr="00875A16">
              <w:rPr>
                <w:rFonts w:ascii="Times New Roman" w:eastAsia="Times New Roman" w:hAnsi="Times New Roman" w:cs="Times New Roman"/>
                <w:b/>
                <w:bCs/>
                <w:noProof/>
                <w:color w:val="FF0000"/>
                <w:sz w:val="18"/>
                <w:szCs w:val="18"/>
                <w:lang w:val="en-IE" w:eastAsia="en-IE"/>
              </w:rPr>
              <w:t>(10)</w:t>
            </w:r>
          </w:p>
        </w:tc>
      </w:tr>
      <w:tr w:rsidR="004B3F74" w:rsidRPr="00875A16" w14:paraId="49AC5466" w14:textId="77777777" w:rsidTr="605EB176">
        <w:trPr>
          <w:trHeight w:val="312"/>
        </w:trPr>
        <w:tc>
          <w:tcPr>
            <w:tcW w:w="0" w:type="auto"/>
            <w:tcBorders>
              <w:top w:val="nil"/>
              <w:left w:val="single" w:sz="12" w:space="0" w:color="auto"/>
              <w:bottom w:val="single" w:sz="8" w:space="0" w:color="auto"/>
              <w:right w:val="single" w:sz="12" w:space="0" w:color="auto"/>
            </w:tcBorders>
            <w:shd w:val="clear" w:color="auto" w:fill="FFFFFF" w:themeFill="background1"/>
            <w:vAlign w:val="center"/>
            <w:hideMark/>
          </w:tcPr>
          <w:p w14:paraId="23E31C02" w14:textId="77777777" w:rsidR="00875A16" w:rsidRPr="00875A16" w:rsidRDefault="00875A16" w:rsidP="00875A16">
            <w:pPr>
              <w:spacing w:before="0" w:after="0"/>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Coherence</w:t>
            </w:r>
          </w:p>
        </w:tc>
        <w:tc>
          <w:tcPr>
            <w:tcW w:w="0" w:type="auto"/>
            <w:tcBorders>
              <w:top w:val="nil"/>
              <w:left w:val="nil"/>
              <w:bottom w:val="single" w:sz="8" w:space="0" w:color="auto"/>
              <w:right w:val="single" w:sz="12" w:space="0" w:color="auto"/>
            </w:tcBorders>
            <w:vAlign w:val="center"/>
            <w:hideMark/>
          </w:tcPr>
          <w:p w14:paraId="5AB630E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10%</w:t>
            </w:r>
          </w:p>
        </w:tc>
        <w:tc>
          <w:tcPr>
            <w:tcW w:w="0" w:type="auto"/>
            <w:tcBorders>
              <w:top w:val="nil"/>
              <w:left w:val="nil"/>
              <w:bottom w:val="single" w:sz="8" w:space="0" w:color="auto"/>
              <w:right w:val="single" w:sz="8" w:space="0" w:color="auto"/>
            </w:tcBorders>
            <w:vAlign w:val="center"/>
            <w:hideMark/>
          </w:tcPr>
          <w:p w14:paraId="1A7FB06B"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single" w:sz="8" w:space="0" w:color="auto"/>
            </w:tcBorders>
            <w:vAlign w:val="center"/>
            <w:hideMark/>
          </w:tcPr>
          <w:p w14:paraId="2F9FB4D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12" w:space="0" w:color="auto"/>
            </w:tcBorders>
            <w:vAlign w:val="center"/>
            <w:hideMark/>
          </w:tcPr>
          <w:p w14:paraId="1CE8756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nil"/>
            </w:tcBorders>
            <w:vAlign w:val="center"/>
            <w:hideMark/>
          </w:tcPr>
          <w:p w14:paraId="1CEC516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0FB8841"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3CA6E30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8" w:space="0" w:color="auto"/>
            </w:tcBorders>
            <w:vAlign w:val="center"/>
            <w:hideMark/>
          </w:tcPr>
          <w:p w14:paraId="696167D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nil"/>
              <w:left w:val="nil"/>
              <w:bottom w:val="single" w:sz="8" w:space="0" w:color="auto"/>
              <w:right w:val="nil"/>
            </w:tcBorders>
            <w:vAlign w:val="center"/>
            <w:hideMark/>
          </w:tcPr>
          <w:p w14:paraId="58D8FE64"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8" w:space="0" w:color="auto"/>
              <w:right w:val="single" w:sz="12" w:space="0" w:color="auto"/>
            </w:tcBorders>
            <w:vAlign w:val="center"/>
            <w:hideMark/>
          </w:tcPr>
          <w:p w14:paraId="17A41C0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5</w:t>
            </w:r>
          </w:p>
        </w:tc>
        <w:tc>
          <w:tcPr>
            <w:tcW w:w="0" w:type="auto"/>
            <w:tcBorders>
              <w:top w:val="nil"/>
              <w:left w:val="nil"/>
              <w:bottom w:val="single" w:sz="8" w:space="0" w:color="auto"/>
              <w:right w:val="single" w:sz="8" w:space="0" w:color="auto"/>
            </w:tcBorders>
            <w:vAlign w:val="center"/>
            <w:hideMark/>
          </w:tcPr>
          <w:p w14:paraId="0DD3AF8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nil"/>
              <w:left w:val="nil"/>
              <w:bottom w:val="single" w:sz="8" w:space="0" w:color="auto"/>
              <w:right w:val="nil"/>
            </w:tcBorders>
            <w:vAlign w:val="center"/>
            <w:hideMark/>
          </w:tcPr>
          <w:p w14:paraId="0D0295DC"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73BC00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0A42EC12"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4467170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41EA3823"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51786816"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133DF7E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c>
          <w:tcPr>
            <w:tcW w:w="0" w:type="auto"/>
            <w:tcBorders>
              <w:top w:val="single" w:sz="4" w:space="0" w:color="auto"/>
              <w:left w:val="nil"/>
              <w:bottom w:val="single" w:sz="4" w:space="0" w:color="auto"/>
              <w:right w:val="single" w:sz="4" w:space="0" w:color="auto"/>
            </w:tcBorders>
            <w:vAlign w:val="center"/>
            <w:hideMark/>
          </w:tcPr>
          <w:p w14:paraId="4B5B04B9"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7DD0F775"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2</w:t>
            </w:r>
          </w:p>
        </w:tc>
        <w:tc>
          <w:tcPr>
            <w:tcW w:w="0" w:type="auto"/>
            <w:tcBorders>
              <w:top w:val="single" w:sz="4" w:space="0" w:color="auto"/>
              <w:left w:val="nil"/>
              <w:bottom w:val="single" w:sz="4" w:space="0" w:color="auto"/>
              <w:right w:val="single" w:sz="4" w:space="0" w:color="auto"/>
            </w:tcBorders>
            <w:vAlign w:val="center"/>
            <w:hideMark/>
          </w:tcPr>
          <w:p w14:paraId="54B243EE"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3</w:t>
            </w:r>
          </w:p>
        </w:tc>
        <w:tc>
          <w:tcPr>
            <w:tcW w:w="0" w:type="auto"/>
            <w:tcBorders>
              <w:top w:val="single" w:sz="4" w:space="0" w:color="auto"/>
              <w:left w:val="nil"/>
              <w:bottom w:val="single" w:sz="4" w:space="0" w:color="auto"/>
              <w:right w:val="single" w:sz="4" w:space="0" w:color="auto"/>
            </w:tcBorders>
            <w:vAlign w:val="center"/>
            <w:hideMark/>
          </w:tcPr>
          <w:p w14:paraId="55E4E830" w14:textId="77777777" w:rsidR="00875A16" w:rsidRPr="00875A16" w:rsidRDefault="00875A16" w:rsidP="00875A16">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4</w:t>
            </w:r>
          </w:p>
        </w:tc>
      </w:tr>
      <w:tr w:rsidR="00D94C8D" w:rsidRPr="00875A16" w14:paraId="13B79D96" w14:textId="77777777" w:rsidTr="605EB176">
        <w:trPr>
          <w:trHeight w:val="300"/>
        </w:trPr>
        <w:tc>
          <w:tcPr>
            <w:tcW w:w="0" w:type="auto"/>
            <w:tcBorders>
              <w:top w:val="nil"/>
              <w:left w:val="single" w:sz="12" w:space="0" w:color="auto"/>
              <w:bottom w:val="single" w:sz="12" w:space="0" w:color="auto"/>
              <w:right w:val="single" w:sz="12" w:space="0" w:color="auto"/>
            </w:tcBorders>
            <w:shd w:val="clear" w:color="auto" w:fill="B4C6E7"/>
            <w:vAlign w:val="center"/>
            <w:hideMark/>
          </w:tcPr>
          <w:p w14:paraId="732EBA86" w14:textId="77777777" w:rsidR="003D1C43" w:rsidRPr="00875A16" w:rsidRDefault="003D1C43" w:rsidP="003D1C43">
            <w:pPr>
              <w:spacing w:before="0" w:after="0"/>
              <w:rPr>
                <w:rFonts w:ascii="Times New Roman" w:eastAsia="Times New Roman" w:hAnsi="Times New Roman" w:cs="Times New Roman"/>
                <w:b/>
                <w:bCs/>
                <w:noProof/>
                <w:color w:val="000000"/>
                <w:sz w:val="18"/>
                <w:szCs w:val="18"/>
                <w:lang w:val="en-IE" w:eastAsia="en-IE"/>
              </w:rPr>
            </w:pPr>
            <w:r w:rsidRPr="00875A16">
              <w:rPr>
                <w:rFonts w:ascii="Times New Roman" w:eastAsia="Times New Roman" w:hAnsi="Times New Roman" w:cs="Times New Roman"/>
                <w:b/>
                <w:bCs/>
                <w:noProof/>
                <w:color w:val="000000"/>
                <w:sz w:val="18"/>
                <w:szCs w:val="18"/>
                <w:lang w:val="en-IE" w:eastAsia="en-IE"/>
              </w:rPr>
              <w:t>TOTAL</w:t>
            </w:r>
          </w:p>
        </w:tc>
        <w:tc>
          <w:tcPr>
            <w:tcW w:w="0" w:type="auto"/>
            <w:tcBorders>
              <w:top w:val="nil"/>
              <w:left w:val="nil"/>
              <w:bottom w:val="single" w:sz="12" w:space="0" w:color="auto"/>
              <w:right w:val="single" w:sz="12" w:space="0" w:color="auto"/>
            </w:tcBorders>
            <w:vAlign w:val="center"/>
            <w:hideMark/>
          </w:tcPr>
          <w:p w14:paraId="62B68EFA" w14:textId="77777777" w:rsidR="003D1C43" w:rsidRPr="00875A16" w:rsidRDefault="003D1C43" w:rsidP="003D1C43">
            <w:pPr>
              <w:spacing w:before="0" w:after="0"/>
              <w:jc w:val="center"/>
              <w:rPr>
                <w:rFonts w:ascii="Times New Roman" w:eastAsia="Times New Roman" w:hAnsi="Times New Roman" w:cs="Times New Roman"/>
                <w:noProof/>
                <w:color w:val="000000"/>
                <w:sz w:val="18"/>
                <w:szCs w:val="18"/>
                <w:lang w:val="en-IE" w:eastAsia="en-IE"/>
              </w:rPr>
            </w:pPr>
            <w:r w:rsidRPr="00875A16">
              <w:rPr>
                <w:rFonts w:ascii="Times New Roman" w:eastAsia="Times New Roman" w:hAnsi="Times New Roman" w:cs="Times New Roman"/>
                <w:noProof/>
                <w:color w:val="000000"/>
                <w:sz w:val="18"/>
                <w:szCs w:val="18"/>
                <w:lang w:val="en-IE" w:eastAsia="en-IE"/>
              </w:rPr>
              <w:t>100%</w:t>
            </w:r>
          </w:p>
        </w:tc>
        <w:tc>
          <w:tcPr>
            <w:tcW w:w="0" w:type="auto"/>
            <w:tcBorders>
              <w:top w:val="nil"/>
              <w:left w:val="nil"/>
              <w:bottom w:val="single" w:sz="12" w:space="0" w:color="auto"/>
              <w:right w:val="single" w:sz="8" w:space="0" w:color="auto"/>
            </w:tcBorders>
            <w:shd w:val="clear" w:color="auto" w:fill="FCE4D6"/>
            <w:vAlign w:val="center"/>
            <w:hideMark/>
          </w:tcPr>
          <w:p w14:paraId="10980708" w14:textId="62AD3272"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1.</w:t>
            </w:r>
            <w:r w:rsidR="00E812EE">
              <w:rPr>
                <w:rFonts w:ascii="Times New Roman" w:hAnsi="Times New Roman" w:cs="Times New Roman"/>
                <w:b/>
                <w:bCs/>
                <w:noProof/>
                <w:color w:val="000000"/>
                <w:sz w:val="18"/>
                <w:szCs w:val="18"/>
              </w:rPr>
              <w:t>8</w:t>
            </w:r>
            <w:r w:rsidRPr="003D1C43">
              <w:rPr>
                <w:rFonts w:ascii="Times New Roman" w:hAnsi="Times New Roman" w:cs="Times New Roman"/>
                <w:b/>
                <w:bCs/>
                <w:noProof/>
                <w:color w:val="000000"/>
                <w:sz w:val="18"/>
                <w:szCs w:val="18"/>
              </w:rPr>
              <w:t>4</w:t>
            </w:r>
          </w:p>
        </w:tc>
        <w:tc>
          <w:tcPr>
            <w:tcW w:w="0" w:type="auto"/>
            <w:tcBorders>
              <w:top w:val="nil"/>
              <w:left w:val="nil"/>
              <w:bottom w:val="single" w:sz="12" w:space="0" w:color="auto"/>
              <w:right w:val="single" w:sz="8" w:space="0" w:color="auto"/>
            </w:tcBorders>
            <w:shd w:val="clear" w:color="auto" w:fill="FCE4D6"/>
            <w:vAlign w:val="center"/>
            <w:hideMark/>
          </w:tcPr>
          <w:p w14:paraId="33527B33" w14:textId="156BBB24"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2.6</w:t>
            </w:r>
            <w:r w:rsidR="00E812EE">
              <w:rPr>
                <w:rFonts w:ascii="Times New Roman" w:hAnsi="Times New Roman" w:cs="Times New Roman"/>
                <w:b/>
                <w:bCs/>
                <w:noProof/>
                <w:color w:val="000000"/>
                <w:sz w:val="18"/>
                <w:szCs w:val="18"/>
              </w:rPr>
              <w:t>1</w:t>
            </w:r>
          </w:p>
        </w:tc>
        <w:tc>
          <w:tcPr>
            <w:tcW w:w="0" w:type="auto"/>
            <w:tcBorders>
              <w:top w:val="nil"/>
              <w:left w:val="nil"/>
              <w:bottom w:val="single" w:sz="12" w:space="0" w:color="auto"/>
              <w:right w:val="single" w:sz="8" w:space="0" w:color="auto"/>
            </w:tcBorders>
            <w:shd w:val="clear" w:color="auto" w:fill="FCE4D6"/>
            <w:vAlign w:val="center"/>
            <w:hideMark/>
          </w:tcPr>
          <w:p w14:paraId="7E4D1D54" w14:textId="4A805055" w:rsidR="003D1C43" w:rsidRPr="00875A16" w:rsidRDefault="00E812EE" w:rsidP="003D1C43">
            <w:pPr>
              <w:spacing w:before="0" w:after="0"/>
              <w:jc w:val="center"/>
              <w:rPr>
                <w:rFonts w:ascii="Times New Roman" w:eastAsia="Times New Roman" w:hAnsi="Times New Roman" w:cs="Times New Roman"/>
                <w:b/>
                <w:bCs/>
                <w:noProof/>
                <w:color w:val="000000"/>
                <w:sz w:val="18"/>
                <w:szCs w:val="18"/>
                <w:lang w:val="en-IE" w:eastAsia="en-IE"/>
              </w:rPr>
            </w:pPr>
            <w:r>
              <w:rPr>
                <w:rFonts w:ascii="Times New Roman" w:hAnsi="Times New Roman" w:cs="Times New Roman"/>
                <w:b/>
                <w:bCs/>
                <w:noProof/>
                <w:color w:val="000000"/>
                <w:sz w:val="18"/>
                <w:szCs w:val="18"/>
              </w:rPr>
              <w:t>3</w:t>
            </w:r>
            <w:r w:rsidR="003D1C43" w:rsidRPr="003D1C43">
              <w:rPr>
                <w:rFonts w:ascii="Times New Roman" w:hAnsi="Times New Roman" w:cs="Times New Roman"/>
                <w:b/>
                <w:bCs/>
                <w:noProof/>
                <w:color w:val="000000"/>
                <w:sz w:val="18"/>
                <w:szCs w:val="18"/>
              </w:rPr>
              <w:t>.</w:t>
            </w:r>
            <w:r>
              <w:rPr>
                <w:rFonts w:ascii="Times New Roman" w:hAnsi="Times New Roman" w:cs="Times New Roman"/>
                <w:b/>
                <w:bCs/>
                <w:noProof/>
                <w:color w:val="000000"/>
                <w:sz w:val="18"/>
                <w:szCs w:val="18"/>
              </w:rPr>
              <w:t>2</w:t>
            </w:r>
            <w:r w:rsidR="003D1C43" w:rsidRPr="003D1C43">
              <w:rPr>
                <w:rFonts w:ascii="Times New Roman" w:hAnsi="Times New Roman" w:cs="Times New Roman"/>
                <w:b/>
                <w:bCs/>
                <w:noProof/>
                <w:color w:val="000000"/>
                <w:sz w:val="18"/>
                <w:szCs w:val="18"/>
              </w:rPr>
              <w:t>5</w:t>
            </w:r>
          </w:p>
        </w:tc>
        <w:tc>
          <w:tcPr>
            <w:tcW w:w="0" w:type="auto"/>
            <w:tcBorders>
              <w:top w:val="nil"/>
              <w:left w:val="nil"/>
              <w:bottom w:val="single" w:sz="12" w:space="0" w:color="auto"/>
              <w:right w:val="single" w:sz="8" w:space="0" w:color="auto"/>
            </w:tcBorders>
            <w:shd w:val="clear" w:color="auto" w:fill="E2EFDA"/>
            <w:vAlign w:val="center"/>
            <w:hideMark/>
          </w:tcPr>
          <w:p w14:paraId="6F6B1C7E" w14:textId="20A0CC33"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2.14</w:t>
            </w:r>
          </w:p>
        </w:tc>
        <w:tc>
          <w:tcPr>
            <w:tcW w:w="0" w:type="auto"/>
            <w:tcBorders>
              <w:top w:val="nil"/>
              <w:left w:val="nil"/>
              <w:bottom w:val="single" w:sz="12" w:space="0" w:color="auto"/>
              <w:right w:val="single" w:sz="8" w:space="0" w:color="auto"/>
            </w:tcBorders>
            <w:shd w:val="clear" w:color="auto" w:fill="E2EFDA"/>
            <w:vAlign w:val="center"/>
            <w:hideMark/>
          </w:tcPr>
          <w:p w14:paraId="7B310D13" w14:textId="7FE715D3"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2.95</w:t>
            </w:r>
          </w:p>
        </w:tc>
        <w:tc>
          <w:tcPr>
            <w:tcW w:w="0" w:type="auto"/>
            <w:tcBorders>
              <w:top w:val="nil"/>
              <w:left w:val="nil"/>
              <w:bottom w:val="single" w:sz="12" w:space="0" w:color="auto"/>
              <w:right w:val="single" w:sz="8" w:space="0" w:color="auto"/>
            </w:tcBorders>
            <w:shd w:val="clear" w:color="auto" w:fill="E2EFDA"/>
            <w:vAlign w:val="center"/>
            <w:hideMark/>
          </w:tcPr>
          <w:p w14:paraId="23CF831F" w14:textId="123DC250"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2.9</w:t>
            </w:r>
            <w:r w:rsidR="0098361C">
              <w:rPr>
                <w:rFonts w:ascii="Times New Roman" w:hAnsi="Times New Roman" w:cs="Times New Roman"/>
                <w:b/>
                <w:bCs/>
                <w:noProof/>
                <w:color w:val="000000"/>
                <w:sz w:val="18"/>
                <w:szCs w:val="18"/>
              </w:rPr>
              <w:t>1</w:t>
            </w:r>
          </w:p>
        </w:tc>
        <w:tc>
          <w:tcPr>
            <w:tcW w:w="0" w:type="auto"/>
            <w:tcBorders>
              <w:top w:val="nil"/>
              <w:left w:val="nil"/>
              <w:bottom w:val="single" w:sz="12" w:space="0" w:color="auto"/>
              <w:right w:val="single" w:sz="8" w:space="0" w:color="auto"/>
            </w:tcBorders>
            <w:shd w:val="clear" w:color="auto" w:fill="FFF2CC"/>
            <w:vAlign w:val="center"/>
            <w:hideMark/>
          </w:tcPr>
          <w:p w14:paraId="6AE6016B" w14:textId="44670B55"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1.43</w:t>
            </w:r>
          </w:p>
        </w:tc>
        <w:tc>
          <w:tcPr>
            <w:tcW w:w="0" w:type="auto"/>
            <w:tcBorders>
              <w:top w:val="nil"/>
              <w:left w:val="nil"/>
              <w:bottom w:val="single" w:sz="12" w:space="0" w:color="auto"/>
              <w:right w:val="single" w:sz="8" w:space="0" w:color="auto"/>
            </w:tcBorders>
            <w:shd w:val="clear" w:color="auto" w:fill="FFF2CC"/>
            <w:vAlign w:val="center"/>
            <w:hideMark/>
          </w:tcPr>
          <w:p w14:paraId="14D158D0" w14:textId="3A15442B"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2.2</w:t>
            </w:r>
          </w:p>
        </w:tc>
        <w:tc>
          <w:tcPr>
            <w:tcW w:w="0" w:type="auto"/>
            <w:tcBorders>
              <w:top w:val="nil"/>
              <w:left w:val="nil"/>
              <w:bottom w:val="single" w:sz="12" w:space="0" w:color="auto"/>
              <w:right w:val="single" w:sz="8" w:space="0" w:color="auto"/>
            </w:tcBorders>
            <w:shd w:val="clear" w:color="auto" w:fill="FFF2CC"/>
            <w:vAlign w:val="center"/>
            <w:hideMark/>
          </w:tcPr>
          <w:p w14:paraId="3E48EF9D" w14:textId="54FBA823"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3.01</w:t>
            </w:r>
          </w:p>
        </w:tc>
        <w:tc>
          <w:tcPr>
            <w:tcW w:w="0" w:type="auto"/>
            <w:tcBorders>
              <w:top w:val="nil"/>
              <w:left w:val="nil"/>
              <w:bottom w:val="single" w:sz="12" w:space="0" w:color="auto"/>
              <w:right w:val="single" w:sz="8" w:space="0" w:color="auto"/>
            </w:tcBorders>
            <w:shd w:val="clear" w:color="auto" w:fill="D6DCE4"/>
            <w:vAlign w:val="center"/>
            <w:hideMark/>
          </w:tcPr>
          <w:p w14:paraId="0F1D41E4" w14:textId="7F1FBF85"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1.4</w:t>
            </w:r>
          </w:p>
        </w:tc>
        <w:tc>
          <w:tcPr>
            <w:tcW w:w="0" w:type="auto"/>
            <w:tcBorders>
              <w:top w:val="nil"/>
              <w:left w:val="nil"/>
              <w:bottom w:val="single" w:sz="12" w:space="0" w:color="auto"/>
              <w:right w:val="single" w:sz="8" w:space="0" w:color="auto"/>
            </w:tcBorders>
            <w:shd w:val="clear" w:color="auto" w:fill="D6DCE4"/>
            <w:vAlign w:val="center"/>
            <w:hideMark/>
          </w:tcPr>
          <w:p w14:paraId="707571DC" w14:textId="181F26BA"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2.25</w:t>
            </w:r>
          </w:p>
        </w:tc>
        <w:tc>
          <w:tcPr>
            <w:tcW w:w="0" w:type="auto"/>
            <w:tcBorders>
              <w:top w:val="nil"/>
              <w:left w:val="nil"/>
              <w:bottom w:val="single" w:sz="12" w:space="0" w:color="auto"/>
              <w:right w:val="single" w:sz="8" w:space="0" w:color="auto"/>
            </w:tcBorders>
            <w:shd w:val="clear" w:color="auto" w:fill="D6DCE4"/>
            <w:vAlign w:val="center"/>
            <w:hideMark/>
          </w:tcPr>
          <w:p w14:paraId="649E014D" w14:textId="4A3A70AC"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3.1</w:t>
            </w:r>
          </w:p>
        </w:tc>
        <w:tc>
          <w:tcPr>
            <w:tcW w:w="0" w:type="auto"/>
            <w:tcBorders>
              <w:top w:val="nil"/>
              <w:left w:val="nil"/>
              <w:bottom w:val="single" w:sz="12" w:space="0" w:color="auto"/>
              <w:right w:val="single" w:sz="8" w:space="0" w:color="auto"/>
            </w:tcBorders>
            <w:shd w:val="clear" w:color="auto" w:fill="FCE4D6"/>
            <w:vAlign w:val="center"/>
            <w:hideMark/>
          </w:tcPr>
          <w:p w14:paraId="1CA4D4E5" w14:textId="2FF4D784"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1.05</w:t>
            </w:r>
          </w:p>
        </w:tc>
        <w:tc>
          <w:tcPr>
            <w:tcW w:w="0" w:type="auto"/>
            <w:tcBorders>
              <w:top w:val="nil"/>
              <w:left w:val="nil"/>
              <w:bottom w:val="single" w:sz="12" w:space="0" w:color="auto"/>
              <w:right w:val="single" w:sz="8" w:space="0" w:color="auto"/>
            </w:tcBorders>
            <w:shd w:val="clear" w:color="auto" w:fill="FCE4D6"/>
            <w:vAlign w:val="center"/>
            <w:hideMark/>
          </w:tcPr>
          <w:p w14:paraId="7A881A92" w14:textId="1F3FDC4D"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2.18</w:t>
            </w:r>
          </w:p>
        </w:tc>
        <w:tc>
          <w:tcPr>
            <w:tcW w:w="0" w:type="auto"/>
            <w:tcBorders>
              <w:top w:val="nil"/>
              <w:left w:val="nil"/>
              <w:bottom w:val="single" w:sz="12" w:space="0" w:color="auto"/>
              <w:right w:val="single" w:sz="8" w:space="0" w:color="auto"/>
            </w:tcBorders>
            <w:shd w:val="clear" w:color="auto" w:fill="FCE4D6"/>
            <w:vAlign w:val="center"/>
            <w:hideMark/>
          </w:tcPr>
          <w:p w14:paraId="52705AE2" w14:textId="6266C5F6"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3.03</w:t>
            </w:r>
          </w:p>
        </w:tc>
        <w:tc>
          <w:tcPr>
            <w:tcW w:w="0" w:type="auto"/>
            <w:tcBorders>
              <w:top w:val="nil"/>
              <w:left w:val="nil"/>
              <w:bottom w:val="single" w:sz="12" w:space="0" w:color="auto"/>
              <w:right w:val="single" w:sz="8" w:space="0" w:color="auto"/>
            </w:tcBorders>
            <w:shd w:val="clear" w:color="auto" w:fill="E2EFDA"/>
            <w:vAlign w:val="center"/>
            <w:hideMark/>
          </w:tcPr>
          <w:p w14:paraId="3B5B7614" w14:textId="7AA96856"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1.88</w:t>
            </w:r>
          </w:p>
        </w:tc>
        <w:tc>
          <w:tcPr>
            <w:tcW w:w="0" w:type="auto"/>
            <w:tcBorders>
              <w:top w:val="nil"/>
              <w:left w:val="nil"/>
              <w:bottom w:val="single" w:sz="12" w:space="0" w:color="auto"/>
              <w:right w:val="single" w:sz="8" w:space="0" w:color="auto"/>
            </w:tcBorders>
            <w:shd w:val="clear" w:color="auto" w:fill="E2EFDA"/>
            <w:vAlign w:val="center"/>
            <w:hideMark/>
          </w:tcPr>
          <w:p w14:paraId="3ECDBF46" w14:textId="431650C4"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2.95</w:t>
            </w:r>
          </w:p>
        </w:tc>
        <w:tc>
          <w:tcPr>
            <w:tcW w:w="0" w:type="auto"/>
            <w:tcBorders>
              <w:top w:val="nil"/>
              <w:left w:val="nil"/>
              <w:bottom w:val="single" w:sz="12" w:space="0" w:color="auto"/>
              <w:right w:val="single" w:sz="8" w:space="0" w:color="auto"/>
            </w:tcBorders>
            <w:shd w:val="clear" w:color="auto" w:fill="E2EFDA"/>
            <w:vAlign w:val="center"/>
            <w:hideMark/>
          </w:tcPr>
          <w:p w14:paraId="762FAA62" w14:textId="13505E18" w:rsidR="003D1C43" w:rsidRPr="00875A16" w:rsidRDefault="003D1C43" w:rsidP="003D1C43">
            <w:pPr>
              <w:spacing w:before="0" w:after="0"/>
              <w:jc w:val="center"/>
              <w:rPr>
                <w:rFonts w:ascii="Times New Roman" w:eastAsia="Times New Roman" w:hAnsi="Times New Roman" w:cs="Times New Roman"/>
                <w:b/>
                <w:bCs/>
                <w:noProof/>
                <w:color w:val="000000"/>
                <w:sz w:val="18"/>
                <w:szCs w:val="18"/>
                <w:lang w:val="en-IE" w:eastAsia="en-IE"/>
              </w:rPr>
            </w:pPr>
            <w:r w:rsidRPr="003D1C43">
              <w:rPr>
                <w:rFonts w:ascii="Times New Roman" w:hAnsi="Times New Roman" w:cs="Times New Roman"/>
                <w:b/>
                <w:bCs/>
                <w:noProof/>
                <w:color w:val="000000"/>
                <w:sz w:val="18"/>
                <w:szCs w:val="18"/>
              </w:rPr>
              <w:t>2.1</w:t>
            </w:r>
          </w:p>
        </w:tc>
        <w:tc>
          <w:tcPr>
            <w:tcW w:w="0" w:type="auto"/>
            <w:tcBorders>
              <w:top w:val="nil"/>
              <w:left w:val="nil"/>
              <w:bottom w:val="single" w:sz="12" w:space="0" w:color="auto"/>
              <w:right w:val="single" w:sz="8" w:space="0" w:color="auto"/>
            </w:tcBorders>
            <w:shd w:val="clear" w:color="auto" w:fill="FFF2CC"/>
            <w:vAlign w:val="center"/>
            <w:hideMark/>
          </w:tcPr>
          <w:p w14:paraId="1DA85628" w14:textId="1E5C44BE" w:rsidR="003D1C43" w:rsidRPr="00875A16" w:rsidRDefault="003D1C43" w:rsidP="003D1C43">
            <w:pPr>
              <w:spacing w:before="0" w:after="0"/>
              <w:jc w:val="center"/>
              <w:rPr>
                <w:rFonts w:ascii="Times New Roman" w:eastAsia="Times New Roman" w:hAnsi="Times New Roman" w:cs="Times New Roman"/>
                <w:b/>
                <w:bCs/>
                <w:noProof/>
                <w:color w:val="auto"/>
                <w:sz w:val="18"/>
                <w:szCs w:val="18"/>
                <w:lang w:val="en-IE" w:eastAsia="en-IE"/>
              </w:rPr>
            </w:pPr>
            <w:r w:rsidRPr="003D1C43">
              <w:rPr>
                <w:rFonts w:ascii="Times New Roman" w:hAnsi="Times New Roman" w:cs="Times New Roman"/>
                <w:b/>
                <w:bCs/>
                <w:noProof/>
                <w:sz w:val="18"/>
                <w:szCs w:val="18"/>
              </w:rPr>
              <w:t>1.</w:t>
            </w:r>
            <w:r w:rsidR="0033641E">
              <w:rPr>
                <w:rFonts w:ascii="Times New Roman" w:hAnsi="Times New Roman" w:cs="Times New Roman"/>
                <w:b/>
                <w:bCs/>
                <w:noProof/>
                <w:sz w:val="18"/>
                <w:szCs w:val="18"/>
              </w:rPr>
              <w:t>48</w:t>
            </w:r>
          </w:p>
        </w:tc>
        <w:tc>
          <w:tcPr>
            <w:tcW w:w="0" w:type="auto"/>
            <w:tcBorders>
              <w:top w:val="nil"/>
              <w:left w:val="nil"/>
              <w:bottom w:val="single" w:sz="12" w:space="0" w:color="auto"/>
              <w:right w:val="single" w:sz="8" w:space="0" w:color="auto"/>
            </w:tcBorders>
            <w:shd w:val="clear" w:color="auto" w:fill="FFF2CC"/>
            <w:vAlign w:val="center"/>
            <w:hideMark/>
          </w:tcPr>
          <w:p w14:paraId="5DFE0D61" w14:textId="060C8924" w:rsidR="003D1C43" w:rsidRPr="00875A16" w:rsidRDefault="003D1C43" w:rsidP="003D1C43">
            <w:pPr>
              <w:spacing w:before="0" w:after="0"/>
              <w:jc w:val="center"/>
              <w:rPr>
                <w:rFonts w:ascii="Times New Roman" w:eastAsia="Times New Roman" w:hAnsi="Times New Roman" w:cs="Times New Roman"/>
                <w:b/>
                <w:bCs/>
                <w:noProof/>
                <w:color w:val="auto"/>
                <w:sz w:val="18"/>
                <w:szCs w:val="18"/>
                <w:lang w:val="en-IE" w:eastAsia="en-IE"/>
              </w:rPr>
            </w:pPr>
            <w:r w:rsidRPr="003D1C43">
              <w:rPr>
                <w:rFonts w:ascii="Times New Roman" w:hAnsi="Times New Roman" w:cs="Times New Roman"/>
                <w:b/>
                <w:bCs/>
                <w:noProof/>
                <w:sz w:val="18"/>
                <w:szCs w:val="18"/>
              </w:rPr>
              <w:t>2.</w:t>
            </w:r>
            <w:r w:rsidR="0033641E">
              <w:rPr>
                <w:rFonts w:ascii="Times New Roman" w:hAnsi="Times New Roman" w:cs="Times New Roman"/>
                <w:b/>
                <w:bCs/>
                <w:noProof/>
                <w:sz w:val="18"/>
                <w:szCs w:val="18"/>
              </w:rPr>
              <w:t>29</w:t>
            </w:r>
          </w:p>
        </w:tc>
        <w:tc>
          <w:tcPr>
            <w:tcW w:w="0" w:type="auto"/>
            <w:tcBorders>
              <w:top w:val="nil"/>
              <w:left w:val="nil"/>
              <w:bottom w:val="single" w:sz="12" w:space="0" w:color="auto"/>
              <w:right w:val="single" w:sz="8" w:space="0" w:color="auto"/>
            </w:tcBorders>
            <w:shd w:val="clear" w:color="auto" w:fill="FFF2CC"/>
            <w:vAlign w:val="center"/>
            <w:hideMark/>
          </w:tcPr>
          <w:p w14:paraId="76541BB3" w14:textId="090F06AA" w:rsidR="003D1C43" w:rsidRPr="00875A16" w:rsidRDefault="003D1C43" w:rsidP="003D1C43">
            <w:pPr>
              <w:spacing w:before="0" w:after="0"/>
              <w:jc w:val="center"/>
              <w:rPr>
                <w:rFonts w:ascii="Times New Roman" w:eastAsia="Times New Roman" w:hAnsi="Times New Roman" w:cs="Times New Roman"/>
                <w:b/>
                <w:bCs/>
                <w:noProof/>
                <w:color w:val="auto"/>
                <w:sz w:val="18"/>
                <w:szCs w:val="18"/>
                <w:lang w:val="en-IE" w:eastAsia="en-IE"/>
              </w:rPr>
            </w:pPr>
            <w:r w:rsidRPr="003D1C43">
              <w:rPr>
                <w:rFonts w:ascii="Times New Roman" w:hAnsi="Times New Roman" w:cs="Times New Roman"/>
                <w:b/>
                <w:bCs/>
                <w:noProof/>
                <w:sz w:val="18"/>
                <w:szCs w:val="18"/>
              </w:rPr>
              <w:t>3.</w:t>
            </w:r>
            <w:r w:rsidR="0033641E">
              <w:rPr>
                <w:rFonts w:ascii="Times New Roman" w:hAnsi="Times New Roman" w:cs="Times New Roman"/>
                <w:b/>
                <w:bCs/>
                <w:noProof/>
                <w:sz w:val="18"/>
                <w:szCs w:val="18"/>
              </w:rPr>
              <w:t>06</w:t>
            </w:r>
          </w:p>
        </w:tc>
      </w:tr>
    </w:tbl>
    <w:p w14:paraId="1C6231E4" w14:textId="77777777" w:rsidR="009C6957" w:rsidRPr="00206809" w:rsidRDefault="009C6957" w:rsidP="00461108">
      <w:pPr>
        <w:tabs>
          <w:tab w:val="left" w:pos="2460"/>
        </w:tabs>
        <w:spacing w:before="0" w:after="160" w:line="256" w:lineRule="auto"/>
        <w:ind w:right="-1"/>
        <w:contextualSpacing/>
        <w:jc w:val="both"/>
        <w:rPr>
          <w:noProof/>
          <w:color w:val="auto"/>
        </w:rPr>
      </w:pPr>
    </w:p>
    <w:p w14:paraId="0574104E" w14:textId="01312ACA" w:rsidR="00461108" w:rsidRDefault="0071632C" w:rsidP="003C52CD">
      <w:pPr>
        <w:rPr>
          <w:noProof/>
        </w:rPr>
      </w:pPr>
      <w:r>
        <w:rPr>
          <w:noProof/>
        </w:rPr>
        <w:t>Summary table:</w:t>
      </w:r>
    </w:p>
    <w:tbl>
      <w:tblPr>
        <w:tblW w:w="0" w:type="auto"/>
        <w:tblLook w:val="04A0" w:firstRow="1" w:lastRow="0" w:firstColumn="1" w:lastColumn="0" w:noHBand="0" w:noVBand="1"/>
      </w:tblPr>
      <w:tblGrid>
        <w:gridCol w:w="1068"/>
        <w:gridCol w:w="694"/>
        <w:gridCol w:w="583"/>
        <w:gridCol w:w="592"/>
        <w:gridCol w:w="574"/>
        <w:gridCol w:w="582"/>
        <w:gridCol w:w="591"/>
        <w:gridCol w:w="573"/>
        <w:gridCol w:w="582"/>
        <w:gridCol w:w="591"/>
        <w:gridCol w:w="573"/>
        <w:gridCol w:w="582"/>
        <w:gridCol w:w="591"/>
        <w:gridCol w:w="573"/>
        <w:gridCol w:w="582"/>
        <w:gridCol w:w="591"/>
        <w:gridCol w:w="573"/>
        <w:gridCol w:w="582"/>
        <w:gridCol w:w="591"/>
        <w:gridCol w:w="573"/>
        <w:gridCol w:w="582"/>
        <w:gridCol w:w="591"/>
        <w:gridCol w:w="573"/>
      </w:tblGrid>
      <w:tr w:rsidR="00D94C8D" w:rsidRPr="0071632C" w14:paraId="1B24D2D3" w14:textId="77777777" w:rsidTr="0071632C">
        <w:trPr>
          <w:trHeight w:val="312"/>
        </w:trPr>
        <w:tc>
          <w:tcPr>
            <w:tcW w:w="0" w:type="auto"/>
            <w:tcBorders>
              <w:top w:val="nil"/>
              <w:left w:val="nil"/>
              <w:bottom w:val="nil"/>
              <w:right w:val="nil"/>
            </w:tcBorders>
            <w:noWrap/>
            <w:vAlign w:val="bottom"/>
            <w:hideMark/>
          </w:tcPr>
          <w:p w14:paraId="3065D499" w14:textId="77777777" w:rsidR="0071632C" w:rsidRPr="0071632C" w:rsidRDefault="0071632C" w:rsidP="0071632C">
            <w:pPr>
              <w:spacing w:before="0" w:after="0"/>
              <w:rPr>
                <w:rFonts w:ascii="Times New Roman" w:eastAsia="Times New Roman" w:hAnsi="Times New Roman" w:cs="Times New Roman"/>
                <w:noProof/>
                <w:color w:val="auto"/>
                <w:sz w:val="18"/>
                <w:szCs w:val="18"/>
                <w:lang w:val="en-IE" w:eastAsia="en-IE"/>
              </w:rPr>
            </w:pP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4D99BA1D"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Weight</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1D85BDC8"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PO1a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2ECE73EE"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PO1b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414235DF"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PO1c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24197FA2"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PO2a</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0142389B"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PO2b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6482421C"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PO2c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742F2807"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PO3a</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501F8383"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PO3b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640512E0"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PO3c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31B216DC"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PO4a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1823B696"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PO4b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2D2068F7"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PO4c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4F67A8B7"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PO5a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56C05E47"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PO5b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2CEDB5EA"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PO5c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3668AFF8"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PO6a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69338E64"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PO6b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79EA6F3C"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PO6c</w:t>
            </w:r>
          </w:p>
        </w:tc>
        <w:tc>
          <w:tcPr>
            <w:tcW w:w="0" w:type="auto"/>
            <w:tcBorders>
              <w:top w:val="single" w:sz="12" w:space="0" w:color="auto"/>
              <w:left w:val="nil"/>
              <w:bottom w:val="single" w:sz="8" w:space="0" w:color="auto"/>
              <w:right w:val="nil"/>
            </w:tcBorders>
            <w:shd w:val="clear" w:color="000000" w:fill="4472C4"/>
            <w:vAlign w:val="center"/>
            <w:hideMark/>
          </w:tcPr>
          <w:p w14:paraId="31BA59FE"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PO7a</w:t>
            </w:r>
          </w:p>
        </w:tc>
        <w:tc>
          <w:tcPr>
            <w:tcW w:w="0" w:type="auto"/>
            <w:tcBorders>
              <w:top w:val="single" w:sz="12" w:space="0" w:color="auto"/>
              <w:left w:val="nil"/>
              <w:bottom w:val="single" w:sz="8" w:space="0" w:color="auto"/>
              <w:right w:val="nil"/>
            </w:tcBorders>
            <w:shd w:val="clear" w:color="000000" w:fill="4472C4"/>
            <w:vAlign w:val="center"/>
            <w:hideMark/>
          </w:tcPr>
          <w:p w14:paraId="551B2F3A"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PO7b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0EEFA8A1" w14:textId="77777777" w:rsidR="0071632C" w:rsidRPr="0071632C" w:rsidRDefault="0071632C" w:rsidP="0071632C">
            <w:pPr>
              <w:spacing w:before="0" w:after="0"/>
              <w:jc w:val="center"/>
              <w:rPr>
                <w:rFonts w:ascii="Times New Roman" w:eastAsia="Times New Roman" w:hAnsi="Times New Roman" w:cs="Times New Roman"/>
                <w:b/>
                <w:bCs/>
                <w:noProof/>
                <w:color w:val="FFFFFF"/>
                <w:sz w:val="18"/>
                <w:szCs w:val="18"/>
                <w:lang w:val="en-IE" w:eastAsia="en-IE"/>
              </w:rPr>
            </w:pPr>
            <w:r w:rsidRPr="0071632C">
              <w:rPr>
                <w:rFonts w:ascii="Times New Roman" w:eastAsia="Times New Roman" w:hAnsi="Times New Roman" w:cs="Times New Roman"/>
                <w:b/>
                <w:bCs/>
                <w:noProof/>
                <w:color w:val="FFFFFF"/>
                <w:sz w:val="18"/>
                <w:szCs w:val="18"/>
                <w:lang w:val="en-IE" w:eastAsia="en-IE"/>
              </w:rPr>
              <w:t>PO7c</w:t>
            </w:r>
          </w:p>
        </w:tc>
      </w:tr>
      <w:tr w:rsidR="004B3F74" w:rsidRPr="0071632C" w14:paraId="316D501E" w14:textId="77777777" w:rsidTr="0071632C">
        <w:trPr>
          <w:trHeight w:val="288"/>
        </w:trPr>
        <w:tc>
          <w:tcPr>
            <w:tcW w:w="0" w:type="auto"/>
            <w:tcBorders>
              <w:top w:val="single" w:sz="4" w:space="0" w:color="auto"/>
              <w:left w:val="single" w:sz="4" w:space="0" w:color="auto"/>
              <w:bottom w:val="single" w:sz="4" w:space="0" w:color="auto"/>
              <w:right w:val="single" w:sz="4" w:space="0" w:color="auto"/>
            </w:tcBorders>
            <w:shd w:val="clear" w:color="000000" w:fill="B4C6E7"/>
            <w:vAlign w:val="center"/>
            <w:hideMark/>
          </w:tcPr>
          <w:p w14:paraId="6EB8B42D" w14:textId="77777777" w:rsidR="0071632C" w:rsidRPr="0071632C" w:rsidRDefault="0071632C" w:rsidP="0071632C">
            <w:pPr>
              <w:spacing w:before="0" w:after="0"/>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Effectiveness</w:t>
            </w:r>
          </w:p>
        </w:tc>
        <w:tc>
          <w:tcPr>
            <w:tcW w:w="0" w:type="auto"/>
            <w:tcBorders>
              <w:top w:val="single" w:sz="4" w:space="0" w:color="auto"/>
              <w:left w:val="nil"/>
              <w:bottom w:val="single" w:sz="4" w:space="0" w:color="auto"/>
              <w:right w:val="single" w:sz="4" w:space="0" w:color="auto"/>
            </w:tcBorders>
            <w:noWrap/>
            <w:vAlign w:val="bottom"/>
            <w:hideMark/>
          </w:tcPr>
          <w:p w14:paraId="3EE52626"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45%</w:t>
            </w:r>
          </w:p>
        </w:tc>
        <w:tc>
          <w:tcPr>
            <w:tcW w:w="0" w:type="auto"/>
            <w:tcBorders>
              <w:top w:val="single" w:sz="4" w:space="0" w:color="auto"/>
              <w:left w:val="nil"/>
              <w:bottom w:val="single" w:sz="4" w:space="0" w:color="auto"/>
              <w:right w:val="single" w:sz="4" w:space="0" w:color="auto"/>
            </w:tcBorders>
            <w:noWrap/>
            <w:vAlign w:val="bottom"/>
            <w:hideMark/>
          </w:tcPr>
          <w:p w14:paraId="77F546C2" w14:textId="095CF43C"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w:t>
            </w:r>
            <w:r w:rsidR="00E812EE">
              <w:rPr>
                <w:rFonts w:ascii="Times New Roman" w:eastAsia="Times New Roman" w:hAnsi="Times New Roman" w:cs="Times New Roman"/>
                <w:noProof/>
                <w:color w:val="000000"/>
                <w:sz w:val="18"/>
                <w:szCs w:val="18"/>
                <w:lang w:val="en-IE" w:eastAsia="en-IE"/>
              </w:rPr>
              <w:t>9</w:t>
            </w:r>
            <w:r w:rsidRPr="0071632C">
              <w:rPr>
                <w:rFonts w:ascii="Times New Roman" w:eastAsia="Times New Roman" w:hAnsi="Times New Roman" w:cs="Times New Roman"/>
                <w:noProof/>
                <w:color w:val="000000"/>
                <w:sz w:val="18"/>
                <w:szCs w:val="18"/>
                <w:lang w:val="en-IE" w:eastAsia="en-IE"/>
              </w:rPr>
              <w:t>0</w:t>
            </w:r>
          </w:p>
        </w:tc>
        <w:tc>
          <w:tcPr>
            <w:tcW w:w="0" w:type="auto"/>
            <w:tcBorders>
              <w:top w:val="single" w:sz="4" w:space="0" w:color="auto"/>
              <w:left w:val="nil"/>
              <w:bottom w:val="single" w:sz="4" w:space="0" w:color="auto"/>
              <w:right w:val="single" w:sz="4" w:space="0" w:color="auto"/>
            </w:tcBorders>
            <w:noWrap/>
            <w:vAlign w:val="bottom"/>
            <w:hideMark/>
          </w:tcPr>
          <w:p w14:paraId="17A88135" w14:textId="16385E5E"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w:t>
            </w:r>
            <w:r w:rsidR="00E812EE">
              <w:rPr>
                <w:rFonts w:ascii="Times New Roman" w:eastAsia="Times New Roman" w:hAnsi="Times New Roman" w:cs="Times New Roman"/>
                <w:noProof/>
                <w:color w:val="000000"/>
                <w:sz w:val="18"/>
                <w:szCs w:val="18"/>
                <w:lang w:val="en-IE" w:eastAsia="en-IE"/>
              </w:rPr>
              <w:t>35</w:t>
            </w:r>
          </w:p>
        </w:tc>
        <w:tc>
          <w:tcPr>
            <w:tcW w:w="0" w:type="auto"/>
            <w:tcBorders>
              <w:top w:val="single" w:sz="4" w:space="0" w:color="auto"/>
              <w:left w:val="nil"/>
              <w:bottom w:val="single" w:sz="4" w:space="0" w:color="auto"/>
              <w:right w:val="single" w:sz="4" w:space="0" w:color="auto"/>
            </w:tcBorders>
            <w:noWrap/>
            <w:vAlign w:val="bottom"/>
            <w:hideMark/>
          </w:tcPr>
          <w:p w14:paraId="36718421" w14:textId="7524A432"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w:t>
            </w:r>
            <w:r w:rsidR="00E812EE">
              <w:rPr>
                <w:rFonts w:ascii="Times New Roman" w:eastAsia="Times New Roman" w:hAnsi="Times New Roman" w:cs="Times New Roman"/>
                <w:noProof/>
                <w:color w:val="000000"/>
                <w:sz w:val="18"/>
                <w:szCs w:val="18"/>
                <w:lang w:val="en-IE" w:eastAsia="en-IE"/>
              </w:rPr>
              <w:t>80</w:t>
            </w:r>
          </w:p>
        </w:tc>
        <w:tc>
          <w:tcPr>
            <w:tcW w:w="0" w:type="auto"/>
            <w:tcBorders>
              <w:top w:val="single" w:sz="4" w:space="0" w:color="auto"/>
              <w:left w:val="nil"/>
              <w:bottom w:val="single" w:sz="4" w:space="0" w:color="auto"/>
              <w:right w:val="single" w:sz="4" w:space="0" w:color="auto"/>
            </w:tcBorders>
            <w:noWrap/>
            <w:vAlign w:val="bottom"/>
            <w:hideMark/>
          </w:tcPr>
          <w:p w14:paraId="3BE6B078"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1.13</w:t>
            </w:r>
          </w:p>
        </w:tc>
        <w:tc>
          <w:tcPr>
            <w:tcW w:w="0" w:type="auto"/>
            <w:tcBorders>
              <w:top w:val="single" w:sz="4" w:space="0" w:color="auto"/>
              <w:left w:val="nil"/>
              <w:bottom w:val="single" w:sz="4" w:space="0" w:color="auto"/>
              <w:right w:val="single" w:sz="4" w:space="0" w:color="auto"/>
            </w:tcBorders>
            <w:noWrap/>
            <w:vAlign w:val="bottom"/>
            <w:hideMark/>
          </w:tcPr>
          <w:p w14:paraId="1C0CB434"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1.58</w:t>
            </w:r>
          </w:p>
        </w:tc>
        <w:tc>
          <w:tcPr>
            <w:tcW w:w="0" w:type="auto"/>
            <w:tcBorders>
              <w:top w:val="single" w:sz="4" w:space="0" w:color="auto"/>
              <w:left w:val="nil"/>
              <w:bottom w:val="single" w:sz="4" w:space="0" w:color="auto"/>
              <w:right w:val="single" w:sz="4" w:space="0" w:color="auto"/>
            </w:tcBorders>
            <w:noWrap/>
            <w:vAlign w:val="bottom"/>
            <w:hideMark/>
          </w:tcPr>
          <w:p w14:paraId="2E69E2BE"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1.58</w:t>
            </w:r>
          </w:p>
        </w:tc>
        <w:tc>
          <w:tcPr>
            <w:tcW w:w="0" w:type="auto"/>
            <w:tcBorders>
              <w:top w:val="single" w:sz="4" w:space="0" w:color="auto"/>
              <w:left w:val="nil"/>
              <w:bottom w:val="single" w:sz="4" w:space="0" w:color="auto"/>
              <w:right w:val="single" w:sz="4" w:space="0" w:color="auto"/>
            </w:tcBorders>
            <w:noWrap/>
            <w:vAlign w:val="bottom"/>
            <w:hideMark/>
          </w:tcPr>
          <w:p w14:paraId="2F2C612D"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0.68</w:t>
            </w:r>
          </w:p>
        </w:tc>
        <w:tc>
          <w:tcPr>
            <w:tcW w:w="0" w:type="auto"/>
            <w:tcBorders>
              <w:top w:val="single" w:sz="4" w:space="0" w:color="auto"/>
              <w:left w:val="nil"/>
              <w:bottom w:val="single" w:sz="4" w:space="0" w:color="auto"/>
              <w:right w:val="single" w:sz="4" w:space="0" w:color="auto"/>
            </w:tcBorders>
            <w:noWrap/>
            <w:vAlign w:val="bottom"/>
            <w:hideMark/>
          </w:tcPr>
          <w:p w14:paraId="5498C022"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1.13</w:t>
            </w:r>
          </w:p>
        </w:tc>
        <w:tc>
          <w:tcPr>
            <w:tcW w:w="0" w:type="auto"/>
            <w:tcBorders>
              <w:top w:val="single" w:sz="4" w:space="0" w:color="auto"/>
              <w:left w:val="nil"/>
              <w:bottom w:val="single" w:sz="4" w:space="0" w:color="auto"/>
              <w:right w:val="single" w:sz="4" w:space="0" w:color="auto"/>
            </w:tcBorders>
            <w:noWrap/>
            <w:vAlign w:val="bottom"/>
            <w:hideMark/>
          </w:tcPr>
          <w:p w14:paraId="030FA874"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1.58</w:t>
            </w:r>
          </w:p>
        </w:tc>
        <w:tc>
          <w:tcPr>
            <w:tcW w:w="0" w:type="auto"/>
            <w:tcBorders>
              <w:top w:val="single" w:sz="4" w:space="0" w:color="auto"/>
              <w:left w:val="nil"/>
              <w:bottom w:val="single" w:sz="4" w:space="0" w:color="auto"/>
              <w:right w:val="single" w:sz="4" w:space="0" w:color="auto"/>
            </w:tcBorders>
            <w:noWrap/>
            <w:vAlign w:val="bottom"/>
            <w:hideMark/>
          </w:tcPr>
          <w:p w14:paraId="0ABE244A"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0.68</w:t>
            </w:r>
          </w:p>
        </w:tc>
        <w:tc>
          <w:tcPr>
            <w:tcW w:w="0" w:type="auto"/>
            <w:tcBorders>
              <w:top w:val="single" w:sz="4" w:space="0" w:color="auto"/>
              <w:left w:val="nil"/>
              <w:bottom w:val="single" w:sz="4" w:space="0" w:color="auto"/>
              <w:right w:val="single" w:sz="4" w:space="0" w:color="auto"/>
            </w:tcBorders>
            <w:noWrap/>
            <w:vAlign w:val="bottom"/>
            <w:hideMark/>
          </w:tcPr>
          <w:p w14:paraId="3B82DC90"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1.13</w:t>
            </w:r>
          </w:p>
        </w:tc>
        <w:tc>
          <w:tcPr>
            <w:tcW w:w="0" w:type="auto"/>
            <w:tcBorders>
              <w:top w:val="single" w:sz="4" w:space="0" w:color="auto"/>
              <w:left w:val="nil"/>
              <w:bottom w:val="single" w:sz="4" w:space="0" w:color="auto"/>
              <w:right w:val="single" w:sz="4" w:space="0" w:color="auto"/>
            </w:tcBorders>
            <w:noWrap/>
            <w:vAlign w:val="bottom"/>
            <w:hideMark/>
          </w:tcPr>
          <w:p w14:paraId="26545B31"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1.58</w:t>
            </w:r>
          </w:p>
        </w:tc>
        <w:tc>
          <w:tcPr>
            <w:tcW w:w="0" w:type="auto"/>
            <w:tcBorders>
              <w:top w:val="single" w:sz="4" w:space="0" w:color="auto"/>
              <w:left w:val="nil"/>
              <w:bottom w:val="single" w:sz="4" w:space="0" w:color="auto"/>
              <w:right w:val="single" w:sz="4" w:space="0" w:color="auto"/>
            </w:tcBorders>
            <w:noWrap/>
            <w:vAlign w:val="bottom"/>
            <w:hideMark/>
          </w:tcPr>
          <w:p w14:paraId="0D3B3E05"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0.45</w:t>
            </w:r>
          </w:p>
        </w:tc>
        <w:tc>
          <w:tcPr>
            <w:tcW w:w="0" w:type="auto"/>
            <w:tcBorders>
              <w:top w:val="single" w:sz="4" w:space="0" w:color="auto"/>
              <w:left w:val="nil"/>
              <w:bottom w:val="single" w:sz="4" w:space="0" w:color="auto"/>
              <w:right w:val="single" w:sz="4" w:space="0" w:color="auto"/>
            </w:tcBorders>
            <w:noWrap/>
            <w:vAlign w:val="bottom"/>
            <w:hideMark/>
          </w:tcPr>
          <w:p w14:paraId="34C709C7"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1.20</w:t>
            </w:r>
          </w:p>
        </w:tc>
        <w:tc>
          <w:tcPr>
            <w:tcW w:w="0" w:type="auto"/>
            <w:tcBorders>
              <w:top w:val="single" w:sz="4" w:space="0" w:color="auto"/>
              <w:left w:val="nil"/>
              <w:bottom w:val="single" w:sz="4" w:space="0" w:color="auto"/>
              <w:right w:val="single" w:sz="4" w:space="0" w:color="auto"/>
            </w:tcBorders>
            <w:noWrap/>
            <w:vAlign w:val="bottom"/>
            <w:hideMark/>
          </w:tcPr>
          <w:p w14:paraId="52CEE777"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1.65</w:t>
            </w:r>
          </w:p>
        </w:tc>
        <w:tc>
          <w:tcPr>
            <w:tcW w:w="0" w:type="auto"/>
            <w:tcBorders>
              <w:top w:val="single" w:sz="4" w:space="0" w:color="auto"/>
              <w:left w:val="nil"/>
              <w:bottom w:val="single" w:sz="4" w:space="0" w:color="auto"/>
              <w:right w:val="single" w:sz="4" w:space="0" w:color="auto"/>
            </w:tcBorders>
            <w:noWrap/>
            <w:vAlign w:val="bottom"/>
            <w:hideMark/>
          </w:tcPr>
          <w:p w14:paraId="6692A7B4"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1.05</w:t>
            </w:r>
          </w:p>
        </w:tc>
        <w:tc>
          <w:tcPr>
            <w:tcW w:w="0" w:type="auto"/>
            <w:tcBorders>
              <w:top w:val="single" w:sz="4" w:space="0" w:color="auto"/>
              <w:left w:val="nil"/>
              <w:bottom w:val="single" w:sz="4" w:space="0" w:color="auto"/>
              <w:right w:val="single" w:sz="4" w:space="0" w:color="auto"/>
            </w:tcBorders>
            <w:noWrap/>
            <w:vAlign w:val="bottom"/>
            <w:hideMark/>
          </w:tcPr>
          <w:p w14:paraId="23389EAD"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1.50</w:t>
            </w:r>
          </w:p>
        </w:tc>
        <w:tc>
          <w:tcPr>
            <w:tcW w:w="0" w:type="auto"/>
            <w:tcBorders>
              <w:top w:val="single" w:sz="4" w:space="0" w:color="auto"/>
              <w:left w:val="nil"/>
              <w:bottom w:val="single" w:sz="4" w:space="0" w:color="auto"/>
              <w:right w:val="single" w:sz="4" w:space="0" w:color="auto"/>
            </w:tcBorders>
            <w:noWrap/>
            <w:vAlign w:val="bottom"/>
            <w:hideMark/>
          </w:tcPr>
          <w:p w14:paraId="4E2C171B"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1.20</w:t>
            </w:r>
          </w:p>
        </w:tc>
        <w:tc>
          <w:tcPr>
            <w:tcW w:w="0" w:type="auto"/>
            <w:tcBorders>
              <w:top w:val="single" w:sz="4" w:space="0" w:color="auto"/>
              <w:left w:val="nil"/>
              <w:bottom w:val="single" w:sz="4" w:space="0" w:color="auto"/>
              <w:right w:val="single" w:sz="4" w:space="0" w:color="auto"/>
            </w:tcBorders>
            <w:noWrap/>
            <w:vAlign w:val="bottom"/>
            <w:hideMark/>
          </w:tcPr>
          <w:p w14:paraId="0C7F52DC" w14:textId="0EA94A9A"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w:t>
            </w:r>
            <w:r w:rsidR="008A1048">
              <w:rPr>
                <w:rFonts w:ascii="Times New Roman" w:eastAsia="Times New Roman" w:hAnsi="Times New Roman" w:cs="Times New Roman"/>
                <w:noProof/>
                <w:color w:val="000000"/>
                <w:sz w:val="18"/>
                <w:szCs w:val="18"/>
                <w:lang w:val="en-IE" w:eastAsia="en-IE"/>
              </w:rPr>
              <w:t>68</w:t>
            </w:r>
          </w:p>
        </w:tc>
        <w:tc>
          <w:tcPr>
            <w:tcW w:w="0" w:type="auto"/>
            <w:tcBorders>
              <w:top w:val="single" w:sz="4" w:space="0" w:color="auto"/>
              <w:left w:val="nil"/>
              <w:bottom w:val="single" w:sz="4" w:space="0" w:color="auto"/>
              <w:right w:val="single" w:sz="4" w:space="0" w:color="auto"/>
            </w:tcBorders>
            <w:noWrap/>
            <w:vAlign w:val="bottom"/>
            <w:hideMark/>
          </w:tcPr>
          <w:p w14:paraId="0B9A728E" w14:textId="0CFE93F9"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w:t>
            </w:r>
            <w:r w:rsidR="008A1048">
              <w:rPr>
                <w:rFonts w:ascii="Times New Roman" w:eastAsia="Times New Roman" w:hAnsi="Times New Roman" w:cs="Times New Roman"/>
                <w:noProof/>
                <w:color w:val="000000"/>
                <w:sz w:val="18"/>
                <w:szCs w:val="18"/>
                <w:lang w:val="en-IE" w:eastAsia="en-IE"/>
              </w:rPr>
              <w:t>13</w:t>
            </w:r>
          </w:p>
        </w:tc>
        <w:tc>
          <w:tcPr>
            <w:tcW w:w="0" w:type="auto"/>
            <w:tcBorders>
              <w:top w:val="single" w:sz="4" w:space="0" w:color="auto"/>
              <w:left w:val="nil"/>
              <w:bottom w:val="single" w:sz="4" w:space="0" w:color="auto"/>
              <w:right w:val="single" w:sz="4" w:space="0" w:color="auto"/>
            </w:tcBorders>
            <w:noWrap/>
            <w:vAlign w:val="bottom"/>
            <w:hideMark/>
          </w:tcPr>
          <w:p w14:paraId="3F2960A4" w14:textId="7D234519"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w:t>
            </w:r>
            <w:r w:rsidR="008A1048">
              <w:rPr>
                <w:rFonts w:ascii="Times New Roman" w:eastAsia="Times New Roman" w:hAnsi="Times New Roman" w:cs="Times New Roman"/>
                <w:noProof/>
                <w:color w:val="000000"/>
                <w:sz w:val="18"/>
                <w:szCs w:val="18"/>
                <w:lang w:val="en-IE" w:eastAsia="en-IE"/>
              </w:rPr>
              <w:t>58</w:t>
            </w:r>
          </w:p>
        </w:tc>
      </w:tr>
      <w:tr w:rsidR="004B3F74" w:rsidRPr="0071632C" w14:paraId="75D4AEAB" w14:textId="77777777" w:rsidTr="0071632C">
        <w:trPr>
          <w:trHeight w:val="288"/>
        </w:trPr>
        <w:tc>
          <w:tcPr>
            <w:tcW w:w="0" w:type="auto"/>
            <w:tcBorders>
              <w:top w:val="nil"/>
              <w:left w:val="single" w:sz="4" w:space="0" w:color="auto"/>
              <w:bottom w:val="single" w:sz="4" w:space="0" w:color="auto"/>
              <w:right w:val="single" w:sz="4" w:space="0" w:color="auto"/>
            </w:tcBorders>
            <w:shd w:val="clear" w:color="000000" w:fill="B4C6E7"/>
            <w:vAlign w:val="center"/>
            <w:hideMark/>
          </w:tcPr>
          <w:p w14:paraId="49A74EE3" w14:textId="77777777" w:rsidR="0071632C" w:rsidRPr="0071632C" w:rsidRDefault="0071632C" w:rsidP="0071632C">
            <w:pPr>
              <w:spacing w:before="0" w:after="0"/>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Efficiency</w:t>
            </w:r>
          </w:p>
        </w:tc>
        <w:tc>
          <w:tcPr>
            <w:tcW w:w="0" w:type="auto"/>
            <w:tcBorders>
              <w:top w:val="nil"/>
              <w:left w:val="nil"/>
              <w:bottom w:val="single" w:sz="4" w:space="0" w:color="auto"/>
              <w:right w:val="single" w:sz="4" w:space="0" w:color="auto"/>
            </w:tcBorders>
            <w:noWrap/>
            <w:vAlign w:val="bottom"/>
            <w:hideMark/>
          </w:tcPr>
          <w:p w14:paraId="328A38F3"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45%</w:t>
            </w:r>
          </w:p>
        </w:tc>
        <w:tc>
          <w:tcPr>
            <w:tcW w:w="0" w:type="auto"/>
            <w:tcBorders>
              <w:top w:val="nil"/>
              <w:left w:val="nil"/>
              <w:bottom w:val="single" w:sz="4" w:space="0" w:color="auto"/>
              <w:right w:val="single" w:sz="4" w:space="0" w:color="auto"/>
            </w:tcBorders>
            <w:noWrap/>
            <w:vAlign w:val="bottom"/>
            <w:hideMark/>
          </w:tcPr>
          <w:p w14:paraId="7BB79DFC"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0.64</w:t>
            </w:r>
          </w:p>
        </w:tc>
        <w:tc>
          <w:tcPr>
            <w:tcW w:w="0" w:type="auto"/>
            <w:tcBorders>
              <w:top w:val="nil"/>
              <w:left w:val="nil"/>
              <w:bottom w:val="single" w:sz="4" w:space="0" w:color="auto"/>
              <w:right w:val="single" w:sz="4" w:space="0" w:color="auto"/>
            </w:tcBorders>
            <w:noWrap/>
            <w:vAlign w:val="bottom"/>
            <w:hideMark/>
          </w:tcPr>
          <w:p w14:paraId="4E34D956"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0.86</w:t>
            </w:r>
          </w:p>
        </w:tc>
        <w:tc>
          <w:tcPr>
            <w:tcW w:w="0" w:type="auto"/>
            <w:tcBorders>
              <w:top w:val="nil"/>
              <w:left w:val="nil"/>
              <w:bottom w:val="single" w:sz="4" w:space="0" w:color="auto"/>
              <w:right w:val="single" w:sz="4" w:space="0" w:color="auto"/>
            </w:tcBorders>
            <w:noWrap/>
            <w:vAlign w:val="bottom"/>
            <w:hideMark/>
          </w:tcPr>
          <w:p w14:paraId="5C829DC5" w14:textId="6E500B25" w:rsidR="0071632C" w:rsidRPr="0071632C" w:rsidRDefault="00E812EE" w:rsidP="0071632C">
            <w:pPr>
              <w:spacing w:before="0" w:after="0"/>
              <w:jc w:val="center"/>
              <w:rPr>
                <w:rFonts w:ascii="Times New Roman" w:eastAsia="Times New Roman" w:hAnsi="Times New Roman" w:cs="Times New Roman"/>
                <w:noProof/>
                <w:color w:val="000000"/>
                <w:sz w:val="18"/>
                <w:szCs w:val="18"/>
                <w:lang w:val="en-IE" w:eastAsia="en-IE"/>
              </w:rPr>
            </w:pPr>
            <w:r>
              <w:rPr>
                <w:rFonts w:ascii="Times New Roman" w:eastAsia="Times New Roman" w:hAnsi="Times New Roman" w:cs="Times New Roman"/>
                <w:noProof/>
                <w:color w:val="000000"/>
                <w:sz w:val="18"/>
                <w:szCs w:val="18"/>
                <w:lang w:val="en-IE" w:eastAsia="en-IE"/>
              </w:rPr>
              <w:t>1</w:t>
            </w:r>
            <w:r w:rsidR="0071632C" w:rsidRPr="0071632C">
              <w:rPr>
                <w:rFonts w:ascii="Times New Roman" w:eastAsia="Times New Roman" w:hAnsi="Times New Roman" w:cs="Times New Roman"/>
                <w:noProof/>
                <w:color w:val="000000"/>
                <w:sz w:val="18"/>
                <w:szCs w:val="18"/>
                <w:lang w:val="en-IE" w:eastAsia="en-IE"/>
              </w:rPr>
              <w:t>.</w:t>
            </w:r>
            <w:r>
              <w:rPr>
                <w:rFonts w:ascii="Times New Roman" w:eastAsia="Times New Roman" w:hAnsi="Times New Roman" w:cs="Times New Roman"/>
                <w:noProof/>
                <w:color w:val="000000"/>
                <w:sz w:val="18"/>
                <w:szCs w:val="18"/>
                <w:lang w:val="en-IE" w:eastAsia="en-IE"/>
              </w:rPr>
              <w:t>0</w:t>
            </w:r>
            <w:r w:rsidR="0071632C" w:rsidRPr="0071632C">
              <w:rPr>
                <w:rFonts w:ascii="Times New Roman" w:eastAsia="Times New Roman" w:hAnsi="Times New Roman" w:cs="Times New Roman"/>
                <w:noProof/>
                <w:color w:val="000000"/>
                <w:sz w:val="18"/>
                <w:szCs w:val="18"/>
                <w:lang w:val="en-IE" w:eastAsia="en-IE"/>
              </w:rPr>
              <w:t>5</w:t>
            </w:r>
          </w:p>
        </w:tc>
        <w:tc>
          <w:tcPr>
            <w:tcW w:w="0" w:type="auto"/>
            <w:tcBorders>
              <w:top w:val="nil"/>
              <w:left w:val="nil"/>
              <w:bottom w:val="single" w:sz="4" w:space="0" w:color="auto"/>
              <w:right w:val="single" w:sz="4" w:space="0" w:color="auto"/>
            </w:tcBorders>
            <w:noWrap/>
            <w:vAlign w:val="bottom"/>
            <w:hideMark/>
          </w:tcPr>
          <w:p w14:paraId="19EB6D21"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0.71</w:t>
            </w:r>
          </w:p>
        </w:tc>
        <w:tc>
          <w:tcPr>
            <w:tcW w:w="0" w:type="auto"/>
            <w:tcBorders>
              <w:top w:val="nil"/>
              <w:left w:val="nil"/>
              <w:bottom w:val="single" w:sz="4" w:space="0" w:color="auto"/>
              <w:right w:val="single" w:sz="4" w:space="0" w:color="auto"/>
            </w:tcBorders>
            <w:noWrap/>
            <w:vAlign w:val="bottom"/>
            <w:hideMark/>
          </w:tcPr>
          <w:p w14:paraId="77C6474D"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0.98</w:t>
            </w:r>
          </w:p>
        </w:tc>
        <w:tc>
          <w:tcPr>
            <w:tcW w:w="0" w:type="auto"/>
            <w:tcBorders>
              <w:top w:val="nil"/>
              <w:left w:val="nil"/>
              <w:bottom w:val="single" w:sz="4" w:space="0" w:color="auto"/>
              <w:right w:val="single" w:sz="4" w:space="0" w:color="auto"/>
            </w:tcBorders>
            <w:noWrap/>
            <w:vAlign w:val="bottom"/>
            <w:hideMark/>
          </w:tcPr>
          <w:p w14:paraId="0CAA5DA5" w14:textId="6CE196E9"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0.9</w:t>
            </w:r>
            <w:r w:rsidR="00513F68">
              <w:rPr>
                <w:rFonts w:ascii="Times New Roman" w:eastAsia="Times New Roman" w:hAnsi="Times New Roman" w:cs="Times New Roman"/>
                <w:noProof/>
                <w:color w:val="000000"/>
                <w:sz w:val="18"/>
                <w:szCs w:val="18"/>
                <w:lang w:val="en-IE" w:eastAsia="en-IE"/>
              </w:rPr>
              <w:t>4</w:t>
            </w:r>
          </w:p>
        </w:tc>
        <w:tc>
          <w:tcPr>
            <w:tcW w:w="0" w:type="auto"/>
            <w:tcBorders>
              <w:top w:val="nil"/>
              <w:left w:val="nil"/>
              <w:bottom w:val="single" w:sz="4" w:space="0" w:color="auto"/>
              <w:right w:val="single" w:sz="4" w:space="0" w:color="auto"/>
            </w:tcBorders>
            <w:noWrap/>
            <w:vAlign w:val="bottom"/>
            <w:hideMark/>
          </w:tcPr>
          <w:p w14:paraId="7ED74267"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0.45</w:t>
            </w:r>
          </w:p>
        </w:tc>
        <w:tc>
          <w:tcPr>
            <w:tcW w:w="0" w:type="auto"/>
            <w:tcBorders>
              <w:top w:val="nil"/>
              <w:left w:val="nil"/>
              <w:bottom w:val="single" w:sz="4" w:space="0" w:color="auto"/>
              <w:right w:val="single" w:sz="4" w:space="0" w:color="auto"/>
            </w:tcBorders>
            <w:noWrap/>
            <w:vAlign w:val="bottom"/>
            <w:hideMark/>
          </w:tcPr>
          <w:p w14:paraId="231B63DA"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0.68</w:t>
            </w:r>
          </w:p>
        </w:tc>
        <w:tc>
          <w:tcPr>
            <w:tcW w:w="0" w:type="auto"/>
            <w:tcBorders>
              <w:top w:val="nil"/>
              <w:left w:val="nil"/>
              <w:bottom w:val="single" w:sz="4" w:space="0" w:color="auto"/>
              <w:right w:val="single" w:sz="4" w:space="0" w:color="auto"/>
            </w:tcBorders>
            <w:noWrap/>
            <w:vAlign w:val="bottom"/>
            <w:hideMark/>
          </w:tcPr>
          <w:p w14:paraId="6CD2748A"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0.94</w:t>
            </w:r>
          </w:p>
        </w:tc>
        <w:tc>
          <w:tcPr>
            <w:tcW w:w="0" w:type="auto"/>
            <w:tcBorders>
              <w:top w:val="nil"/>
              <w:left w:val="nil"/>
              <w:bottom w:val="single" w:sz="4" w:space="0" w:color="auto"/>
              <w:right w:val="single" w:sz="4" w:space="0" w:color="auto"/>
            </w:tcBorders>
            <w:noWrap/>
            <w:vAlign w:val="bottom"/>
            <w:hideMark/>
          </w:tcPr>
          <w:p w14:paraId="60CDC3DF"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0.53</w:t>
            </w:r>
          </w:p>
        </w:tc>
        <w:tc>
          <w:tcPr>
            <w:tcW w:w="0" w:type="auto"/>
            <w:tcBorders>
              <w:top w:val="nil"/>
              <w:left w:val="nil"/>
              <w:bottom w:val="single" w:sz="4" w:space="0" w:color="auto"/>
              <w:right w:val="single" w:sz="4" w:space="0" w:color="auto"/>
            </w:tcBorders>
            <w:noWrap/>
            <w:vAlign w:val="bottom"/>
            <w:hideMark/>
          </w:tcPr>
          <w:p w14:paraId="50E03806"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0.83</w:t>
            </w:r>
          </w:p>
        </w:tc>
        <w:tc>
          <w:tcPr>
            <w:tcW w:w="0" w:type="auto"/>
            <w:tcBorders>
              <w:top w:val="nil"/>
              <w:left w:val="nil"/>
              <w:bottom w:val="single" w:sz="4" w:space="0" w:color="auto"/>
              <w:right w:val="single" w:sz="4" w:space="0" w:color="auto"/>
            </w:tcBorders>
            <w:noWrap/>
            <w:vAlign w:val="bottom"/>
            <w:hideMark/>
          </w:tcPr>
          <w:p w14:paraId="44D21B3E"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1.13</w:t>
            </w:r>
          </w:p>
        </w:tc>
        <w:tc>
          <w:tcPr>
            <w:tcW w:w="0" w:type="auto"/>
            <w:tcBorders>
              <w:top w:val="nil"/>
              <w:left w:val="nil"/>
              <w:bottom w:val="single" w:sz="4" w:space="0" w:color="auto"/>
              <w:right w:val="single" w:sz="4" w:space="0" w:color="auto"/>
            </w:tcBorders>
            <w:noWrap/>
            <w:vAlign w:val="bottom"/>
            <w:hideMark/>
          </w:tcPr>
          <w:p w14:paraId="4B6BE3ED"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0513E31A"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0.68</w:t>
            </w:r>
          </w:p>
        </w:tc>
        <w:tc>
          <w:tcPr>
            <w:tcW w:w="0" w:type="auto"/>
            <w:tcBorders>
              <w:top w:val="nil"/>
              <w:left w:val="nil"/>
              <w:bottom w:val="single" w:sz="4" w:space="0" w:color="auto"/>
              <w:right w:val="single" w:sz="4" w:space="0" w:color="auto"/>
            </w:tcBorders>
            <w:noWrap/>
            <w:vAlign w:val="bottom"/>
            <w:hideMark/>
          </w:tcPr>
          <w:p w14:paraId="66FC146A"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0.98</w:t>
            </w:r>
          </w:p>
        </w:tc>
        <w:tc>
          <w:tcPr>
            <w:tcW w:w="0" w:type="auto"/>
            <w:tcBorders>
              <w:top w:val="nil"/>
              <w:left w:val="nil"/>
              <w:bottom w:val="single" w:sz="4" w:space="0" w:color="auto"/>
              <w:right w:val="single" w:sz="4" w:space="0" w:color="auto"/>
            </w:tcBorders>
            <w:noWrap/>
            <w:vAlign w:val="bottom"/>
            <w:hideMark/>
          </w:tcPr>
          <w:p w14:paraId="6FA81AA5"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0.53</w:t>
            </w:r>
          </w:p>
        </w:tc>
        <w:tc>
          <w:tcPr>
            <w:tcW w:w="0" w:type="auto"/>
            <w:tcBorders>
              <w:top w:val="nil"/>
              <w:left w:val="nil"/>
              <w:bottom w:val="single" w:sz="4" w:space="0" w:color="auto"/>
              <w:right w:val="single" w:sz="4" w:space="0" w:color="auto"/>
            </w:tcBorders>
            <w:noWrap/>
            <w:vAlign w:val="bottom"/>
            <w:hideMark/>
          </w:tcPr>
          <w:p w14:paraId="1F131A9D"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1.05</w:t>
            </w:r>
          </w:p>
        </w:tc>
        <w:tc>
          <w:tcPr>
            <w:tcW w:w="0" w:type="auto"/>
            <w:tcBorders>
              <w:top w:val="nil"/>
              <w:left w:val="nil"/>
              <w:bottom w:val="single" w:sz="4" w:space="0" w:color="auto"/>
              <w:right w:val="single" w:sz="4" w:space="0" w:color="auto"/>
            </w:tcBorders>
            <w:noWrap/>
            <w:vAlign w:val="bottom"/>
            <w:hideMark/>
          </w:tcPr>
          <w:p w14:paraId="3AF0B773"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0.60</w:t>
            </w:r>
          </w:p>
        </w:tc>
        <w:tc>
          <w:tcPr>
            <w:tcW w:w="0" w:type="auto"/>
            <w:tcBorders>
              <w:top w:val="nil"/>
              <w:left w:val="nil"/>
              <w:bottom w:val="single" w:sz="4" w:space="0" w:color="auto"/>
              <w:right w:val="single" w:sz="4" w:space="0" w:color="auto"/>
            </w:tcBorders>
            <w:noWrap/>
            <w:vAlign w:val="bottom"/>
            <w:hideMark/>
          </w:tcPr>
          <w:p w14:paraId="3FBA9C61"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0.60</w:t>
            </w:r>
          </w:p>
        </w:tc>
        <w:tc>
          <w:tcPr>
            <w:tcW w:w="0" w:type="auto"/>
            <w:tcBorders>
              <w:top w:val="nil"/>
              <w:left w:val="nil"/>
              <w:bottom w:val="single" w:sz="4" w:space="0" w:color="auto"/>
              <w:right w:val="single" w:sz="4" w:space="0" w:color="auto"/>
            </w:tcBorders>
            <w:noWrap/>
            <w:vAlign w:val="bottom"/>
            <w:hideMark/>
          </w:tcPr>
          <w:p w14:paraId="750E1AC3"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0.86</w:t>
            </w:r>
          </w:p>
        </w:tc>
        <w:tc>
          <w:tcPr>
            <w:tcW w:w="0" w:type="auto"/>
            <w:tcBorders>
              <w:top w:val="nil"/>
              <w:left w:val="nil"/>
              <w:bottom w:val="single" w:sz="4" w:space="0" w:color="auto"/>
              <w:right w:val="single" w:sz="4" w:space="0" w:color="auto"/>
            </w:tcBorders>
            <w:noWrap/>
            <w:vAlign w:val="bottom"/>
            <w:hideMark/>
          </w:tcPr>
          <w:p w14:paraId="3925AFC3"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1.09</w:t>
            </w:r>
          </w:p>
        </w:tc>
      </w:tr>
      <w:tr w:rsidR="004B3F74" w:rsidRPr="0071632C" w14:paraId="4AA14884" w14:textId="77777777" w:rsidTr="0071632C">
        <w:trPr>
          <w:trHeight w:val="288"/>
        </w:trPr>
        <w:tc>
          <w:tcPr>
            <w:tcW w:w="0" w:type="auto"/>
            <w:tcBorders>
              <w:top w:val="nil"/>
              <w:left w:val="single" w:sz="4" w:space="0" w:color="auto"/>
              <w:bottom w:val="single" w:sz="4" w:space="0" w:color="auto"/>
              <w:right w:val="single" w:sz="4" w:space="0" w:color="auto"/>
            </w:tcBorders>
            <w:shd w:val="clear" w:color="000000" w:fill="B4C6E7"/>
            <w:vAlign w:val="center"/>
            <w:hideMark/>
          </w:tcPr>
          <w:p w14:paraId="7B3DC65C" w14:textId="77777777" w:rsidR="0071632C" w:rsidRPr="0071632C" w:rsidRDefault="0071632C" w:rsidP="0071632C">
            <w:pPr>
              <w:spacing w:before="0" w:after="0"/>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Coherence</w:t>
            </w:r>
          </w:p>
        </w:tc>
        <w:tc>
          <w:tcPr>
            <w:tcW w:w="0" w:type="auto"/>
            <w:tcBorders>
              <w:top w:val="nil"/>
              <w:left w:val="nil"/>
              <w:bottom w:val="single" w:sz="4" w:space="0" w:color="auto"/>
              <w:right w:val="single" w:sz="4" w:space="0" w:color="auto"/>
            </w:tcBorders>
            <w:noWrap/>
            <w:vAlign w:val="bottom"/>
            <w:hideMark/>
          </w:tcPr>
          <w:p w14:paraId="0BEFBB86"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10%</w:t>
            </w:r>
          </w:p>
        </w:tc>
        <w:tc>
          <w:tcPr>
            <w:tcW w:w="0" w:type="auto"/>
            <w:tcBorders>
              <w:top w:val="nil"/>
              <w:left w:val="nil"/>
              <w:bottom w:val="single" w:sz="4" w:space="0" w:color="auto"/>
              <w:right w:val="single" w:sz="4" w:space="0" w:color="auto"/>
            </w:tcBorders>
            <w:noWrap/>
            <w:vAlign w:val="bottom"/>
            <w:hideMark/>
          </w:tcPr>
          <w:p w14:paraId="06F9C027"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364D3BAF"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c>
          <w:tcPr>
            <w:tcW w:w="0" w:type="auto"/>
            <w:tcBorders>
              <w:top w:val="nil"/>
              <w:left w:val="nil"/>
              <w:bottom w:val="single" w:sz="4" w:space="0" w:color="auto"/>
              <w:right w:val="single" w:sz="4" w:space="0" w:color="auto"/>
            </w:tcBorders>
            <w:noWrap/>
            <w:vAlign w:val="bottom"/>
            <w:hideMark/>
          </w:tcPr>
          <w:p w14:paraId="4BF78629"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c>
          <w:tcPr>
            <w:tcW w:w="0" w:type="auto"/>
            <w:tcBorders>
              <w:top w:val="nil"/>
              <w:left w:val="nil"/>
              <w:bottom w:val="single" w:sz="4" w:space="0" w:color="auto"/>
              <w:right w:val="single" w:sz="4" w:space="0" w:color="auto"/>
            </w:tcBorders>
            <w:noWrap/>
            <w:vAlign w:val="bottom"/>
            <w:hideMark/>
          </w:tcPr>
          <w:p w14:paraId="71E2A7B6"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1F48E2A3"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c>
          <w:tcPr>
            <w:tcW w:w="0" w:type="auto"/>
            <w:tcBorders>
              <w:top w:val="nil"/>
              <w:left w:val="nil"/>
              <w:bottom w:val="single" w:sz="4" w:space="0" w:color="auto"/>
              <w:right w:val="single" w:sz="4" w:space="0" w:color="auto"/>
            </w:tcBorders>
            <w:noWrap/>
            <w:vAlign w:val="bottom"/>
            <w:hideMark/>
          </w:tcPr>
          <w:p w14:paraId="4A2B41E2"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c>
          <w:tcPr>
            <w:tcW w:w="0" w:type="auto"/>
            <w:tcBorders>
              <w:top w:val="nil"/>
              <w:left w:val="nil"/>
              <w:bottom w:val="single" w:sz="4" w:space="0" w:color="auto"/>
              <w:right w:val="single" w:sz="4" w:space="0" w:color="auto"/>
            </w:tcBorders>
            <w:noWrap/>
            <w:vAlign w:val="bottom"/>
            <w:hideMark/>
          </w:tcPr>
          <w:p w14:paraId="788B5D8E"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1591045A"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c>
          <w:tcPr>
            <w:tcW w:w="0" w:type="auto"/>
            <w:tcBorders>
              <w:top w:val="nil"/>
              <w:left w:val="nil"/>
              <w:bottom w:val="single" w:sz="4" w:space="0" w:color="auto"/>
              <w:right w:val="single" w:sz="4" w:space="0" w:color="auto"/>
            </w:tcBorders>
            <w:noWrap/>
            <w:vAlign w:val="bottom"/>
            <w:hideMark/>
          </w:tcPr>
          <w:p w14:paraId="7760BC98"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0.50</w:t>
            </w:r>
          </w:p>
        </w:tc>
        <w:tc>
          <w:tcPr>
            <w:tcW w:w="0" w:type="auto"/>
            <w:tcBorders>
              <w:top w:val="nil"/>
              <w:left w:val="nil"/>
              <w:bottom w:val="single" w:sz="4" w:space="0" w:color="auto"/>
              <w:right w:val="single" w:sz="4" w:space="0" w:color="auto"/>
            </w:tcBorders>
            <w:noWrap/>
            <w:vAlign w:val="bottom"/>
            <w:hideMark/>
          </w:tcPr>
          <w:p w14:paraId="5530137F"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0.20</w:t>
            </w:r>
          </w:p>
        </w:tc>
        <w:tc>
          <w:tcPr>
            <w:tcW w:w="0" w:type="auto"/>
            <w:tcBorders>
              <w:top w:val="nil"/>
              <w:left w:val="nil"/>
              <w:bottom w:val="single" w:sz="4" w:space="0" w:color="auto"/>
              <w:right w:val="single" w:sz="4" w:space="0" w:color="auto"/>
            </w:tcBorders>
            <w:noWrap/>
            <w:vAlign w:val="bottom"/>
            <w:hideMark/>
          </w:tcPr>
          <w:p w14:paraId="3068C7C7"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3EC4F290"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c>
          <w:tcPr>
            <w:tcW w:w="0" w:type="auto"/>
            <w:tcBorders>
              <w:top w:val="nil"/>
              <w:left w:val="nil"/>
              <w:bottom w:val="single" w:sz="4" w:space="0" w:color="auto"/>
              <w:right w:val="single" w:sz="4" w:space="0" w:color="auto"/>
            </w:tcBorders>
            <w:noWrap/>
            <w:vAlign w:val="bottom"/>
            <w:hideMark/>
          </w:tcPr>
          <w:p w14:paraId="249A4CEA"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4E85753D"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70EF82E5"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c>
          <w:tcPr>
            <w:tcW w:w="0" w:type="auto"/>
            <w:tcBorders>
              <w:top w:val="nil"/>
              <w:left w:val="nil"/>
              <w:bottom w:val="single" w:sz="4" w:space="0" w:color="auto"/>
              <w:right w:val="single" w:sz="4" w:space="0" w:color="auto"/>
            </w:tcBorders>
            <w:noWrap/>
            <w:vAlign w:val="bottom"/>
            <w:hideMark/>
          </w:tcPr>
          <w:p w14:paraId="2F7D6DF3"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79EFC656"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c>
          <w:tcPr>
            <w:tcW w:w="0" w:type="auto"/>
            <w:tcBorders>
              <w:top w:val="nil"/>
              <w:left w:val="nil"/>
              <w:bottom w:val="single" w:sz="4" w:space="0" w:color="auto"/>
              <w:right w:val="single" w:sz="4" w:space="0" w:color="auto"/>
            </w:tcBorders>
            <w:noWrap/>
            <w:vAlign w:val="bottom"/>
            <w:hideMark/>
          </w:tcPr>
          <w:p w14:paraId="7E98C0E2"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452C90D1"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0.20</w:t>
            </w:r>
          </w:p>
        </w:tc>
        <w:tc>
          <w:tcPr>
            <w:tcW w:w="0" w:type="auto"/>
            <w:tcBorders>
              <w:top w:val="nil"/>
              <w:left w:val="nil"/>
              <w:bottom w:val="single" w:sz="4" w:space="0" w:color="auto"/>
              <w:right w:val="single" w:sz="4" w:space="0" w:color="auto"/>
            </w:tcBorders>
            <w:noWrap/>
            <w:vAlign w:val="bottom"/>
            <w:hideMark/>
          </w:tcPr>
          <w:p w14:paraId="59BC7F5C"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0.30</w:t>
            </w:r>
          </w:p>
        </w:tc>
        <w:tc>
          <w:tcPr>
            <w:tcW w:w="0" w:type="auto"/>
            <w:tcBorders>
              <w:top w:val="nil"/>
              <w:left w:val="nil"/>
              <w:bottom w:val="single" w:sz="4" w:space="0" w:color="auto"/>
              <w:right w:val="single" w:sz="4" w:space="0" w:color="auto"/>
            </w:tcBorders>
            <w:noWrap/>
            <w:vAlign w:val="bottom"/>
            <w:hideMark/>
          </w:tcPr>
          <w:p w14:paraId="2F6ED9AB" w14:textId="77777777" w:rsidR="0071632C" w:rsidRPr="0071632C" w:rsidRDefault="0071632C" w:rsidP="0071632C">
            <w:pPr>
              <w:spacing w:before="0" w:after="0"/>
              <w:jc w:val="center"/>
              <w:rPr>
                <w:rFonts w:ascii="Times New Roman" w:eastAsia="Times New Roman" w:hAnsi="Times New Roman" w:cs="Times New Roman"/>
                <w:noProof/>
                <w:color w:val="000000"/>
                <w:sz w:val="18"/>
                <w:szCs w:val="18"/>
                <w:lang w:val="en-IE" w:eastAsia="en-IE"/>
              </w:rPr>
            </w:pPr>
            <w:r w:rsidRPr="0071632C">
              <w:rPr>
                <w:rFonts w:ascii="Times New Roman" w:eastAsia="Times New Roman" w:hAnsi="Times New Roman" w:cs="Times New Roman"/>
                <w:noProof/>
                <w:color w:val="000000"/>
                <w:sz w:val="18"/>
                <w:szCs w:val="18"/>
                <w:lang w:val="en-IE" w:eastAsia="en-IE"/>
              </w:rPr>
              <w:t>0.40</w:t>
            </w:r>
          </w:p>
        </w:tc>
      </w:tr>
      <w:tr w:rsidR="00D94C8D" w:rsidRPr="0071632C" w14:paraId="78C52458" w14:textId="77777777" w:rsidTr="0071632C">
        <w:trPr>
          <w:trHeight w:val="288"/>
        </w:trPr>
        <w:tc>
          <w:tcPr>
            <w:tcW w:w="0" w:type="auto"/>
            <w:tcBorders>
              <w:top w:val="nil"/>
              <w:left w:val="single" w:sz="4" w:space="0" w:color="auto"/>
              <w:bottom w:val="single" w:sz="4" w:space="0" w:color="auto"/>
              <w:right w:val="single" w:sz="4" w:space="0" w:color="auto"/>
            </w:tcBorders>
            <w:shd w:val="clear" w:color="000000" w:fill="B4C6E7"/>
            <w:vAlign w:val="center"/>
            <w:hideMark/>
          </w:tcPr>
          <w:p w14:paraId="2867D02A" w14:textId="77777777" w:rsidR="0071632C" w:rsidRPr="0071632C" w:rsidRDefault="0071632C" w:rsidP="0071632C">
            <w:pPr>
              <w:spacing w:before="0" w:after="0"/>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Total</w:t>
            </w:r>
          </w:p>
        </w:tc>
        <w:tc>
          <w:tcPr>
            <w:tcW w:w="0" w:type="auto"/>
            <w:tcBorders>
              <w:top w:val="nil"/>
              <w:left w:val="nil"/>
              <w:bottom w:val="single" w:sz="4" w:space="0" w:color="auto"/>
              <w:right w:val="single" w:sz="4" w:space="0" w:color="auto"/>
            </w:tcBorders>
            <w:noWrap/>
            <w:vAlign w:val="bottom"/>
            <w:hideMark/>
          </w:tcPr>
          <w:p w14:paraId="31A9976D"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100%</w:t>
            </w:r>
          </w:p>
        </w:tc>
        <w:tc>
          <w:tcPr>
            <w:tcW w:w="0" w:type="auto"/>
            <w:tcBorders>
              <w:top w:val="nil"/>
              <w:left w:val="nil"/>
              <w:bottom w:val="single" w:sz="4" w:space="0" w:color="auto"/>
              <w:right w:val="single" w:sz="4" w:space="0" w:color="auto"/>
            </w:tcBorders>
            <w:shd w:val="clear" w:color="000000" w:fill="FCE4D6"/>
            <w:noWrap/>
            <w:vAlign w:val="bottom"/>
            <w:hideMark/>
          </w:tcPr>
          <w:p w14:paraId="522304F7" w14:textId="4EB00FE5"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1.</w:t>
            </w:r>
            <w:r w:rsidR="00E812EE">
              <w:rPr>
                <w:rFonts w:ascii="Times New Roman" w:eastAsia="Times New Roman" w:hAnsi="Times New Roman" w:cs="Times New Roman"/>
                <w:b/>
                <w:bCs/>
                <w:noProof/>
                <w:color w:val="000000"/>
                <w:sz w:val="18"/>
                <w:szCs w:val="18"/>
                <w:lang w:val="en-IE" w:eastAsia="en-IE"/>
              </w:rPr>
              <w:t>8</w:t>
            </w:r>
            <w:r w:rsidRPr="0071632C">
              <w:rPr>
                <w:rFonts w:ascii="Times New Roman" w:eastAsia="Times New Roman" w:hAnsi="Times New Roman" w:cs="Times New Roman"/>
                <w:b/>
                <w:bCs/>
                <w:noProof/>
                <w:color w:val="000000"/>
                <w:sz w:val="18"/>
                <w:szCs w:val="18"/>
                <w:lang w:val="en-IE" w:eastAsia="en-IE"/>
              </w:rPr>
              <w:t>4</w:t>
            </w:r>
          </w:p>
        </w:tc>
        <w:tc>
          <w:tcPr>
            <w:tcW w:w="0" w:type="auto"/>
            <w:tcBorders>
              <w:top w:val="nil"/>
              <w:left w:val="nil"/>
              <w:bottom w:val="single" w:sz="4" w:space="0" w:color="auto"/>
              <w:right w:val="single" w:sz="4" w:space="0" w:color="auto"/>
            </w:tcBorders>
            <w:shd w:val="clear" w:color="000000" w:fill="FCE4D6"/>
            <w:noWrap/>
            <w:vAlign w:val="bottom"/>
            <w:hideMark/>
          </w:tcPr>
          <w:p w14:paraId="248265CD" w14:textId="064AC175"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2.6</w:t>
            </w:r>
            <w:r w:rsidR="00E812EE">
              <w:rPr>
                <w:rFonts w:ascii="Times New Roman" w:eastAsia="Times New Roman" w:hAnsi="Times New Roman" w:cs="Times New Roman"/>
                <w:b/>
                <w:bCs/>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000000" w:fill="FCE4D6"/>
            <w:noWrap/>
            <w:vAlign w:val="bottom"/>
            <w:hideMark/>
          </w:tcPr>
          <w:p w14:paraId="39883CCB" w14:textId="3DD2DEB7" w:rsidR="0071632C" w:rsidRPr="0071632C" w:rsidRDefault="00E812EE" w:rsidP="0071632C">
            <w:pPr>
              <w:spacing w:before="0" w:after="0"/>
              <w:jc w:val="center"/>
              <w:rPr>
                <w:rFonts w:ascii="Times New Roman" w:eastAsia="Times New Roman" w:hAnsi="Times New Roman" w:cs="Times New Roman"/>
                <w:b/>
                <w:bCs/>
                <w:noProof/>
                <w:color w:val="000000"/>
                <w:sz w:val="18"/>
                <w:szCs w:val="18"/>
                <w:lang w:val="en-IE" w:eastAsia="en-IE"/>
              </w:rPr>
            </w:pPr>
            <w:r>
              <w:rPr>
                <w:rFonts w:ascii="Times New Roman" w:eastAsia="Times New Roman" w:hAnsi="Times New Roman" w:cs="Times New Roman"/>
                <w:b/>
                <w:bCs/>
                <w:noProof/>
                <w:color w:val="000000"/>
                <w:sz w:val="18"/>
                <w:szCs w:val="18"/>
                <w:lang w:val="en-IE" w:eastAsia="en-IE"/>
              </w:rPr>
              <w:t>3</w:t>
            </w:r>
            <w:r w:rsidR="0071632C" w:rsidRPr="0071632C">
              <w:rPr>
                <w:rFonts w:ascii="Times New Roman" w:eastAsia="Times New Roman" w:hAnsi="Times New Roman" w:cs="Times New Roman"/>
                <w:b/>
                <w:bCs/>
                <w:noProof/>
                <w:color w:val="000000"/>
                <w:sz w:val="18"/>
                <w:szCs w:val="18"/>
                <w:lang w:val="en-IE" w:eastAsia="en-IE"/>
              </w:rPr>
              <w:t>.</w:t>
            </w:r>
            <w:r>
              <w:rPr>
                <w:rFonts w:ascii="Times New Roman" w:eastAsia="Times New Roman" w:hAnsi="Times New Roman" w:cs="Times New Roman"/>
                <w:b/>
                <w:bCs/>
                <w:noProof/>
                <w:color w:val="000000"/>
                <w:sz w:val="18"/>
                <w:szCs w:val="18"/>
                <w:lang w:val="en-IE" w:eastAsia="en-IE"/>
              </w:rPr>
              <w:t>2</w:t>
            </w:r>
            <w:r w:rsidR="0071632C" w:rsidRPr="0071632C">
              <w:rPr>
                <w:rFonts w:ascii="Times New Roman" w:eastAsia="Times New Roman" w:hAnsi="Times New Roman" w:cs="Times New Roman"/>
                <w:b/>
                <w:bCs/>
                <w:noProof/>
                <w:color w:val="000000"/>
                <w:sz w:val="18"/>
                <w:szCs w:val="18"/>
                <w:lang w:val="en-IE" w:eastAsia="en-IE"/>
              </w:rPr>
              <w:t>5</w:t>
            </w:r>
          </w:p>
        </w:tc>
        <w:tc>
          <w:tcPr>
            <w:tcW w:w="0" w:type="auto"/>
            <w:tcBorders>
              <w:top w:val="nil"/>
              <w:left w:val="nil"/>
              <w:bottom w:val="single" w:sz="4" w:space="0" w:color="auto"/>
              <w:right w:val="single" w:sz="4" w:space="0" w:color="auto"/>
            </w:tcBorders>
            <w:shd w:val="clear" w:color="000000" w:fill="E2EFDA"/>
            <w:noWrap/>
            <w:vAlign w:val="bottom"/>
            <w:hideMark/>
          </w:tcPr>
          <w:p w14:paraId="3A9110FD"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2.14</w:t>
            </w:r>
          </w:p>
        </w:tc>
        <w:tc>
          <w:tcPr>
            <w:tcW w:w="0" w:type="auto"/>
            <w:tcBorders>
              <w:top w:val="nil"/>
              <w:left w:val="nil"/>
              <w:bottom w:val="single" w:sz="4" w:space="0" w:color="auto"/>
              <w:right w:val="single" w:sz="4" w:space="0" w:color="auto"/>
            </w:tcBorders>
            <w:shd w:val="clear" w:color="000000" w:fill="E2EFDA"/>
            <w:noWrap/>
            <w:vAlign w:val="bottom"/>
            <w:hideMark/>
          </w:tcPr>
          <w:p w14:paraId="6A457A32"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2.95</w:t>
            </w:r>
          </w:p>
        </w:tc>
        <w:tc>
          <w:tcPr>
            <w:tcW w:w="0" w:type="auto"/>
            <w:tcBorders>
              <w:top w:val="nil"/>
              <w:left w:val="nil"/>
              <w:bottom w:val="single" w:sz="4" w:space="0" w:color="auto"/>
              <w:right w:val="single" w:sz="4" w:space="0" w:color="auto"/>
            </w:tcBorders>
            <w:shd w:val="clear" w:color="000000" w:fill="E2EFDA"/>
            <w:noWrap/>
            <w:vAlign w:val="bottom"/>
            <w:hideMark/>
          </w:tcPr>
          <w:p w14:paraId="066DCA87" w14:textId="61E6DFC3"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2.9</w:t>
            </w:r>
            <w:r w:rsidR="00513F68">
              <w:rPr>
                <w:rFonts w:ascii="Times New Roman" w:eastAsia="Times New Roman" w:hAnsi="Times New Roman" w:cs="Times New Roman"/>
                <w:b/>
                <w:bCs/>
                <w:noProof/>
                <w:color w:val="000000"/>
                <w:sz w:val="18"/>
                <w:szCs w:val="18"/>
                <w:lang w:val="en-IE" w:eastAsia="en-IE"/>
              </w:rPr>
              <w:t>1</w:t>
            </w:r>
          </w:p>
        </w:tc>
        <w:tc>
          <w:tcPr>
            <w:tcW w:w="0" w:type="auto"/>
            <w:tcBorders>
              <w:top w:val="nil"/>
              <w:left w:val="nil"/>
              <w:bottom w:val="single" w:sz="4" w:space="0" w:color="auto"/>
              <w:right w:val="single" w:sz="4" w:space="0" w:color="auto"/>
            </w:tcBorders>
            <w:shd w:val="clear" w:color="000000" w:fill="FFF2CC"/>
            <w:noWrap/>
            <w:vAlign w:val="bottom"/>
            <w:hideMark/>
          </w:tcPr>
          <w:p w14:paraId="3CFF41E9"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1.43</w:t>
            </w:r>
          </w:p>
        </w:tc>
        <w:tc>
          <w:tcPr>
            <w:tcW w:w="0" w:type="auto"/>
            <w:tcBorders>
              <w:top w:val="nil"/>
              <w:left w:val="nil"/>
              <w:bottom w:val="single" w:sz="4" w:space="0" w:color="auto"/>
              <w:right w:val="single" w:sz="4" w:space="0" w:color="auto"/>
            </w:tcBorders>
            <w:shd w:val="clear" w:color="000000" w:fill="FFF2CC"/>
            <w:noWrap/>
            <w:vAlign w:val="bottom"/>
            <w:hideMark/>
          </w:tcPr>
          <w:p w14:paraId="27904935" w14:textId="3D96D5BD"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2.2</w:t>
            </w:r>
          </w:p>
        </w:tc>
        <w:tc>
          <w:tcPr>
            <w:tcW w:w="0" w:type="auto"/>
            <w:tcBorders>
              <w:top w:val="nil"/>
              <w:left w:val="nil"/>
              <w:bottom w:val="single" w:sz="4" w:space="0" w:color="auto"/>
              <w:right w:val="single" w:sz="4" w:space="0" w:color="auto"/>
            </w:tcBorders>
            <w:shd w:val="clear" w:color="000000" w:fill="FFF2CC"/>
            <w:noWrap/>
            <w:vAlign w:val="bottom"/>
            <w:hideMark/>
          </w:tcPr>
          <w:p w14:paraId="65554D9E"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3.01</w:t>
            </w:r>
          </w:p>
        </w:tc>
        <w:tc>
          <w:tcPr>
            <w:tcW w:w="0" w:type="auto"/>
            <w:tcBorders>
              <w:top w:val="nil"/>
              <w:left w:val="nil"/>
              <w:bottom w:val="single" w:sz="4" w:space="0" w:color="auto"/>
              <w:right w:val="single" w:sz="4" w:space="0" w:color="auto"/>
            </w:tcBorders>
            <w:shd w:val="clear" w:color="000000" w:fill="D9E1F2"/>
            <w:noWrap/>
            <w:vAlign w:val="bottom"/>
            <w:hideMark/>
          </w:tcPr>
          <w:p w14:paraId="148F9EA9" w14:textId="2D1951AD"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1.4</w:t>
            </w:r>
          </w:p>
        </w:tc>
        <w:tc>
          <w:tcPr>
            <w:tcW w:w="0" w:type="auto"/>
            <w:tcBorders>
              <w:top w:val="nil"/>
              <w:left w:val="nil"/>
              <w:bottom w:val="single" w:sz="4" w:space="0" w:color="auto"/>
              <w:right w:val="single" w:sz="4" w:space="0" w:color="auto"/>
            </w:tcBorders>
            <w:shd w:val="clear" w:color="000000" w:fill="D9E1F2"/>
            <w:noWrap/>
            <w:vAlign w:val="bottom"/>
            <w:hideMark/>
          </w:tcPr>
          <w:p w14:paraId="64C68153"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2.25</w:t>
            </w:r>
          </w:p>
        </w:tc>
        <w:tc>
          <w:tcPr>
            <w:tcW w:w="0" w:type="auto"/>
            <w:tcBorders>
              <w:top w:val="nil"/>
              <w:left w:val="nil"/>
              <w:bottom w:val="single" w:sz="4" w:space="0" w:color="auto"/>
              <w:right w:val="single" w:sz="4" w:space="0" w:color="auto"/>
            </w:tcBorders>
            <w:shd w:val="clear" w:color="000000" w:fill="D9E1F2"/>
            <w:noWrap/>
            <w:vAlign w:val="bottom"/>
            <w:hideMark/>
          </w:tcPr>
          <w:p w14:paraId="2E5C3561" w14:textId="370FE348"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3.1</w:t>
            </w:r>
          </w:p>
        </w:tc>
        <w:tc>
          <w:tcPr>
            <w:tcW w:w="0" w:type="auto"/>
            <w:tcBorders>
              <w:top w:val="nil"/>
              <w:left w:val="nil"/>
              <w:bottom w:val="single" w:sz="4" w:space="0" w:color="auto"/>
              <w:right w:val="single" w:sz="4" w:space="0" w:color="auto"/>
            </w:tcBorders>
            <w:shd w:val="clear" w:color="000000" w:fill="FCE4D6"/>
            <w:noWrap/>
            <w:vAlign w:val="bottom"/>
            <w:hideMark/>
          </w:tcPr>
          <w:p w14:paraId="2278971E"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1.05</w:t>
            </w:r>
          </w:p>
        </w:tc>
        <w:tc>
          <w:tcPr>
            <w:tcW w:w="0" w:type="auto"/>
            <w:tcBorders>
              <w:top w:val="nil"/>
              <w:left w:val="nil"/>
              <w:bottom w:val="single" w:sz="4" w:space="0" w:color="auto"/>
              <w:right w:val="single" w:sz="4" w:space="0" w:color="auto"/>
            </w:tcBorders>
            <w:shd w:val="clear" w:color="000000" w:fill="FCE4D6"/>
            <w:noWrap/>
            <w:vAlign w:val="bottom"/>
            <w:hideMark/>
          </w:tcPr>
          <w:p w14:paraId="074A1B51"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2.18</w:t>
            </w:r>
          </w:p>
        </w:tc>
        <w:tc>
          <w:tcPr>
            <w:tcW w:w="0" w:type="auto"/>
            <w:tcBorders>
              <w:top w:val="nil"/>
              <w:left w:val="nil"/>
              <w:bottom w:val="single" w:sz="4" w:space="0" w:color="auto"/>
              <w:right w:val="single" w:sz="4" w:space="0" w:color="auto"/>
            </w:tcBorders>
            <w:shd w:val="clear" w:color="000000" w:fill="FCE4D6"/>
            <w:noWrap/>
            <w:vAlign w:val="bottom"/>
            <w:hideMark/>
          </w:tcPr>
          <w:p w14:paraId="4106957E"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3.03</w:t>
            </w:r>
          </w:p>
        </w:tc>
        <w:tc>
          <w:tcPr>
            <w:tcW w:w="0" w:type="auto"/>
            <w:tcBorders>
              <w:top w:val="nil"/>
              <w:left w:val="nil"/>
              <w:bottom w:val="single" w:sz="4" w:space="0" w:color="auto"/>
              <w:right w:val="single" w:sz="4" w:space="0" w:color="auto"/>
            </w:tcBorders>
            <w:shd w:val="clear" w:color="000000" w:fill="E2EFDA"/>
            <w:noWrap/>
            <w:vAlign w:val="bottom"/>
            <w:hideMark/>
          </w:tcPr>
          <w:p w14:paraId="34A1DCEA"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1.88</w:t>
            </w:r>
          </w:p>
        </w:tc>
        <w:tc>
          <w:tcPr>
            <w:tcW w:w="0" w:type="auto"/>
            <w:tcBorders>
              <w:top w:val="nil"/>
              <w:left w:val="nil"/>
              <w:bottom w:val="single" w:sz="4" w:space="0" w:color="auto"/>
              <w:right w:val="single" w:sz="4" w:space="0" w:color="auto"/>
            </w:tcBorders>
            <w:shd w:val="clear" w:color="000000" w:fill="E2EFDA"/>
            <w:noWrap/>
            <w:vAlign w:val="bottom"/>
            <w:hideMark/>
          </w:tcPr>
          <w:p w14:paraId="40A4C431" w14:textId="77777777"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2.95</w:t>
            </w:r>
          </w:p>
        </w:tc>
        <w:tc>
          <w:tcPr>
            <w:tcW w:w="0" w:type="auto"/>
            <w:tcBorders>
              <w:top w:val="nil"/>
              <w:left w:val="nil"/>
              <w:bottom w:val="single" w:sz="4" w:space="0" w:color="auto"/>
              <w:right w:val="single" w:sz="4" w:space="0" w:color="auto"/>
            </w:tcBorders>
            <w:shd w:val="clear" w:color="000000" w:fill="E2EFDA"/>
            <w:noWrap/>
            <w:vAlign w:val="bottom"/>
            <w:hideMark/>
          </w:tcPr>
          <w:p w14:paraId="0C0754B6" w14:textId="4B172C58"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2.1</w:t>
            </w:r>
          </w:p>
        </w:tc>
        <w:tc>
          <w:tcPr>
            <w:tcW w:w="0" w:type="auto"/>
            <w:tcBorders>
              <w:top w:val="nil"/>
              <w:left w:val="nil"/>
              <w:bottom w:val="single" w:sz="4" w:space="0" w:color="auto"/>
              <w:right w:val="single" w:sz="4" w:space="0" w:color="auto"/>
            </w:tcBorders>
            <w:shd w:val="clear" w:color="000000" w:fill="FFF2CC"/>
            <w:noWrap/>
            <w:vAlign w:val="bottom"/>
            <w:hideMark/>
          </w:tcPr>
          <w:p w14:paraId="1049737B" w14:textId="7A93D3FB"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1.</w:t>
            </w:r>
            <w:r w:rsidR="008A1048">
              <w:rPr>
                <w:rFonts w:ascii="Times New Roman" w:eastAsia="Times New Roman" w:hAnsi="Times New Roman" w:cs="Times New Roman"/>
                <w:b/>
                <w:bCs/>
                <w:noProof/>
                <w:color w:val="000000"/>
                <w:sz w:val="18"/>
                <w:szCs w:val="18"/>
                <w:lang w:val="en-IE" w:eastAsia="en-IE"/>
              </w:rPr>
              <w:t>48</w:t>
            </w:r>
          </w:p>
        </w:tc>
        <w:tc>
          <w:tcPr>
            <w:tcW w:w="0" w:type="auto"/>
            <w:tcBorders>
              <w:top w:val="nil"/>
              <w:left w:val="nil"/>
              <w:bottom w:val="single" w:sz="4" w:space="0" w:color="auto"/>
              <w:right w:val="single" w:sz="4" w:space="0" w:color="auto"/>
            </w:tcBorders>
            <w:shd w:val="clear" w:color="000000" w:fill="FFF2CC"/>
            <w:noWrap/>
            <w:vAlign w:val="bottom"/>
            <w:hideMark/>
          </w:tcPr>
          <w:p w14:paraId="6CDFF359" w14:textId="3F6335B8"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2.</w:t>
            </w:r>
            <w:r w:rsidR="008A1048">
              <w:rPr>
                <w:rFonts w:ascii="Times New Roman" w:eastAsia="Times New Roman" w:hAnsi="Times New Roman" w:cs="Times New Roman"/>
                <w:b/>
                <w:bCs/>
                <w:noProof/>
                <w:color w:val="000000"/>
                <w:sz w:val="18"/>
                <w:szCs w:val="18"/>
                <w:lang w:val="en-IE" w:eastAsia="en-IE"/>
              </w:rPr>
              <w:t>29</w:t>
            </w:r>
          </w:p>
        </w:tc>
        <w:tc>
          <w:tcPr>
            <w:tcW w:w="0" w:type="auto"/>
            <w:tcBorders>
              <w:top w:val="nil"/>
              <w:left w:val="nil"/>
              <w:bottom w:val="single" w:sz="4" w:space="0" w:color="auto"/>
              <w:right w:val="single" w:sz="4" w:space="0" w:color="auto"/>
            </w:tcBorders>
            <w:shd w:val="clear" w:color="000000" w:fill="FFF2CC"/>
            <w:noWrap/>
            <w:vAlign w:val="bottom"/>
            <w:hideMark/>
          </w:tcPr>
          <w:p w14:paraId="668789FA" w14:textId="513DE090" w:rsidR="0071632C" w:rsidRPr="0071632C" w:rsidRDefault="0071632C" w:rsidP="0071632C">
            <w:pPr>
              <w:spacing w:before="0" w:after="0"/>
              <w:jc w:val="center"/>
              <w:rPr>
                <w:rFonts w:ascii="Times New Roman" w:eastAsia="Times New Roman" w:hAnsi="Times New Roman" w:cs="Times New Roman"/>
                <w:b/>
                <w:bCs/>
                <w:noProof/>
                <w:color w:val="000000"/>
                <w:sz w:val="18"/>
                <w:szCs w:val="18"/>
                <w:lang w:val="en-IE" w:eastAsia="en-IE"/>
              </w:rPr>
            </w:pPr>
            <w:r w:rsidRPr="0071632C">
              <w:rPr>
                <w:rFonts w:ascii="Times New Roman" w:eastAsia="Times New Roman" w:hAnsi="Times New Roman" w:cs="Times New Roman"/>
                <w:b/>
                <w:bCs/>
                <w:noProof/>
                <w:color w:val="000000"/>
                <w:sz w:val="18"/>
                <w:szCs w:val="18"/>
                <w:lang w:val="en-IE" w:eastAsia="en-IE"/>
              </w:rPr>
              <w:t>3.</w:t>
            </w:r>
            <w:r w:rsidR="008A1048">
              <w:rPr>
                <w:rFonts w:ascii="Times New Roman" w:eastAsia="Times New Roman" w:hAnsi="Times New Roman" w:cs="Times New Roman"/>
                <w:b/>
                <w:bCs/>
                <w:noProof/>
                <w:color w:val="000000"/>
                <w:sz w:val="18"/>
                <w:szCs w:val="18"/>
                <w:lang w:val="en-IE" w:eastAsia="en-IE"/>
              </w:rPr>
              <w:t>06</w:t>
            </w:r>
          </w:p>
        </w:tc>
      </w:tr>
    </w:tbl>
    <w:p w14:paraId="7F8627B2" w14:textId="77777777" w:rsidR="00172469" w:rsidDel="003B1426" w:rsidRDefault="00172469" w:rsidP="00730C0A">
      <w:pPr>
        <w:ind w:firstLine="720"/>
        <w:rPr>
          <w:b/>
          <w:noProof/>
          <w:lang w:val="en-US"/>
        </w:rPr>
        <w:sectPr w:rsidR="00172469" w:rsidDel="003B1426" w:rsidSect="00924216">
          <w:headerReference w:type="default" r:id="rId32"/>
          <w:footerReference w:type="default" r:id="rId33"/>
          <w:pgSz w:w="16838" w:h="11906" w:orient="landscape"/>
          <w:pgMar w:top="1701" w:right="1418" w:bottom="1418" w:left="1418" w:header="567" w:footer="340" w:gutter="0"/>
          <w:cols w:space="708"/>
          <w:docGrid w:linePitch="360"/>
        </w:sectPr>
      </w:pPr>
    </w:p>
    <w:p w14:paraId="2824A3A6" w14:textId="3DD1B72B" w:rsidR="00172469" w:rsidRDefault="00172469" w:rsidP="00730C0A">
      <w:pPr>
        <w:ind w:firstLine="720"/>
        <w:rPr>
          <w:b/>
          <w:noProof/>
          <w:lang w:val="en-US"/>
        </w:rPr>
      </w:pPr>
      <w:r>
        <w:rPr>
          <w:b/>
          <w:noProof/>
          <w:lang w:val="en-US"/>
        </w:rPr>
        <w:t>2.5.2 Sensitivity Analysis</w:t>
      </w:r>
    </w:p>
    <w:p w14:paraId="153BC25B" w14:textId="66F62C63" w:rsidR="00FE6B04" w:rsidRPr="00FE6B04" w:rsidRDefault="00FE6B04" w:rsidP="00FE6B04">
      <w:pPr>
        <w:jc w:val="both"/>
        <w:rPr>
          <w:rFonts w:ascii="Times New Roman" w:hAnsi="Times New Roman" w:cs="Times New Roman"/>
          <w:noProof/>
          <w:sz w:val="24"/>
          <w:szCs w:val="24"/>
          <w:lang w:val="en-US"/>
        </w:rPr>
      </w:pPr>
      <w:r w:rsidRPr="00FE6B04">
        <w:rPr>
          <w:rFonts w:ascii="Times New Roman" w:hAnsi="Times New Roman" w:cs="Times New Roman"/>
          <w:noProof/>
          <w:sz w:val="24"/>
          <w:szCs w:val="24"/>
          <w:lang w:val="en-US"/>
        </w:rPr>
        <w:t xml:space="preserve">The sensitivity analysis focuses on variations in the number of companies opting into the 28th regime, as take-up is the main source of uncertainty in the estimation of aggregate administrative burden reductions. Other parameters used in the Standard Cost Model, such as time spent per obligation, wage rates and procedural steps, are based on established assumptions and benchmark values drawn from previous impact assessments and stakeholder input, </w:t>
      </w:r>
      <w:r w:rsidR="001C06EA">
        <w:rPr>
          <w:rFonts w:ascii="Times New Roman" w:hAnsi="Times New Roman" w:cs="Times New Roman"/>
          <w:noProof/>
          <w:sz w:val="24"/>
          <w:szCs w:val="24"/>
          <w:lang w:val="en-US"/>
        </w:rPr>
        <w:t>being</w:t>
      </w:r>
      <w:r w:rsidRPr="00FE6B04">
        <w:rPr>
          <w:rFonts w:ascii="Times New Roman" w:hAnsi="Times New Roman" w:cs="Times New Roman"/>
          <w:noProof/>
          <w:sz w:val="24"/>
          <w:szCs w:val="24"/>
          <w:lang w:val="en-US"/>
        </w:rPr>
        <w:t xml:space="preserve"> applied consistently across all policy options.</w:t>
      </w:r>
    </w:p>
    <w:p w14:paraId="58588AEF" w14:textId="309BE391" w:rsidR="00FE6B04" w:rsidRDefault="00FE6B04" w:rsidP="00FE6B04">
      <w:pPr>
        <w:jc w:val="both"/>
        <w:rPr>
          <w:rFonts w:ascii="Times New Roman" w:hAnsi="Times New Roman" w:cs="Times New Roman"/>
          <w:noProof/>
          <w:sz w:val="24"/>
          <w:szCs w:val="24"/>
          <w:lang w:val="en-US"/>
        </w:rPr>
      </w:pPr>
      <w:r w:rsidRPr="00FE6B04">
        <w:rPr>
          <w:rFonts w:ascii="Times New Roman" w:hAnsi="Times New Roman" w:cs="Times New Roman"/>
          <w:noProof/>
          <w:sz w:val="24"/>
          <w:szCs w:val="24"/>
          <w:lang w:val="en-US"/>
        </w:rPr>
        <w:t>Varying these parameters would affect all policy options proportionally and would therefore not alter their relative performance or the overall conclusions of the analysis. By contrast, changes in take-up directly affect the scale of the quantified impacts and therefore provide the most meaningful test of the robustness of the estimated administrative burden reductions.</w:t>
      </w:r>
    </w:p>
    <w:p w14:paraId="1E0DA514" w14:textId="3081E77E" w:rsidR="00730C0A" w:rsidRDefault="00853996" w:rsidP="25CA0D31">
      <w:pPr>
        <w:jc w:val="both"/>
        <w:rPr>
          <w:rFonts w:ascii="Times New Roman" w:hAnsi="Times New Roman" w:cs="Times New Roman"/>
          <w:noProof/>
          <w:sz w:val="24"/>
          <w:szCs w:val="24"/>
          <w:lang w:val="en-US"/>
        </w:rPr>
      </w:pPr>
      <w:r w:rsidRPr="25CA0D31">
        <w:rPr>
          <w:rFonts w:ascii="Times New Roman" w:hAnsi="Times New Roman" w:cs="Times New Roman"/>
          <w:noProof/>
          <w:sz w:val="24"/>
          <w:szCs w:val="24"/>
          <w:lang w:val="en-US"/>
        </w:rPr>
        <w:t xml:space="preserve">The </w:t>
      </w:r>
      <w:r w:rsidR="000F1334" w:rsidRPr="25CA0D31">
        <w:rPr>
          <w:rFonts w:ascii="Times New Roman" w:hAnsi="Times New Roman" w:cs="Times New Roman"/>
          <w:noProof/>
          <w:sz w:val="24"/>
          <w:szCs w:val="24"/>
          <w:lang w:val="en-US"/>
        </w:rPr>
        <w:t>reduction</w:t>
      </w:r>
      <w:r w:rsidR="000C2B9D" w:rsidRPr="25CA0D31">
        <w:rPr>
          <w:rFonts w:ascii="Times New Roman" w:hAnsi="Times New Roman" w:cs="Times New Roman"/>
          <w:noProof/>
          <w:sz w:val="24"/>
          <w:szCs w:val="24"/>
          <w:lang w:val="en-US"/>
        </w:rPr>
        <w:t>s</w:t>
      </w:r>
      <w:r w:rsidR="000F1334" w:rsidRPr="25CA0D31">
        <w:rPr>
          <w:rFonts w:ascii="Times New Roman" w:hAnsi="Times New Roman" w:cs="Times New Roman"/>
          <w:noProof/>
          <w:sz w:val="24"/>
          <w:szCs w:val="24"/>
          <w:lang w:val="en-US"/>
        </w:rPr>
        <w:t xml:space="preserve"> in </w:t>
      </w:r>
      <w:r w:rsidRPr="25CA0D31">
        <w:rPr>
          <w:rFonts w:ascii="Times New Roman" w:hAnsi="Times New Roman" w:cs="Times New Roman"/>
          <w:noProof/>
          <w:sz w:val="24"/>
          <w:szCs w:val="24"/>
          <w:lang w:val="en-US"/>
        </w:rPr>
        <w:t>administrative burden by the various policy option</w:t>
      </w:r>
      <w:r w:rsidR="000F1334" w:rsidRPr="25CA0D31">
        <w:rPr>
          <w:rFonts w:ascii="Times New Roman" w:hAnsi="Times New Roman" w:cs="Times New Roman"/>
          <w:noProof/>
          <w:sz w:val="24"/>
          <w:szCs w:val="24"/>
          <w:lang w:val="en-US"/>
        </w:rPr>
        <w:t>s</w:t>
      </w:r>
      <w:r w:rsidRPr="25CA0D31">
        <w:rPr>
          <w:rFonts w:ascii="Times New Roman" w:hAnsi="Times New Roman" w:cs="Times New Roman"/>
          <w:noProof/>
          <w:sz w:val="24"/>
          <w:szCs w:val="24"/>
          <w:lang w:val="en-US"/>
        </w:rPr>
        <w:t xml:space="preserve"> are calculated by applying the Standard Cost Model</w:t>
      </w:r>
      <w:r w:rsidR="00007D0C">
        <w:rPr>
          <w:rFonts w:ascii="Times New Roman" w:hAnsi="Times New Roman" w:cs="Times New Roman"/>
          <w:noProof/>
          <w:sz w:val="24"/>
          <w:szCs w:val="24"/>
          <w:lang w:val="en-US"/>
        </w:rPr>
        <w:t xml:space="preserve"> (SCM)</w:t>
      </w:r>
      <w:r w:rsidRPr="25CA0D31">
        <w:rPr>
          <w:rFonts w:ascii="Times New Roman" w:hAnsi="Times New Roman" w:cs="Times New Roman"/>
          <w:noProof/>
          <w:sz w:val="24"/>
          <w:szCs w:val="24"/>
          <w:lang w:val="en-US"/>
        </w:rPr>
        <w:t xml:space="preserve">. </w:t>
      </w:r>
      <w:r w:rsidR="00007D0C" w:rsidRPr="25CA0D31">
        <w:rPr>
          <w:rFonts w:ascii="Times New Roman" w:hAnsi="Times New Roman" w:cs="Times New Roman"/>
          <w:noProof/>
          <w:sz w:val="24"/>
          <w:szCs w:val="24"/>
          <w:lang w:val="en-US"/>
        </w:rPr>
        <w:t>To</w:t>
      </w:r>
      <w:r w:rsidRPr="25CA0D31">
        <w:rPr>
          <w:rFonts w:ascii="Times New Roman" w:hAnsi="Times New Roman" w:cs="Times New Roman"/>
          <w:noProof/>
          <w:sz w:val="24"/>
          <w:szCs w:val="24"/>
          <w:lang w:val="en-US"/>
        </w:rPr>
        <w:t xml:space="preserve"> verify the robustness of our SCM results, we performe</w:t>
      </w:r>
      <w:r w:rsidR="001D03E0" w:rsidRPr="25CA0D31">
        <w:rPr>
          <w:rFonts w:ascii="Times New Roman" w:hAnsi="Times New Roman" w:cs="Times New Roman"/>
          <w:noProof/>
          <w:sz w:val="24"/>
          <w:szCs w:val="24"/>
          <w:lang w:val="en-US"/>
        </w:rPr>
        <w:t xml:space="preserve">d a sensitivity analysis </w:t>
      </w:r>
      <w:r w:rsidR="008916C5" w:rsidRPr="25CA0D31">
        <w:rPr>
          <w:rFonts w:ascii="Times New Roman" w:hAnsi="Times New Roman" w:cs="Times New Roman"/>
          <w:noProof/>
          <w:sz w:val="24"/>
          <w:szCs w:val="24"/>
          <w:lang w:val="en-US"/>
        </w:rPr>
        <w:t xml:space="preserve">based on </w:t>
      </w:r>
      <w:r w:rsidR="00AD6EDE" w:rsidRPr="25CA0D31">
        <w:rPr>
          <w:rFonts w:ascii="Times New Roman" w:hAnsi="Times New Roman" w:cs="Times New Roman"/>
          <w:noProof/>
          <w:sz w:val="24"/>
          <w:szCs w:val="24"/>
          <w:lang w:val="en-US"/>
        </w:rPr>
        <w:t xml:space="preserve">a lower </w:t>
      </w:r>
      <w:r w:rsidRPr="25CA0D31">
        <w:rPr>
          <w:rFonts w:ascii="Times New Roman" w:hAnsi="Times New Roman" w:cs="Times New Roman"/>
          <w:noProof/>
          <w:sz w:val="24"/>
          <w:szCs w:val="24"/>
          <w:lang w:val="en-US"/>
        </w:rPr>
        <w:t xml:space="preserve">and </w:t>
      </w:r>
      <w:r w:rsidR="00AD6EDE" w:rsidRPr="25CA0D31">
        <w:rPr>
          <w:rFonts w:ascii="Times New Roman" w:hAnsi="Times New Roman" w:cs="Times New Roman"/>
          <w:noProof/>
          <w:sz w:val="24"/>
          <w:szCs w:val="24"/>
          <w:lang w:val="en-US"/>
        </w:rPr>
        <w:t>higher</w:t>
      </w:r>
      <w:r w:rsidR="00E35630">
        <w:rPr>
          <w:rFonts w:ascii="Times New Roman" w:hAnsi="Times New Roman" w:cs="Times New Roman"/>
          <w:noProof/>
          <w:sz w:val="24"/>
          <w:szCs w:val="24"/>
          <w:lang w:val="en-US"/>
        </w:rPr>
        <w:t xml:space="preserve"> estimated</w:t>
      </w:r>
      <w:r w:rsidR="00AD6EDE" w:rsidRPr="25CA0D31">
        <w:rPr>
          <w:rFonts w:ascii="Times New Roman" w:hAnsi="Times New Roman" w:cs="Times New Roman"/>
          <w:noProof/>
          <w:sz w:val="24"/>
          <w:szCs w:val="24"/>
          <w:lang w:val="en-US"/>
        </w:rPr>
        <w:t xml:space="preserve"> take-up rate</w:t>
      </w:r>
      <w:r w:rsidR="000C2B9D" w:rsidRPr="25CA0D31">
        <w:rPr>
          <w:rFonts w:ascii="Times New Roman" w:hAnsi="Times New Roman" w:cs="Times New Roman"/>
          <w:noProof/>
          <w:sz w:val="24"/>
          <w:szCs w:val="24"/>
          <w:lang w:val="en-US"/>
        </w:rPr>
        <w:t>.</w:t>
      </w:r>
    </w:p>
    <w:p w14:paraId="1BBFE25B" w14:textId="60A7CD2D" w:rsidR="00AE3601" w:rsidRPr="00347A59" w:rsidRDefault="00CD4A37" w:rsidP="25CA0D31">
      <w:pPr>
        <w:jc w:val="both"/>
        <w:rPr>
          <w:rFonts w:ascii="Times New Roman" w:hAnsi="Times New Roman" w:cs="Times New Roman"/>
          <w:noProof/>
          <w:sz w:val="24"/>
          <w:szCs w:val="24"/>
          <w:lang w:val="en-US"/>
        </w:rPr>
      </w:pPr>
      <w:r w:rsidRPr="00347A59">
        <w:rPr>
          <w:rFonts w:ascii="Times New Roman" w:hAnsi="Times New Roman" w:cs="Times New Roman"/>
          <w:noProof/>
          <w:sz w:val="24"/>
          <w:szCs w:val="24"/>
          <w:lang w:val="en-US"/>
        </w:rPr>
        <w:t>Under t</w:t>
      </w:r>
      <w:r w:rsidR="00901411" w:rsidRPr="00901411" w:rsidDel="00A47CC2">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a</w:t>
      </w:r>
      <w:r w:rsidR="00AE3601" w:rsidRPr="00347A59">
        <w:rPr>
          <w:rFonts w:ascii="Times New Roman" w:hAnsi="Times New Roman" w:cs="Times New Roman"/>
          <w:noProof/>
          <w:sz w:val="24"/>
          <w:szCs w:val="24"/>
          <w:lang w:val="en-US"/>
        </w:rPr>
        <w:t xml:space="preserve"> </w:t>
      </w:r>
      <w:r w:rsidRPr="00347A59">
        <w:rPr>
          <w:rFonts w:ascii="Times New Roman" w:hAnsi="Times New Roman" w:cs="Times New Roman"/>
          <w:noProof/>
          <w:sz w:val="24"/>
          <w:szCs w:val="24"/>
          <w:lang w:val="en-US"/>
        </w:rPr>
        <w:t>moderate</w:t>
      </w:r>
      <w:r w:rsidR="00AE3601" w:rsidRPr="00347A59">
        <w:rPr>
          <w:rFonts w:ascii="Times New Roman" w:hAnsi="Times New Roman" w:cs="Times New Roman"/>
          <w:noProof/>
          <w:sz w:val="24"/>
          <w:szCs w:val="24"/>
          <w:lang w:val="en-US"/>
        </w:rPr>
        <w:t xml:space="preserve"> take-up</w:t>
      </w:r>
      <w:r w:rsidRPr="00347A59">
        <w:rPr>
          <w:rFonts w:ascii="Times New Roman" w:hAnsi="Times New Roman" w:cs="Times New Roman"/>
          <w:noProof/>
          <w:sz w:val="24"/>
          <w:szCs w:val="24"/>
          <w:lang w:val="en-US"/>
        </w:rPr>
        <w:t xml:space="preserve"> assumption, there are </w:t>
      </w:r>
      <w:r w:rsidR="00AE3601" w:rsidRPr="00347A59">
        <w:rPr>
          <w:rFonts w:ascii="Times New Roman" w:hAnsi="Times New Roman" w:cs="Times New Roman"/>
          <w:noProof/>
          <w:sz w:val="24"/>
          <w:szCs w:val="24"/>
          <w:lang w:val="en-US"/>
        </w:rPr>
        <w:t>308,843 newly formed 28th regime companies over a 10-year period</w:t>
      </w:r>
      <w:r w:rsidR="001728EB" w:rsidRPr="00347A59">
        <w:rPr>
          <w:rFonts w:ascii="Times New Roman" w:hAnsi="Times New Roman" w:cs="Times New Roman"/>
          <w:noProof/>
          <w:sz w:val="24"/>
          <w:szCs w:val="24"/>
          <w:lang w:val="en-US"/>
        </w:rPr>
        <w:t>.</w:t>
      </w:r>
      <w:r w:rsidR="00AE624A" w:rsidRPr="00347A59">
        <w:rPr>
          <w:rFonts w:ascii="Times New Roman" w:hAnsi="Times New Roman" w:cs="Times New Roman"/>
          <w:noProof/>
          <w:sz w:val="24"/>
          <w:szCs w:val="24"/>
          <w:lang w:val="en-US"/>
        </w:rPr>
        <w:t xml:space="preserve"> </w:t>
      </w:r>
      <w:r w:rsidR="00232C3C" w:rsidRPr="00347A59">
        <w:rPr>
          <w:rFonts w:ascii="Times New Roman" w:hAnsi="Times New Roman" w:cs="Times New Roman"/>
          <w:noProof/>
          <w:sz w:val="24"/>
          <w:szCs w:val="24"/>
          <w:lang w:val="en-US"/>
        </w:rPr>
        <w:t>Assuming</w:t>
      </w:r>
      <w:r w:rsidR="00AE624A" w:rsidRPr="00347A59">
        <w:rPr>
          <w:rFonts w:ascii="Times New Roman" w:hAnsi="Times New Roman" w:cs="Times New Roman"/>
          <w:noProof/>
          <w:sz w:val="24"/>
          <w:szCs w:val="24"/>
          <w:lang w:val="en-US"/>
        </w:rPr>
        <w:t xml:space="preserve"> </w:t>
      </w:r>
      <w:r w:rsidR="007E10D0" w:rsidRPr="00347A59">
        <w:rPr>
          <w:rFonts w:ascii="Times New Roman" w:hAnsi="Times New Roman" w:cs="Times New Roman"/>
          <w:noProof/>
          <w:sz w:val="24"/>
          <w:szCs w:val="24"/>
          <w:lang w:val="en-US"/>
        </w:rPr>
        <w:t xml:space="preserve">a </w:t>
      </w:r>
      <w:r w:rsidR="00AE624A" w:rsidRPr="00347A59">
        <w:rPr>
          <w:rFonts w:ascii="Times New Roman" w:hAnsi="Times New Roman" w:cs="Times New Roman"/>
          <w:noProof/>
          <w:sz w:val="24"/>
          <w:szCs w:val="24"/>
          <w:lang w:val="en-US"/>
        </w:rPr>
        <w:t>low take-up</w:t>
      </w:r>
      <w:r w:rsidR="00232C3C" w:rsidRPr="00347A59">
        <w:rPr>
          <w:rFonts w:ascii="Times New Roman" w:hAnsi="Times New Roman" w:cs="Times New Roman"/>
          <w:noProof/>
          <w:sz w:val="24"/>
          <w:szCs w:val="24"/>
          <w:lang w:val="en-US"/>
        </w:rPr>
        <w:t xml:space="preserve"> rate</w:t>
      </w:r>
      <w:r w:rsidR="001728EB" w:rsidRPr="00347A59">
        <w:rPr>
          <w:rFonts w:ascii="Times New Roman" w:hAnsi="Times New Roman" w:cs="Times New Roman"/>
          <w:noProof/>
          <w:sz w:val="24"/>
          <w:szCs w:val="24"/>
          <w:lang w:val="en-US"/>
        </w:rPr>
        <w:t>,</w:t>
      </w:r>
      <w:r w:rsidR="007E10D0" w:rsidRPr="00347A59">
        <w:rPr>
          <w:rFonts w:ascii="Times New Roman" w:hAnsi="Times New Roman" w:cs="Times New Roman"/>
          <w:noProof/>
          <w:sz w:val="24"/>
          <w:szCs w:val="24"/>
          <w:lang w:val="en-US"/>
        </w:rPr>
        <w:t xml:space="preserve"> there would be </w:t>
      </w:r>
      <w:r w:rsidR="00D17001" w:rsidRPr="00347A59">
        <w:rPr>
          <w:rFonts w:ascii="Times New Roman" w:hAnsi="Times New Roman" w:cs="Times New Roman"/>
          <w:noProof/>
          <w:sz w:val="24"/>
          <w:szCs w:val="24"/>
          <w:lang w:val="en-US"/>
        </w:rPr>
        <w:t>231,632</w:t>
      </w:r>
      <w:r w:rsidR="00C27967" w:rsidRPr="00347A59">
        <w:rPr>
          <w:rFonts w:ascii="Times New Roman" w:hAnsi="Times New Roman" w:cs="Times New Roman"/>
          <w:noProof/>
          <w:sz w:val="24"/>
          <w:szCs w:val="24"/>
          <w:lang w:val="en-US"/>
        </w:rPr>
        <w:t xml:space="preserve"> new 28th regime companies </w:t>
      </w:r>
      <w:r w:rsidR="00F82FD5" w:rsidRPr="00347A59">
        <w:rPr>
          <w:rFonts w:ascii="Times New Roman" w:hAnsi="Times New Roman" w:cs="Times New Roman"/>
          <w:noProof/>
          <w:sz w:val="24"/>
          <w:szCs w:val="24"/>
          <w:lang w:val="en-US"/>
        </w:rPr>
        <w:t xml:space="preserve">and for a high take-up rate, there would be </w:t>
      </w:r>
      <w:r w:rsidR="00114A38" w:rsidRPr="00347A59">
        <w:rPr>
          <w:rFonts w:ascii="Times New Roman" w:hAnsi="Times New Roman" w:cs="Times New Roman"/>
          <w:noProof/>
          <w:sz w:val="24"/>
          <w:szCs w:val="24"/>
          <w:lang w:val="en-US"/>
        </w:rPr>
        <w:t>386,053 new 28th regime companies</w:t>
      </w:r>
      <w:r w:rsidR="00620735" w:rsidRPr="00347A59">
        <w:rPr>
          <w:rFonts w:ascii="Times New Roman" w:hAnsi="Times New Roman" w:cs="Times New Roman"/>
          <w:noProof/>
          <w:sz w:val="24"/>
          <w:szCs w:val="24"/>
          <w:lang w:val="en-US"/>
        </w:rPr>
        <w:t>,</w:t>
      </w:r>
      <w:r w:rsidR="00114A38" w:rsidRPr="00347A59">
        <w:rPr>
          <w:rFonts w:ascii="Times New Roman" w:hAnsi="Times New Roman" w:cs="Times New Roman"/>
          <w:noProof/>
          <w:sz w:val="24"/>
          <w:szCs w:val="24"/>
          <w:lang w:val="en-US"/>
        </w:rPr>
        <w:t xml:space="preserve"> over the same period of 10 years</w:t>
      </w:r>
      <w:r w:rsidR="0092611E" w:rsidRPr="00347A59">
        <w:rPr>
          <w:rFonts w:ascii="Times New Roman" w:hAnsi="Times New Roman" w:cs="Times New Roman"/>
          <w:noProof/>
          <w:sz w:val="24"/>
          <w:szCs w:val="24"/>
          <w:lang w:val="en-US"/>
        </w:rPr>
        <w:footnoteReference w:id="47"/>
      </w:r>
      <w:r w:rsidR="00114A38" w:rsidRPr="00347A59">
        <w:rPr>
          <w:rFonts w:ascii="Times New Roman" w:hAnsi="Times New Roman" w:cs="Times New Roman"/>
          <w:noProof/>
          <w:sz w:val="24"/>
          <w:szCs w:val="24"/>
          <w:lang w:val="en-US"/>
        </w:rPr>
        <w:t>.</w:t>
      </w:r>
      <w:r w:rsidR="00C7726F" w:rsidRPr="00347A59">
        <w:rPr>
          <w:rFonts w:ascii="Times New Roman" w:hAnsi="Times New Roman" w:cs="Times New Roman"/>
          <w:noProof/>
          <w:sz w:val="24"/>
          <w:szCs w:val="24"/>
          <w:lang w:val="en-US"/>
        </w:rPr>
        <w:t xml:space="preserve"> The </w:t>
      </w:r>
      <w:r w:rsidR="00EA45BD" w:rsidRPr="00347A59">
        <w:rPr>
          <w:rFonts w:ascii="Times New Roman" w:hAnsi="Times New Roman" w:cs="Times New Roman"/>
          <w:noProof/>
          <w:sz w:val="24"/>
          <w:szCs w:val="24"/>
          <w:lang w:val="en-US"/>
        </w:rPr>
        <w:t xml:space="preserve">overall </w:t>
      </w:r>
      <w:r w:rsidR="00C7726F" w:rsidRPr="00347A59">
        <w:rPr>
          <w:rFonts w:ascii="Times New Roman" w:hAnsi="Times New Roman" w:cs="Times New Roman"/>
          <w:noProof/>
          <w:sz w:val="24"/>
          <w:szCs w:val="24"/>
          <w:lang w:val="en-US"/>
        </w:rPr>
        <w:t xml:space="preserve">lower or higher number of newly formed companies would </w:t>
      </w:r>
      <w:r w:rsidR="00E9676A" w:rsidRPr="00347A59">
        <w:rPr>
          <w:rFonts w:ascii="Times New Roman" w:hAnsi="Times New Roman" w:cs="Times New Roman"/>
          <w:noProof/>
          <w:sz w:val="24"/>
          <w:szCs w:val="24"/>
          <w:lang w:val="en-US"/>
        </w:rPr>
        <w:t>impact the overall cost-benefit analysis</w:t>
      </w:r>
      <w:r w:rsidR="00EA45BD" w:rsidRPr="00347A59">
        <w:rPr>
          <w:rFonts w:ascii="Times New Roman" w:hAnsi="Times New Roman" w:cs="Times New Roman"/>
          <w:noProof/>
          <w:sz w:val="24"/>
          <w:szCs w:val="24"/>
          <w:lang w:val="en-US"/>
        </w:rPr>
        <w:t>:</w:t>
      </w:r>
    </w:p>
    <w:tbl>
      <w:tblPr>
        <w:tblW w:w="9918" w:type="dxa"/>
        <w:tblLook w:val="04A0" w:firstRow="1" w:lastRow="0" w:firstColumn="1" w:lastColumn="0" w:noHBand="0" w:noVBand="1"/>
      </w:tblPr>
      <w:tblGrid>
        <w:gridCol w:w="1696"/>
        <w:gridCol w:w="2835"/>
        <w:gridCol w:w="2694"/>
        <w:gridCol w:w="2693"/>
      </w:tblGrid>
      <w:tr w:rsidR="00D6697C" w:rsidRPr="00526338" w14:paraId="7063187F" w14:textId="77777777" w:rsidTr="00D6697C">
        <w:trPr>
          <w:trHeight w:val="576"/>
        </w:trPr>
        <w:tc>
          <w:tcPr>
            <w:tcW w:w="1696" w:type="dxa"/>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69B86FAD" w14:textId="77777777" w:rsidR="00526338" w:rsidRPr="00526338" w:rsidRDefault="00526338" w:rsidP="00EF690B">
            <w:pPr>
              <w:spacing w:before="0" w:after="0"/>
              <w:jc w:val="center"/>
              <w:rPr>
                <w:rFonts w:ascii="Calibri" w:eastAsia="Times New Roman" w:hAnsi="Calibri" w:cs="Calibri"/>
                <w:b/>
                <w:bCs/>
                <w:noProof/>
                <w:color w:val="auto"/>
                <w:sz w:val="22"/>
                <w:lang w:val="en-IE" w:eastAsia="en-IE"/>
              </w:rPr>
            </w:pPr>
            <w:r w:rsidRPr="00526338">
              <w:rPr>
                <w:rFonts w:ascii="Calibri" w:eastAsia="Times New Roman" w:hAnsi="Calibri" w:cs="Calibri"/>
                <w:b/>
                <w:bCs/>
                <w:noProof/>
                <w:color w:val="auto"/>
                <w:sz w:val="22"/>
                <w:lang w:val="en-IE" w:eastAsia="en-IE"/>
              </w:rPr>
              <w:t>Preferred policy option</w:t>
            </w:r>
          </w:p>
        </w:tc>
        <w:tc>
          <w:tcPr>
            <w:tcW w:w="2835" w:type="dxa"/>
            <w:tcBorders>
              <w:top w:val="single" w:sz="4" w:space="0" w:color="3F3F3F"/>
              <w:left w:val="nil"/>
              <w:bottom w:val="single" w:sz="4" w:space="0" w:color="3F3F3F"/>
              <w:right w:val="single" w:sz="4" w:space="0" w:color="3F3F3F"/>
            </w:tcBorders>
            <w:shd w:val="clear" w:color="000000" w:fill="F2F2F2"/>
            <w:vAlign w:val="bottom"/>
            <w:hideMark/>
          </w:tcPr>
          <w:p w14:paraId="63A13BDA" w14:textId="4B2E0265" w:rsidR="00526338" w:rsidRPr="00526338" w:rsidRDefault="008D4B58" w:rsidP="00EF690B">
            <w:pPr>
              <w:spacing w:before="0" w:after="0"/>
              <w:jc w:val="center"/>
              <w:rPr>
                <w:rFonts w:ascii="Calibri" w:eastAsia="Times New Roman" w:hAnsi="Calibri" w:cs="Calibri"/>
                <w:b/>
                <w:bCs/>
                <w:noProof/>
                <w:color w:val="auto"/>
                <w:sz w:val="22"/>
                <w:lang w:val="en-IE" w:eastAsia="en-IE"/>
              </w:rPr>
            </w:pPr>
            <w:r w:rsidRPr="00526338">
              <w:rPr>
                <w:rFonts w:ascii="Calibri" w:eastAsia="Times New Roman" w:hAnsi="Calibri" w:cs="Calibri"/>
                <w:b/>
                <w:bCs/>
                <w:noProof/>
                <w:color w:val="auto"/>
                <w:sz w:val="22"/>
                <w:lang w:val="en-IE" w:eastAsia="en-IE"/>
              </w:rPr>
              <w:t xml:space="preserve">Total admin burden reduction </w:t>
            </w:r>
            <w:r>
              <w:rPr>
                <w:rFonts w:ascii="Calibri" w:eastAsia="Times New Roman" w:hAnsi="Calibri" w:cs="Calibri"/>
                <w:b/>
                <w:bCs/>
                <w:noProof/>
                <w:color w:val="auto"/>
                <w:sz w:val="22"/>
                <w:lang w:val="en-IE" w:eastAsia="en-IE"/>
              </w:rPr>
              <w:t xml:space="preserve">– moderate </w:t>
            </w:r>
            <w:r w:rsidRPr="00526338">
              <w:rPr>
                <w:rFonts w:ascii="Calibri" w:eastAsia="Times New Roman" w:hAnsi="Calibri" w:cs="Calibri"/>
                <w:b/>
                <w:bCs/>
                <w:noProof/>
                <w:color w:val="auto"/>
                <w:sz w:val="22"/>
                <w:lang w:val="en-IE" w:eastAsia="en-IE"/>
              </w:rPr>
              <w:t>uptake</w:t>
            </w:r>
          </w:p>
        </w:tc>
        <w:tc>
          <w:tcPr>
            <w:tcW w:w="2694" w:type="dxa"/>
            <w:tcBorders>
              <w:top w:val="single" w:sz="4" w:space="0" w:color="3F3F3F"/>
              <w:left w:val="nil"/>
              <w:bottom w:val="single" w:sz="4" w:space="0" w:color="3F3F3F"/>
              <w:right w:val="single" w:sz="4" w:space="0" w:color="3F3F3F"/>
            </w:tcBorders>
            <w:shd w:val="clear" w:color="000000" w:fill="F2F2F2"/>
            <w:vAlign w:val="bottom"/>
            <w:hideMark/>
          </w:tcPr>
          <w:p w14:paraId="3B820BA3" w14:textId="77777777" w:rsidR="00526338" w:rsidRPr="00526338" w:rsidRDefault="00526338" w:rsidP="00EF690B">
            <w:pPr>
              <w:spacing w:before="0" w:after="0"/>
              <w:jc w:val="center"/>
              <w:rPr>
                <w:rFonts w:ascii="Calibri" w:eastAsia="Times New Roman" w:hAnsi="Calibri" w:cs="Calibri"/>
                <w:b/>
                <w:bCs/>
                <w:noProof/>
                <w:color w:val="auto"/>
                <w:sz w:val="22"/>
                <w:lang w:val="en-IE" w:eastAsia="en-IE"/>
              </w:rPr>
            </w:pPr>
            <w:r w:rsidRPr="00526338">
              <w:rPr>
                <w:rFonts w:ascii="Calibri" w:eastAsia="Times New Roman" w:hAnsi="Calibri" w:cs="Calibri"/>
                <w:b/>
                <w:bCs/>
                <w:noProof/>
                <w:color w:val="auto"/>
                <w:sz w:val="22"/>
                <w:lang w:val="en-IE" w:eastAsia="en-IE"/>
              </w:rPr>
              <w:t>Total admin burden reduction - low uptake</w:t>
            </w:r>
          </w:p>
        </w:tc>
        <w:tc>
          <w:tcPr>
            <w:tcW w:w="2693" w:type="dxa"/>
            <w:tcBorders>
              <w:top w:val="single" w:sz="4" w:space="0" w:color="3F3F3F"/>
              <w:left w:val="nil"/>
              <w:bottom w:val="single" w:sz="4" w:space="0" w:color="3F3F3F"/>
              <w:right w:val="single" w:sz="4" w:space="0" w:color="3F3F3F"/>
            </w:tcBorders>
            <w:shd w:val="clear" w:color="000000" w:fill="F2F2F2"/>
            <w:vAlign w:val="bottom"/>
            <w:hideMark/>
          </w:tcPr>
          <w:p w14:paraId="07054635" w14:textId="77777777" w:rsidR="00526338" w:rsidRPr="00526338" w:rsidRDefault="00526338" w:rsidP="00EF690B">
            <w:pPr>
              <w:spacing w:before="0" w:after="0"/>
              <w:jc w:val="center"/>
              <w:rPr>
                <w:rFonts w:ascii="Calibri" w:eastAsia="Times New Roman" w:hAnsi="Calibri" w:cs="Calibri"/>
                <w:b/>
                <w:bCs/>
                <w:noProof/>
                <w:color w:val="auto"/>
                <w:sz w:val="22"/>
                <w:lang w:val="en-IE" w:eastAsia="en-IE"/>
              </w:rPr>
            </w:pPr>
            <w:r w:rsidRPr="00526338">
              <w:rPr>
                <w:rFonts w:ascii="Calibri" w:eastAsia="Times New Roman" w:hAnsi="Calibri" w:cs="Calibri"/>
                <w:b/>
                <w:bCs/>
                <w:noProof/>
                <w:color w:val="auto"/>
                <w:sz w:val="22"/>
                <w:lang w:val="en-IE" w:eastAsia="en-IE"/>
              </w:rPr>
              <w:t>Total admin burden reduction - high uptake</w:t>
            </w:r>
          </w:p>
        </w:tc>
      </w:tr>
      <w:tr w:rsidR="00D6697C" w:rsidRPr="00526338" w14:paraId="2AFE1020" w14:textId="77777777" w:rsidTr="003D68DC">
        <w:trPr>
          <w:trHeight w:val="576"/>
        </w:trPr>
        <w:tc>
          <w:tcPr>
            <w:tcW w:w="1696" w:type="dxa"/>
            <w:tcBorders>
              <w:top w:val="nil"/>
              <w:left w:val="single" w:sz="4" w:space="0" w:color="3F3F3F"/>
              <w:bottom w:val="single" w:sz="4" w:space="0" w:color="3F3F3F"/>
              <w:right w:val="single" w:sz="4" w:space="0" w:color="3F3F3F"/>
            </w:tcBorders>
            <w:shd w:val="clear" w:color="000000" w:fill="F2F2F2"/>
            <w:vAlign w:val="center"/>
            <w:hideMark/>
          </w:tcPr>
          <w:p w14:paraId="24AFB7A6" w14:textId="77777777" w:rsidR="00526338" w:rsidRPr="00526338" w:rsidRDefault="00526338" w:rsidP="003D68DC">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PO2b</w:t>
            </w:r>
          </w:p>
        </w:tc>
        <w:tc>
          <w:tcPr>
            <w:tcW w:w="2835" w:type="dxa"/>
            <w:tcBorders>
              <w:top w:val="nil"/>
              <w:left w:val="nil"/>
              <w:bottom w:val="single" w:sz="4" w:space="0" w:color="3F3F3F"/>
              <w:right w:val="single" w:sz="4" w:space="0" w:color="3F3F3F"/>
            </w:tcBorders>
            <w:shd w:val="clear" w:color="000000" w:fill="F2F2F2"/>
            <w:vAlign w:val="center"/>
            <w:hideMark/>
          </w:tcPr>
          <w:p w14:paraId="04252A5C" w14:textId="01834A05"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between EUR 227,828,649</w:t>
            </w:r>
            <w:r w:rsidR="00B54A5F" w:rsidRPr="00E2035E">
              <w:rPr>
                <w:rFonts w:ascii="Calibri" w:eastAsia="Times New Roman" w:hAnsi="Calibri" w:cs="Calibri"/>
                <w:noProof/>
                <w:color w:val="auto"/>
                <w:sz w:val="22"/>
                <w:lang w:val="en-IE" w:eastAsia="en-IE"/>
              </w:rPr>
              <w:t xml:space="preserve"> </w:t>
            </w:r>
            <w:r w:rsidRPr="00526338">
              <w:rPr>
                <w:rFonts w:ascii="Calibri" w:eastAsia="Times New Roman" w:hAnsi="Calibri" w:cs="Calibri"/>
                <w:noProof/>
                <w:color w:val="auto"/>
                <w:sz w:val="22"/>
                <w:lang w:val="en-IE" w:eastAsia="en-IE"/>
              </w:rPr>
              <w:t>and</w:t>
            </w:r>
            <w:r w:rsidR="00665117" w:rsidRPr="00E2035E">
              <w:rPr>
                <w:rFonts w:ascii="Calibri" w:eastAsia="Times New Roman" w:hAnsi="Calibri" w:cs="Calibri"/>
                <w:noProof/>
                <w:color w:val="auto"/>
                <w:sz w:val="22"/>
                <w:lang w:val="en-IE" w:eastAsia="en-IE"/>
              </w:rPr>
              <w:t xml:space="preserve"> </w:t>
            </w:r>
            <w:r w:rsidR="00294919" w:rsidRPr="00E2035E">
              <w:rPr>
                <w:rFonts w:ascii="Calibri" w:eastAsia="Times New Roman" w:hAnsi="Calibri" w:cs="Calibri"/>
                <w:noProof/>
                <w:color w:val="auto"/>
                <w:sz w:val="22"/>
                <w:lang w:val="en-IE" w:eastAsia="en-IE"/>
              </w:rPr>
              <w:t xml:space="preserve">EUR </w:t>
            </w:r>
            <w:r w:rsidRPr="00526338">
              <w:rPr>
                <w:rFonts w:ascii="Calibri" w:eastAsia="Times New Roman" w:hAnsi="Calibri" w:cs="Calibri"/>
                <w:noProof/>
                <w:color w:val="auto"/>
                <w:sz w:val="22"/>
                <w:lang w:val="en-IE" w:eastAsia="en-IE"/>
              </w:rPr>
              <w:t>340,256,273</w:t>
            </w:r>
          </w:p>
        </w:tc>
        <w:tc>
          <w:tcPr>
            <w:tcW w:w="2694" w:type="dxa"/>
            <w:tcBorders>
              <w:top w:val="nil"/>
              <w:left w:val="nil"/>
              <w:bottom w:val="single" w:sz="4" w:space="0" w:color="3F3F3F"/>
              <w:right w:val="single" w:sz="4" w:space="0" w:color="3F3F3F"/>
            </w:tcBorders>
            <w:shd w:val="clear" w:color="000000" w:fill="F2F2F2"/>
            <w:vAlign w:val="center"/>
            <w:hideMark/>
          </w:tcPr>
          <w:p w14:paraId="20D6B0BD" w14:textId="39552731"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 xml:space="preserve">between EUR 170,871,733 and </w:t>
            </w:r>
            <w:r w:rsidR="00294919" w:rsidRPr="00E2035E">
              <w:rPr>
                <w:rFonts w:ascii="Calibri" w:eastAsia="Times New Roman" w:hAnsi="Calibri" w:cs="Calibri"/>
                <w:noProof/>
                <w:color w:val="auto"/>
                <w:sz w:val="22"/>
                <w:lang w:val="en-IE" w:eastAsia="en-IE"/>
              </w:rPr>
              <w:t xml:space="preserve">EUR </w:t>
            </w:r>
            <w:r w:rsidRPr="00526338">
              <w:rPr>
                <w:rFonts w:ascii="Calibri" w:eastAsia="Times New Roman" w:hAnsi="Calibri" w:cs="Calibri"/>
                <w:noProof/>
                <w:color w:val="auto"/>
                <w:sz w:val="22"/>
                <w:lang w:val="en-IE" w:eastAsia="en-IE"/>
              </w:rPr>
              <w:t>255,192,572</w:t>
            </w:r>
          </w:p>
        </w:tc>
        <w:tc>
          <w:tcPr>
            <w:tcW w:w="2693" w:type="dxa"/>
            <w:tcBorders>
              <w:top w:val="nil"/>
              <w:left w:val="nil"/>
              <w:bottom w:val="single" w:sz="4" w:space="0" w:color="3F3F3F"/>
              <w:right w:val="single" w:sz="4" w:space="0" w:color="3F3F3F"/>
            </w:tcBorders>
            <w:shd w:val="clear" w:color="000000" w:fill="F2F2F2"/>
            <w:vAlign w:val="center"/>
            <w:hideMark/>
          </w:tcPr>
          <w:p w14:paraId="674707AB" w14:textId="07A6E7E2"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 xml:space="preserve">between EUR 284,785,975 and </w:t>
            </w:r>
            <w:r w:rsidR="00294919" w:rsidRPr="00E2035E">
              <w:rPr>
                <w:rFonts w:ascii="Calibri" w:eastAsia="Times New Roman" w:hAnsi="Calibri" w:cs="Calibri"/>
                <w:noProof/>
                <w:color w:val="auto"/>
                <w:sz w:val="22"/>
                <w:lang w:val="en-IE" w:eastAsia="en-IE"/>
              </w:rPr>
              <w:t xml:space="preserve">EUR </w:t>
            </w:r>
            <w:r w:rsidRPr="00526338">
              <w:rPr>
                <w:rFonts w:ascii="Calibri" w:eastAsia="Times New Roman" w:hAnsi="Calibri" w:cs="Calibri"/>
                <w:noProof/>
                <w:color w:val="auto"/>
                <w:sz w:val="22"/>
                <w:lang w:val="en-IE" w:eastAsia="en-IE"/>
              </w:rPr>
              <w:t>425,320,586</w:t>
            </w:r>
          </w:p>
        </w:tc>
      </w:tr>
      <w:tr w:rsidR="00D6697C" w:rsidRPr="00526338" w14:paraId="0B70F997" w14:textId="77777777" w:rsidTr="00D6697C">
        <w:trPr>
          <w:trHeight w:val="288"/>
        </w:trPr>
        <w:tc>
          <w:tcPr>
            <w:tcW w:w="1696" w:type="dxa"/>
            <w:tcBorders>
              <w:top w:val="nil"/>
              <w:left w:val="single" w:sz="4" w:space="0" w:color="3F3F3F"/>
              <w:bottom w:val="single" w:sz="4" w:space="0" w:color="3F3F3F"/>
              <w:right w:val="single" w:sz="4" w:space="0" w:color="3F3F3F"/>
            </w:tcBorders>
            <w:shd w:val="clear" w:color="000000" w:fill="F2F2F2"/>
            <w:vAlign w:val="bottom"/>
            <w:hideMark/>
          </w:tcPr>
          <w:p w14:paraId="6FBD6FC4" w14:textId="77777777" w:rsidR="00526338" w:rsidRPr="00526338" w:rsidRDefault="00526338" w:rsidP="000F189C">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PO3c</w:t>
            </w:r>
          </w:p>
        </w:tc>
        <w:tc>
          <w:tcPr>
            <w:tcW w:w="2835" w:type="dxa"/>
            <w:tcBorders>
              <w:top w:val="nil"/>
              <w:left w:val="nil"/>
              <w:bottom w:val="single" w:sz="4" w:space="0" w:color="3F3F3F"/>
              <w:right w:val="single" w:sz="4" w:space="0" w:color="3F3F3F"/>
            </w:tcBorders>
            <w:shd w:val="clear" w:color="000000" w:fill="F2F2F2"/>
            <w:noWrap/>
            <w:vAlign w:val="center"/>
            <w:hideMark/>
          </w:tcPr>
          <w:p w14:paraId="5175B1BB"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28,718,065</w:t>
            </w:r>
          </w:p>
        </w:tc>
        <w:tc>
          <w:tcPr>
            <w:tcW w:w="2694" w:type="dxa"/>
            <w:tcBorders>
              <w:top w:val="nil"/>
              <w:left w:val="nil"/>
              <w:bottom w:val="single" w:sz="4" w:space="0" w:color="3F3F3F"/>
              <w:right w:val="single" w:sz="4" w:space="0" w:color="3F3F3F"/>
            </w:tcBorders>
            <w:shd w:val="clear" w:color="000000" w:fill="F2F2F2"/>
            <w:noWrap/>
            <w:vAlign w:val="center"/>
            <w:hideMark/>
          </w:tcPr>
          <w:p w14:paraId="2B3032C5"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23,931,755</w:t>
            </w:r>
          </w:p>
        </w:tc>
        <w:tc>
          <w:tcPr>
            <w:tcW w:w="2693" w:type="dxa"/>
            <w:tcBorders>
              <w:top w:val="nil"/>
              <w:left w:val="nil"/>
              <w:bottom w:val="single" w:sz="4" w:space="0" w:color="3F3F3F"/>
              <w:right w:val="single" w:sz="4" w:space="0" w:color="3F3F3F"/>
            </w:tcBorders>
            <w:shd w:val="clear" w:color="000000" w:fill="F2F2F2"/>
            <w:noWrap/>
            <w:vAlign w:val="center"/>
            <w:hideMark/>
          </w:tcPr>
          <w:p w14:paraId="73186F41"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39,886,224</w:t>
            </w:r>
          </w:p>
        </w:tc>
      </w:tr>
      <w:tr w:rsidR="00D6697C" w:rsidRPr="00526338" w14:paraId="573BD504" w14:textId="77777777" w:rsidTr="00D6697C">
        <w:trPr>
          <w:trHeight w:val="288"/>
        </w:trPr>
        <w:tc>
          <w:tcPr>
            <w:tcW w:w="1696" w:type="dxa"/>
            <w:tcBorders>
              <w:top w:val="nil"/>
              <w:left w:val="single" w:sz="4" w:space="0" w:color="3F3F3F"/>
              <w:bottom w:val="single" w:sz="4" w:space="0" w:color="3F3F3F"/>
              <w:right w:val="single" w:sz="4" w:space="0" w:color="3F3F3F"/>
            </w:tcBorders>
            <w:shd w:val="clear" w:color="000000" w:fill="F2F2F2"/>
            <w:vAlign w:val="bottom"/>
            <w:hideMark/>
          </w:tcPr>
          <w:p w14:paraId="0823DBC4" w14:textId="77777777" w:rsidR="00526338" w:rsidRPr="00526338" w:rsidRDefault="00526338" w:rsidP="000F189C">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PO4c</w:t>
            </w:r>
          </w:p>
        </w:tc>
        <w:tc>
          <w:tcPr>
            <w:tcW w:w="2835" w:type="dxa"/>
            <w:tcBorders>
              <w:top w:val="nil"/>
              <w:left w:val="nil"/>
              <w:bottom w:val="single" w:sz="4" w:space="0" w:color="3F3F3F"/>
              <w:right w:val="single" w:sz="4" w:space="0" w:color="3F3F3F"/>
            </w:tcBorders>
            <w:shd w:val="clear" w:color="000000" w:fill="F2F2F2"/>
            <w:noWrap/>
            <w:vAlign w:val="center"/>
            <w:hideMark/>
          </w:tcPr>
          <w:p w14:paraId="62B2B3BC"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3,281,457</w:t>
            </w:r>
          </w:p>
        </w:tc>
        <w:tc>
          <w:tcPr>
            <w:tcW w:w="2694" w:type="dxa"/>
            <w:tcBorders>
              <w:top w:val="nil"/>
              <w:left w:val="nil"/>
              <w:bottom w:val="single" w:sz="4" w:space="0" w:color="3F3F3F"/>
              <w:right w:val="single" w:sz="4" w:space="0" w:color="3F3F3F"/>
            </w:tcBorders>
            <w:shd w:val="clear" w:color="000000" w:fill="F2F2F2"/>
            <w:noWrap/>
            <w:vAlign w:val="center"/>
            <w:hideMark/>
          </w:tcPr>
          <w:p w14:paraId="7CA622B6"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2,461,090</w:t>
            </w:r>
          </w:p>
        </w:tc>
        <w:tc>
          <w:tcPr>
            <w:tcW w:w="2693" w:type="dxa"/>
            <w:tcBorders>
              <w:top w:val="nil"/>
              <w:left w:val="nil"/>
              <w:bottom w:val="single" w:sz="4" w:space="0" w:color="3F3F3F"/>
              <w:right w:val="single" w:sz="4" w:space="0" w:color="3F3F3F"/>
            </w:tcBorders>
            <w:shd w:val="clear" w:color="000000" w:fill="F2F2F2"/>
            <w:noWrap/>
            <w:vAlign w:val="center"/>
            <w:hideMark/>
          </w:tcPr>
          <w:p w14:paraId="0C8EA425"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4,101,813</w:t>
            </w:r>
          </w:p>
        </w:tc>
      </w:tr>
      <w:tr w:rsidR="00D6697C" w:rsidRPr="00526338" w14:paraId="008C34F3" w14:textId="77777777" w:rsidTr="00D6697C">
        <w:trPr>
          <w:trHeight w:val="288"/>
        </w:trPr>
        <w:tc>
          <w:tcPr>
            <w:tcW w:w="1696" w:type="dxa"/>
            <w:tcBorders>
              <w:top w:val="nil"/>
              <w:left w:val="single" w:sz="4" w:space="0" w:color="3F3F3F"/>
              <w:bottom w:val="single" w:sz="4" w:space="0" w:color="3F3F3F"/>
              <w:right w:val="single" w:sz="4" w:space="0" w:color="3F3F3F"/>
            </w:tcBorders>
            <w:shd w:val="clear" w:color="000000" w:fill="F2F2F2"/>
            <w:vAlign w:val="bottom"/>
            <w:hideMark/>
          </w:tcPr>
          <w:p w14:paraId="2D67CF6C" w14:textId="77777777" w:rsidR="00526338" w:rsidRPr="00526338" w:rsidRDefault="00526338" w:rsidP="000F189C">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PO5c</w:t>
            </w:r>
          </w:p>
        </w:tc>
        <w:tc>
          <w:tcPr>
            <w:tcW w:w="2835" w:type="dxa"/>
            <w:tcBorders>
              <w:top w:val="nil"/>
              <w:left w:val="nil"/>
              <w:bottom w:val="single" w:sz="4" w:space="0" w:color="3F3F3F"/>
              <w:right w:val="single" w:sz="4" w:space="0" w:color="3F3F3F"/>
            </w:tcBorders>
            <w:shd w:val="clear" w:color="000000" w:fill="F2F2F2"/>
            <w:noWrap/>
            <w:vAlign w:val="center"/>
            <w:hideMark/>
          </w:tcPr>
          <w:p w14:paraId="028D3B54"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12,971,406</w:t>
            </w:r>
          </w:p>
        </w:tc>
        <w:tc>
          <w:tcPr>
            <w:tcW w:w="2694" w:type="dxa"/>
            <w:tcBorders>
              <w:top w:val="nil"/>
              <w:left w:val="nil"/>
              <w:bottom w:val="single" w:sz="4" w:space="0" w:color="3F3F3F"/>
              <w:right w:val="single" w:sz="4" w:space="0" w:color="3F3F3F"/>
            </w:tcBorders>
            <w:shd w:val="clear" w:color="000000" w:fill="F2F2F2"/>
            <w:noWrap/>
            <w:vAlign w:val="center"/>
            <w:hideMark/>
          </w:tcPr>
          <w:p w14:paraId="7F29B7DD"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9,728,544</w:t>
            </w:r>
          </w:p>
        </w:tc>
        <w:tc>
          <w:tcPr>
            <w:tcW w:w="2693" w:type="dxa"/>
            <w:tcBorders>
              <w:top w:val="nil"/>
              <w:left w:val="nil"/>
              <w:bottom w:val="single" w:sz="4" w:space="0" w:color="3F3F3F"/>
              <w:right w:val="single" w:sz="4" w:space="0" w:color="3F3F3F"/>
            </w:tcBorders>
            <w:shd w:val="clear" w:color="000000" w:fill="F2F2F2"/>
            <w:noWrap/>
            <w:vAlign w:val="center"/>
            <w:hideMark/>
          </w:tcPr>
          <w:p w14:paraId="7E7F9BE2" w14:textId="77777777" w:rsidR="00526338" w:rsidRPr="00526338" w:rsidRDefault="00526338" w:rsidP="00526338">
            <w:pPr>
              <w:spacing w:before="0" w:after="0"/>
              <w:jc w:val="center"/>
              <w:rPr>
                <w:rFonts w:ascii="Calibri" w:eastAsia="Times New Roman" w:hAnsi="Calibri" w:cs="Calibri"/>
                <w:noProof/>
                <w:color w:val="auto"/>
                <w:sz w:val="22"/>
                <w:lang w:val="en-IE" w:eastAsia="en-IE"/>
              </w:rPr>
            </w:pPr>
            <w:r w:rsidRPr="00526338">
              <w:rPr>
                <w:rFonts w:ascii="Calibri" w:eastAsia="Times New Roman" w:hAnsi="Calibri" w:cs="Calibri"/>
                <w:noProof/>
                <w:color w:val="auto"/>
                <w:sz w:val="22"/>
                <w:lang w:val="en-IE" w:eastAsia="en-IE"/>
              </w:rPr>
              <w:t>EUR 16,214,226</w:t>
            </w:r>
          </w:p>
        </w:tc>
      </w:tr>
      <w:tr w:rsidR="00E1435C" w:rsidRPr="00E1435C" w14:paraId="63A70964" w14:textId="77777777" w:rsidTr="00E1435C">
        <w:trPr>
          <w:trHeight w:val="288"/>
        </w:trPr>
        <w:tc>
          <w:tcPr>
            <w:tcW w:w="1696" w:type="dxa"/>
            <w:tcBorders>
              <w:top w:val="nil"/>
              <w:left w:val="single" w:sz="4" w:space="0" w:color="3F3F3F"/>
              <w:bottom w:val="single" w:sz="4" w:space="0" w:color="3F3F3F"/>
              <w:right w:val="single" w:sz="4" w:space="0" w:color="3F3F3F"/>
            </w:tcBorders>
            <w:shd w:val="clear" w:color="000000" w:fill="F2F2F2"/>
            <w:vAlign w:val="bottom"/>
          </w:tcPr>
          <w:p w14:paraId="24671FD1" w14:textId="77777777" w:rsidR="00E1435C" w:rsidRPr="00E1435C" w:rsidRDefault="00E1435C" w:rsidP="00E1435C">
            <w:pPr>
              <w:spacing w:before="0" w:after="0"/>
              <w:jc w:val="center"/>
              <w:rPr>
                <w:rFonts w:ascii="Calibri" w:eastAsia="Times New Roman" w:hAnsi="Calibri" w:cs="Calibri"/>
                <w:noProof/>
                <w:color w:val="auto"/>
                <w:sz w:val="22"/>
                <w:lang w:val="en-IE" w:eastAsia="en-IE"/>
              </w:rPr>
            </w:pPr>
            <w:r w:rsidRPr="00E1435C">
              <w:rPr>
                <w:rFonts w:ascii="Calibri" w:eastAsia="Times New Roman" w:hAnsi="Calibri" w:cs="Calibri"/>
                <w:noProof/>
                <w:color w:val="auto"/>
                <w:sz w:val="22"/>
                <w:lang w:val="en-IE" w:eastAsia="en-IE"/>
              </w:rPr>
              <w:t>PO6b</w:t>
            </w:r>
          </w:p>
        </w:tc>
        <w:tc>
          <w:tcPr>
            <w:tcW w:w="2835" w:type="dxa"/>
            <w:tcBorders>
              <w:top w:val="nil"/>
              <w:left w:val="nil"/>
              <w:bottom w:val="single" w:sz="4" w:space="0" w:color="3F3F3F"/>
              <w:right w:val="single" w:sz="4" w:space="0" w:color="3F3F3F"/>
            </w:tcBorders>
            <w:shd w:val="clear" w:color="000000" w:fill="F2F2F2"/>
            <w:noWrap/>
            <w:vAlign w:val="center"/>
          </w:tcPr>
          <w:p w14:paraId="233C52AB" w14:textId="77777777" w:rsidR="00E1435C" w:rsidRPr="00E1435C" w:rsidRDefault="00E1435C" w:rsidP="00E1435C">
            <w:pPr>
              <w:spacing w:before="0" w:after="0"/>
              <w:jc w:val="center"/>
              <w:rPr>
                <w:rFonts w:ascii="Calibri" w:eastAsia="Times New Roman" w:hAnsi="Calibri" w:cs="Calibri"/>
                <w:noProof/>
                <w:color w:val="auto"/>
                <w:sz w:val="22"/>
                <w:lang w:val="en-IE" w:eastAsia="en-IE"/>
              </w:rPr>
            </w:pPr>
            <w:r w:rsidRPr="00E1435C">
              <w:rPr>
                <w:rFonts w:ascii="Calibri" w:eastAsia="Times New Roman" w:hAnsi="Calibri" w:cs="Calibri"/>
                <w:noProof/>
                <w:color w:val="auto"/>
                <w:sz w:val="22"/>
                <w:lang w:val="en-IE" w:eastAsia="en-IE"/>
              </w:rPr>
              <w:t>EUR 55,206,278</w:t>
            </w:r>
          </w:p>
        </w:tc>
        <w:tc>
          <w:tcPr>
            <w:tcW w:w="2694" w:type="dxa"/>
            <w:tcBorders>
              <w:top w:val="nil"/>
              <w:left w:val="nil"/>
              <w:bottom w:val="single" w:sz="4" w:space="0" w:color="3F3F3F"/>
              <w:right w:val="single" w:sz="4" w:space="0" w:color="3F3F3F"/>
            </w:tcBorders>
            <w:shd w:val="clear" w:color="000000" w:fill="F2F2F2"/>
            <w:noWrap/>
            <w:vAlign w:val="center"/>
          </w:tcPr>
          <w:p w14:paraId="5C3C375F" w14:textId="77777777" w:rsidR="00E1435C" w:rsidRPr="00E1435C" w:rsidRDefault="00E1435C" w:rsidP="00E1435C">
            <w:pPr>
              <w:spacing w:before="0" w:after="0"/>
              <w:jc w:val="center"/>
              <w:rPr>
                <w:rFonts w:ascii="Calibri" w:eastAsia="Times New Roman" w:hAnsi="Calibri" w:cs="Calibri"/>
                <w:noProof/>
                <w:color w:val="auto"/>
                <w:sz w:val="22"/>
                <w:lang w:val="en-IE" w:eastAsia="en-IE"/>
              </w:rPr>
            </w:pPr>
            <w:r w:rsidRPr="00E1435C">
              <w:rPr>
                <w:rFonts w:ascii="Calibri" w:eastAsia="Times New Roman" w:hAnsi="Calibri" w:cs="Calibri"/>
                <w:noProof/>
                <w:color w:val="auto"/>
                <w:sz w:val="22"/>
                <w:lang w:val="en-IE" w:eastAsia="en-IE"/>
              </w:rPr>
              <w:t>EUR 41,404,683</w:t>
            </w:r>
          </w:p>
        </w:tc>
        <w:tc>
          <w:tcPr>
            <w:tcW w:w="2693" w:type="dxa"/>
            <w:tcBorders>
              <w:top w:val="nil"/>
              <w:left w:val="nil"/>
              <w:bottom w:val="single" w:sz="4" w:space="0" w:color="3F3F3F"/>
              <w:right w:val="single" w:sz="4" w:space="0" w:color="3F3F3F"/>
            </w:tcBorders>
            <w:shd w:val="clear" w:color="000000" w:fill="F2F2F2"/>
            <w:noWrap/>
            <w:vAlign w:val="center"/>
          </w:tcPr>
          <w:p w14:paraId="0D251BC5" w14:textId="77777777" w:rsidR="00E1435C" w:rsidRPr="00E1435C" w:rsidRDefault="00E1435C" w:rsidP="00E1435C">
            <w:pPr>
              <w:spacing w:before="0" w:after="0"/>
              <w:jc w:val="center"/>
              <w:rPr>
                <w:rFonts w:ascii="Calibri" w:eastAsia="Times New Roman" w:hAnsi="Calibri" w:cs="Calibri"/>
                <w:noProof/>
                <w:color w:val="auto"/>
                <w:sz w:val="22"/>
                <w:lang w:val="en-IE" w:eastAsia="en-IE"/>
              </w:rPr>
            </w:pPr>
            <w:r w:rsidRPr="00E1435C">
              <w:rPr>
                <w:rFonts w:ascii="Calibri" w:eastAsia="Times New Roman" w:hAnsi="Calibri" w:cs="Calibri"/>
                <w:noProof/>
                <w:color w:val="auto"/>
                <w:sz w:val="22"/>
                <w:lang w:val="en-IE" w:eastAsia="en-IE"/>
              </w:rPr>
              <w:t>EUR 69,007,746</w:t>
            </w:r>
          </w:p>
        </w:tc>
      </w:tr>
      <w:tr w:rsidR="00D6697C" w:rsidRPr="00526338" w14:paraId="68032C42" w14:textId="77777777" w:rsidTr="00D6697C">
        <w:trPr>
          <w:trHeight w:val="288"/>
        </w:trPr>
        <w:tc>
          <w:tcPr>
            <w:tcW w:w="1696" w:type="dxa"/>
            <w:tcBorders>
              <w:top w:val="nil"/>
              <w:left w:val="single" w:sz="4" w:space="0" w:color="3F3F3F"/>
              <w:bottom w:val="single" w:sz="4" w:space="0" w:color="3F3F3F"/>
              <w:right w:val="single" w:sz="4" w:space="0" w:color="3F3F3F"/>
            </w:tcBorders>
            <w:shd w:val="clear" w:color="000000" w:fill="F2F2F2"/>
            <w:vAlign w:val="bottom"/>
            <w:hideMark/>
          </w:tcPr>
          <w:p w14:paraId="1DD80DE5" w14:textId="77777777" w:rsidR="00526338" w:rsidRPr="00526338" w:rsidRDefault="00526338" w:rsidP="00EF690B">
            <w:pPr>
              <w:spacing w:before="0" w:after="0"/>
              <w:jc w:val="center"/>
              <w:rPr>
                <w:rFonts w:ascii="Calibri" w:eastAsia="Times New Roman" w:hAnsi="Calibri" w:cs="Calibri"/>
                <w:b/>
                <w:bCs/>
                <w:noProof/>
                <w:color w:val="auto"/>
                <w:sz w:val="22"/>
                <w:lang w:val="en-IE" w:eastAsia="en-IE"/>
              </w:rPr>
            </w:pPr>
            <w:r w:rsidRPr="00526338">
              <w:rPr>
                <w:rFonts w:ascii="Calibri" w:eastAsia="Times New Roman" w:hAnsi="Calibri" w:cs="Calibri"/>
                <w:b/>
                <w:bCs/>
                <w:noProof/>
                <w:color w:val="auto"/>
                <w:sz w:val="22"/>
                <w:lang w:val="en-IE" w:eastAsia="en-IE"/>
              </w:rPr>
              <w:t>Total preferred policy options</w:t>
            </w:r>
          </w:p>
        </w:tc>
        <w:tc>
          <w:tcPr>
            <w:tcW w:w="2835" w:type="dxa"/>
            <w:tcBorders>
              <w:top w:val="nil"/>
              <w:left w:val="nil"/>
              <w:bottom w:val="single" w:sz="4" w:space="0" w:color="3F3F3F"/>
              <w:right w:val="single" w:sz="4" w:space="0" w:color="3F3F3F"/>
            </w:tcBorders>
            <w:shd w:val="clear" w:color="000000" w:fill="F2F2F2"/>
            <w:noWrap/>
            <w:vAlign w:val="center"/>
            <w:hideMark/>
          </w:tcPr>
          <w:p w14:paraId="0499C5D7" w14:textId="2EB0A66A" w:rsidR="00526338" w:rsidRPr="00526338" w:rsidRDefault="00526338" w:rsidP="00526338">
            <w:pPr>
              <w:spacing w:before="0" w:after="0"/>
              <w:jc w:val="center"/>
              <w:rPr>
                <w:rFonts w:ascii="Calibri" w:eastAsia="Times New Roman" w:hAnsi="Calibri" w:cs="Calibri"/>
                <w:b/>
                <w:bCs/>
                <w:noProof/>
                <w:color w:val="auto"/>
                <w:sz w:val="22"/>
                <w:lang w:val="en-IE" w:eastAsia="en-IE"/>
              </w:rPr>
            </w:pPr>
            <w:r w:rsidRPr="00526338">
              <w:rPr>
                <w:rFonts w:ascii="Calibri" w:eastAsia="Times New Roman" w:hAnsi="Calibri" w:cs="Calibri"/>
                <w:b/>
                <w:bCs/>
                <w:noProof/>
                <w:color w:val="auto"/>
                <w:sz w:val="22"/>
                <w:lang w:val="en-IE" w:eastAsia="en-IE"/>
              </w:rPr>
              <w:t xml:space="preserve">EUR </w:t>
            </w:r>
            <w:r w:rsidR="004E4BD7">
              <w:rPr>
                <w:rFonts w:ascii="Calibri" w:eastAsia="Times New Roman" w:hAnsi="Calibri" w:cs="Calibri"/>
                <w:b/>
                <w:bCs/>
                <w:noProof/>
                <w:color w:val="auto"/>
                <w:sz w:val="22"/>
                <w:lang w:val="en-IE" w:eastAsia="en-IE"/>
              </w:rPr>
              <w:t>328</w:t>
            </w:r>
            <w:r w:rsidRPr="00526338">
              <w:rPr>
                <w:rFonts w:ascii="Calibri" w:eastAsia="Times New Roman" w:hAnsi="Calibri" w:cs="Calibri"/>
                <w:b/>
                <w:bCs/>
                <w:noProof/>
                <w:color w:val="auto"/>
                <w:sz w:val="22"/>
                <w:lang w:val="en-IE" w:eastAsia="en-IE"/>
              </w:rPr>
              <w:t>,</w:t>
            </w:r>
            <w:r w:rsidR="004E4BD7">
              <w:rPr>
                <w:rFonts w:ascii="Calibri" w:eastAsia="Times New Roman" w:hAnsi="Calibri" w:cs="Calibri"/>
                <w:b/>
                <w:bCs/>
                <w:noProof/>
                <w:color w:val="auto"/>
                <w:sz w:val="22"/>
                <w:lang w:val="en-IE" w:eastAsia="en-IE"/>
              </w:rPr>
              <w:t>005</w:t>
            </w:r>
            <w:r w:rsidRPr="00526338">
              <w:rPr>
                <w:rFonts w:ascii="Calibri" w:eastAsia="Times New Roman" w:hAnsi="Calibri" w:cs="Calibri"/>
                <w:b/>
                <w:bCs/>
                <w:noProof/>
                <w:color w:val="auto"/>
                <w:sz w:val="22"/>
                <w:lang w:val="en-IE" w:eastAsia="en-IE"/>
              </w:rPr>
              <w:t>,</w:t>
            </w:r>
            <w:r w:rsidR="004E4BD7">
              <w:rPr>
                <w:rFonts w:ascii="Calibri" w:eastAsia="Times New Roman" w:hAnsi="Calibri" w:cs="Calibri"/>
                <w:b/>
                <w:bCs/>
                <w:noProof/>
                <w:color w:val="auto"/>
                <w:sz w:val="22"/>
                <w:lang w:val="en-IE" w:eastAsia="en-IE"/>
              </w:rPr>
              <w:t>855</w:t>
            </w:r>
            <w:r w:rsidRPr="00E2035E">
              <w:rPr>
                <w:rFonts w:ascii="Calibri" w:eastAsia="Times New Roman" w:hAnsi="Calibri" w:cs="Calibri"/>
                <w:b/>
                <w:bCs/>
                <w:noProof/>
                <w:color w:val="auto"/>
                <w:sz w:val="22"/>
                <w:lang w:val="en-IE" w:eastAsia="en-IE"/>
              </w:rPr>
              <w:t xml:space="preserve"> </w:t>
            </w:r>
            <w:r w:rsidR="00E37E15">
              <w:rPr>
                <w:rFonts w:ascii="Calibri" w:eastAsia="Times New Roman" w:hAnsi="Calibri" w:cs="Calibri"/>
                <w:b/>
                <w:bCs/>
                <w:noProof/>
                <w:color w:val="auto"/>
                <w:sz w:val="22"/>
                <w:lang w:val="en-IE" w:eastAsia="en-IE"/>
              </w:rPr>
              <w:t xml:space="preserve">                 </w:t>
            </w:r>
            <w:r w:rsidRPr="00E2035E">
              <w:rPr>
                <w:rFonts w:ascii="Calibri" w:eastAsia="Times New Roman" w:hAnsi="Calibri" w:cs="Calibri"/>
                <w:b/>
                <w:bCs/>
                <w:noProof/>
                <w:color w:val="auto"/>
                <w:sz w:val="22"/>
                <w:lang w:val="en-IE" w:eastAsia="en-IE"/>
              </w:rPr>
              <w:t xml:space="preserve">to </w:t>
            </w:r>
            <w:r w:rsidR="00665117" w:rsidRPr="00526338">
              <w:rPr>
                <w:rFonts w:ascii="Calibri" w:eastAsia="Times New Roman" w:hAnsi="Calibri" w:cs="Calibri"/>
                <w:b/>
                <w:bCs/>
                <w:noProof/>
                <w:color w:val="auto"/>
                <w:sz w:val="22"/>
                <w:lang w:val="en-IE" w:eastAsia="en-IE"/>
              </w:rPr>
              <w:t xml:space="preserve">EUR </w:t>
            </w:r>
            <w:r w:rsidR="004E4BD7">
              <w:rPr>
                <w:rFonts w:ascii="Calibri" w:eastAsia="Times New Roman" w:hAnsi="Calibri" w:cs="Calibri"/>
                <w:b/>
                <w:bCs/>
                <w:noProof/>
                <w:color w:val="auto"/>
                <w:sz w:val="22"/>
                <w:lang w:val="en-IE" w:eastAsia="en-IE"/>
              </w:rPr>
              <w:t>440</w:t>
            </w:r>
            <w:r w:rsidR="00665117" w:rsidRPr="00526338">
              <w:rPr>
                <w:rFonts w:ascii="Calibri" w:eastAsia="Times New Roman" w:hAnsi="Calibri" w:cs="Calibri"/>
                <w:b/>
                <w:bCs/>
                <w:noProof/>
                <w:color w:val="auto"/>
                <w:sz w:val="22"/>
                <w:lang w:val="en-IE" w:eastAsia="en-IE"/>
              </w:rPr>
              <w:t>,</w:t>
            </w:r>
            <w:r w:rsidR="004E4BD7">
              <w:rPr>
                <w:rFonts w:ascii="Calibri" w:eastAsia="Times New Roman" w:hAnsi="Calibri" w:cs="Calibri"/>
                <w:b/>
                <w:bCs/>
                <w:noProof/>
                <w:color w:val="auto"/>
                <w:sz w:val="22"/>
                <w:lang w:val="en-IE" w:eastAsia="en-IE"/>
              </w:rPr>
              <w:t>433</w:t>
            </w:r>
            <w:r w:rsidR="00665117" w:rsidRPr="00526338">
              <w:rPr>
                <w:rFonts w:ascii="Calibri" w:eastAsia="Times New Roman" w:hAnsi="Calibri" w:cs="Calibri"/>
                <w:b/>
                <w:bCs/>
                <w:noProof/>
                <w:color w:val="auto"/>
                <w:sz w:val="22"/>
                <w:lang w:val="en-IE" w:eastAsia="en-IE"/>
              </w:rPr>
              <w:t>,</w:t>
            </w:r>
            <w:r w:rsidR="004E4BD7">
              <w:rPr>
                <w:rFonts w:ascii="Calibri" w:eastAsia="Times New Roman" w:hAnsi="Calibri" w:cs="Calibri"/>
                <w:b/>
                <w:bCs/>
                <w:noProof/>
                <w:color w:val="auto"/>
                <w:sz w:val="22"/>
                <w:lang w:val="en-IE" w:eastAsia="en-IE"/>
              </w:rPr>
              <w:t>479</w:t>
            </w:r>
          </w:p>
        </w:tc>
        <w:tc>
          <w:tcPr>
            <w:tcW w:w="2694" w:type="dxa"/>
            <w:tcBorders>
              <w:top w:val="nil"/>
              <w:left w:val="nil"/>
              <w:bottom w:val="single" w:sz="4" w:space="0" w:color="3F3F3F"/>
              <w:right w:val="single" w:sz="4" w:space="0" w:color="3F3F3F"/>
            </w:tcBorders>
            <w:shd w:val="clear" w:color="000000" w:fill="F2F2F2"/>
            <w:noWrap/>
            <w:vAlign w:val="center"/>
            <w:hideMark/>
          </w:tcPr>
          <w:p w14:paraId="34B38C62" w14:textId="77777777" w:rsidR="003C397C" w:rsidRPr="003C397C" w:rsidRDefault="003C397C" w:rsidP="003C397C">
            <w:pPr>
              <w:spacing w:before="0" w:after="0"/>
              <w:jc w:val="center"/>
              <w:rPr>
                <w:rFonts w:ascii="Calibri" w:eastAsia="Times New Roman" w:hAnsi="Calibri" w:cs="Calibri"/>
                <w:b/>
                <w:bCs/>
                <w:noProof/>
                <w:color w:val="auto"/>
                <w:sz w:val="22"/>
                <w:lang w:eastAsia="en-IE"/>
              </w:rPr>
            </w:pPr>
            <w:r w:rsidRPr="003C397C">
              <w:rPr>
                <w:rFonts w:ascii="Calibri" w:eastAsia="Times New Roman" w:hAnsi="Calibri" w:cs="Calibri"/>
                <w:b/>
                <w:bCs/>
                <w:noProof/>
                <w:color w:val="auto"/>
                <w:sz w:val="22"/>
                <w:lang w:eastAsia="en-IE"/>
              </w:rPr>
              <w:t>EUR 248,397,805</w:t>
            </w:r>
          </w:p>
          <w:p w14:paraId="1A477833" w14:textId="70B450E5" w:rsidR="00526338" w:rsidRPr="00526338" w:rsidRDefault="006A0A37" w:rsidP="00526338">
            <w:pPr>
              <w:spacing w:before="0" w:after="0"/>
              <w:jc w:val="center"/>
              <w:rPr>
                <w:rFonts w:ascii="Calibri" w:eastAsia="Times New Roman" w:hAnsi="Calibri" w:cs="Calibri"/>
                <w:b/>
                <w:bCs/>
                <w:noProof/>
                <w:color w:val="auto"/>
                <w:sz w:val="22"/>
                <w:lang w:val="en-IE" w:eastAsia="en-IE"/>
              </w:rPr>
            </w:pPr>
            <w:r w:rsidRPr="00E2035E">
              <w:rPr>
                <w:rFonts w:ascii="Calibri" w:eastAsia="Times New Roman" w:hAnsi="Calibri" w:cs="Calibri"/>
                <w:b/>
                <w:bCs/>
                <w:noProof/>
                <w:color w:val="auto"/>
                <w:sz w:val="22"/>
                <w:lang w:val="en-IE" w:eastAsia="en-IE"/>
              </w:rPr>
              <w:t xml:space="preserve">to </w:t>
            </w:r>
            <w:r w:rsidR="003C397C" w:rsidRPr="003C397C">
              <w:rPr>
                <w:rFonts w:ascii="Calibri" w:eastAsia="Times New Roman" w:hAnsi="Calibri" w:cs="Calibri"/>
                <w:b/>
                <w:bCs/>
                <w:noProof/>
                <w:color w:val="auto"/>
                <w:sz w:val="22"/>
                <w:lang w:eastAsia="en-IE"/>
              </w:rPr>
              <w:t>EUR 332,718,644</w:t>
            </w:r>
          </w:p>
        </w:tc>
        <w:tc>
          <w:tcPr>
            <w:tcW w:w="2693" w:type="dxa"/>
            <w:tcBorders>
              <w:top w:val="nil"/>
              <w:left w:val="nil"/>
              <w:bottom w:val="single" w:sz="4" w:space="0" w:color="3F3F3F"/>
              <w:right w:val="single" w:sz="4" w:space="0" w:color="3F3F3F"/>
            </w:tcBorders>
            <w:shd w:val="clear" w:color="000000" w:fill="F2F2F2"/>
            <w:noWrap/>
            <w:vAlign w:val="center"/>
            <w:hideMark/>
          </w:tcPr>
          <w:p w14:paraId="3ABDFA89" w14:textId="77777777" w:rsidR="00E37E15" w:rsidRPr="00E37E15" w:rsidRDefault="00E37E15" w:rsidP="00E37E15">
            <w:pPr>
              <w:spacing w:before="0" w:after="0"/>
              <w:jc w:val="center"/>
              <w:rPr>
                <w:rFonts w:ascii="Calibri" w:eastAsia="Times New Roman" w:hAnsi="Calibri" w:cs="Calibri"/>
                <w:b/>
                <w:bCs/>
                <w:noProof/>
                <w:color w:val="auto"/>
                <w:sz w:val="22"/>
                <w:lang w:eastAsia="en-IE"/>
              </w:rPr>
            </w:pPr>
            <w:r w:rsidRPr="00E37E15">
              <w:rPr>
                <w:rFonts w:ascii="Calibri" w:eastAsia="Times New Roman" w:hAnsi="Calibri" w:cs="Calibri"/>
                <w:b/>
                <w:bCs/>
                <w:noProof/>
                <w:color w:val="auto"/>
                <w:sz w:val="22"/>
                <w:lang w:eastAsia="en-IE"/>
              </w:rPr>
              <w:t>EUR 413,995,984</w:t>
            </w:r>
          </w:p>
          <w:p w14:paraId="42DB095E" w14:textId="0108C926" w:rsidR="00526338" w:rsidRPr="00526338" w:rsidRDefault="00E37E15" w:rsidP="00526338">
            <w:pPr>
              <w:spacing w:before="0" w:after="0"/>
              <w:jc w:val="center"/>
              <w:rPr>
                <w:rFonts w:ascii="Calibri" w:eastAsia="Times New Roman" w:hAnsi="Calibri" w:cs="Calibri"/>
                <w:b/>
                <w:bCs/>
                <w:noProof/>
                <w:color w:val="auto"/>
                <w:sz w:val="22"/>
                <w:lang w:val="en-IE" w:eastAsia="en-IE"/>
              </w:rPr>
            </w:pPr>
            <w:r>
              <w:rPr>
                <w:rFonts w:ascii="Calibri" w:eastAsia="Times New Roman" w:hAnsi="Calibri" w:cs="Calibri"/>
                <w:b/>
                <w:bCs/>
                <w:noProof/>
                <w:color w:val="auto"/>
                <w:sz w:val="22"/>
                <w:lang w:val="en-IE" w:eastAsia="en-IE"/>
              </w:rPr>
              <w:t xml:space="preserve">to </w:t>
            </w:r>
            <w:r w:rsidRPr="00E37E15">
              <w:rPr>
                <w:rFonts w:ascii="Calibri" w:eastAsia="Times New Roman" w:hAnsi="Calibri" w:cs="Calibri"/>
                <w:b/>
                <w:bCs/>
                <w:noProof/>
                <w:color w:val="auto"/>
                <w:sz w:val="22"/>
                <w:lang w:eastAsia="en-IE"/>
              </w:rPr>
              <w:t>EUR 554,530,595</w:t>
            </w:r>
          </w:p>
        </w:tc>
      </w:tr>
    </w:tbl>
    <w:p w14:paraId="7C47949A" w14:textId="21C85395" w:rsidR="00E9676A" w:rsidRDefault="00C26104" w:rsidP="25CA0D31">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From the administrative burden reduction of EUR </w:t>
      </w:r>
      <w:r w:rsidR="00E37E15">
        <w:rPr>
          <w:rFonts w:ascii="Times New Roman" w:hAnsi="Times New Roman" w:cs="Times New Roman"/>
          <w:noProof/>
          <w:sz w:val="24"/>
          <w:szCs w:val="24"/>
          <w:lang w:val="en-US"/>
        </w:rPr>
        <w:t>328</w:t>
      </w:r>
      <w:r>
        <w:rPr>
          <w:rFonts w:ascii="Times New Roman" w:hAnsi="Times New Roman" w:cs="Times New Roman"/>
          <w:noProof/>
          <w:sz w:val="24"/>
          <w:szCs w:val="24"/>
          <w:lang w:val="en-US"/>
        </w:rPr>
        <w:t xml:space="preserve"> million to </w:t>
      </w:r>
      <w:r w:rsidR="00E37E15">
        <w:rPr>
          <w:rFonts w:ascii="Times New Roman" w:hAnsi="Times New Roman" w:cs="Times New Roman"/>
          <w:noProof/>
          <w:sz w:val="24"/>
          <w:szCs w:val="24"/>
          <w:lang w:val="en-US"/>
        </w:rPr>
        <w:t>440</w:t>
      </w:r>
      <w:r w:rsidR="00715984">
        <w:rPr>
          <w:rFonts w:ascii="Times New Roman" w:hAnsi="Times New Roman" w:cs="Times New Roman"/>
          <w:noProof/>
          <w:sz w:val="24"/>
          <w:szCs w:val="24"/>
          <w:lang w:val="en-US"/>
        </w:rPr>
        <w:t xml:space="preserve"> million</w:t>
      </w:r>
      <w:r w:rsidR="00500E41">
        <w:rPr>
          <w:rFonts w:ascii="Times New Roman" w:hAnsi="Times New Roman" w:cs="Times New Roman"/>
          <w:noProof/>
          <w:sz w:val="24"/>
          <w:szCs w:val="24"/>
          <w:lang w:val="en-US"/>
        </w:rPr>
        <w:t xml:space="preserve"> in the moderate take-up scenario, th</w:t>
      </w:r>
      <w:r w:rsidR="002507DD">
        <w:rPr>
          <w:rFonts w:ascii="Times New Roman" w:hAnsi="Times New Roman" w:cs="Times New Roman"/>
          <w:noProof/>
          <w:sz w:val="24"/>
          <w:szCs w:val="24"/>
          <w:lang w:val="en-US"/>
        </w:rPr>
        <w:t xml:space="preserve">is benefit </w:t>
      </w:r>
      <w:r w:rsidR="00500E41">
        <w:rPr>
          <w:rFonts w:ascii="Times New Roman" w:hAnsi="Times New Roman" w:cs="Times New Roman"/>
          <w:noProof/>
          <w:sz w:val="24"/>
          <w:szCs w:val="24"/>
          <w:lang w:val="en-US"/>
        </w:rPr>
        <w:t>would be of EUR 2</w:t>
      </w:r>
      <w:r w:rsidR="00614643">
        <w:rPr>
          <w:rFonts w:ascii="Times New Roman" w:hAnsi="Times New Roman" w:cs="Times New Roman"/>
          <w:noProof/>
          <w:sz w:val="24"/>
          <w:szCs w:val="24"/>
          <w:lang w:val="en-US"/>
        </w:rPr>
        <w:t>48</w:t>
      </w:r>
      <w:r w:rsidR="00500E41">
        <w:rPr>
          <w:rFonts w:ascii="Times New Roman" w:hAnsi="Times New Roman" w:cs="Times New Roman"/>
          <w:noProof/>
          <w:sz w:val="24"/>
          <w:szCs w:val="24"/>
          <w:lang w:val="en-US"/>
        </w:rPr>
        <w:t xml:space="preserve"> million to </w:t>
      </w:r>
      <w:r w:rsidR="00614643">
        <w:rPr>
          <w:rFonts w:ascii="Times New Roman" w:hAnsi="Times New Roman" w:cs="Times New Roman"/>
          <w:noProof/>
          <w:sz w:val="24"/>
          <w:szCs w:val="24"/>
          <w:lang w:val="en-US"/>
        </w:rPr>
        <w:t>332</w:t>
      </w:r>
      <w:r w:rsidR="00A2452E">
        <w:rPr>
          <w:rFonts w:ascii="Times New Roman" w:hAnsi="Times New Roman" w:cs="Times New Roman"/>
          <w:noProof/>
          <w:sz w:val="24"/>
          <w:szCs w:val="24"/>
          <w:lang w:val="en-US"/>
        </w:rPr>
        <w:t xml:space="preserve"> million under a low take-up</w:t>
      </w:r>
      <w:r w:rsidR="001F250B">
        <w:rPr>
          <w:rFonts w:ascii="Times New Roman" w:hAnsi="Times New Roman" w:cs="Times New Roman"/>
          <w:noProof/>
          <w:sz w:val="24"/>
          <w:szCs w:val="24"/>
          <w:lang w:val="en-US"/>
        </w:rPr>
        <w:t>, or</w:t>
      </w:r>
      <w:r w:rsidR="00A2452E">
        <w:rPr>
          <w:rFonts w:ascii="Times New Roman" w:hAnsi="Times New Roman" w:cs="Times New Roman"/>
          <w:noProof/>
          <w:sz w:val="24"/>
          <w:szCs w:val="24"/>
          <w:lang w:val="en-US"/>
        </w:rPr>
        <w:t xml:space="preserve"> </w:t>
      </w:r>
      <w:r w:rsidR="0072630A">
        <w:rPr>
          <w:rFonts w:ascii="Times New Roman" w:hAnsi="Times New Roman" w:cs="Times New Roman"/>
          <w:noProof/>
          <w:sz w:val="24"/>
          <w:szCs w:val="24"/>
          <w:lang w:val="en-US"/>
        </w:rPr>
        <w:t xml:space="preserve">between EUR </w:t>
      </w:r>
      <w:r w:rsidR="00A1703B">
        <w:rPr>
          <w:rFonts w:ascii="Times New Roman" w:hAnsi="Times New Roman" w:cs="Times New Roman"/>
          <w:noProof/>
          <w:sz w:val="24"/>
          <w:szCs w:val="24"/>
          <w:lang w:val="en-US"/>
        </w:rPr>
        <w:t>414</w:t>
      </w:r>
      <w:r w:rsidR="0072630A">
        <w:rPr>
          <w:rFonts w:ascii="Times New Roman" w:hAnsi="Times New Roman" w:cs="Times New Roman"/>
          <w:noProof/>
          <w:sz w:val="24"/>
          <w:szCs w:val="24"/>
          <w:lang w:val="en-US"/>
        </w:rPr>
        <w:t xml:space="preserve"> million </w:t>
      </w:r>
      <w:r w:rsidR="001F250B">
        <w:rPr>
          <w:rFonts w:ascii="Times New Roman" w:hAnsi="Times New Roman" w:cs="Times New Roman"/>
          <w:noProof/>
          <w:sz w:val="24"/>
          <w:szCs w:val="24"/>
          <w:lang w:val="en-US"/>
        </w:rPr>
        <w:t xml:space="preserve">and </w:t>
      </w:r>
      <w:r w:rsidR="00A1703B">
        <w:rPr>
          <w:rFonts w:ascii="Times New Roman" w:hAnsi="Times New Roman" w:cs="Times New Roman"/>
          <w:noProof/>
          <w:sz w:val="24"/>
          <w:szCs w:val="24"/>
          <w:lang w:val="en-US"/>
        </w:rPr>
        <w:t>554</w:t>
      </w:r>
      <w:r w:rsidR="001F250B">
        <w:rPr>
          <w:rFonts w:ascii="Times New Roman" w:hAnsi="Times New Roman" w:cs="Times New Roman"/>
          <w:noProof/>
          <w:sz w:val="24"/>
          <w:szCs w:val="24"/>
          <w:lang w:val="en-US"/>
        </w:rPr>
        <w:t xml:space="preserve"> million </w:t>
      </w:r>
      <w:r w:rsidR="00C90408">
        <w:rPr>
          <w:rFonts w:ascii="Times New Roman" w:hAnsi="Times New Roman" w:cs="Times New Roman"/>
          <w:noProof/>
          <w:sz w:val="24"/>
          <w:szCs w:val="24"/>
          <w:lang w:val="en-US"/>
        </w:rPr>
        <w:t>considering</w:t>
      </w:r>
      <w:r w:rsidR="0026797A">
        <w:rPr>
          <w:rFonts w:ascii="Times New Roman" w:hAnsi="Times New Roman" w:cs="Times New Roman"/>
          <w:noProof/>
          <w:sz w:val="24"/>
          <w:szCs w:val="24"/>
          <w:lang w:val="en-US"/>
        </w:rPr>
        <w:t xml:space="preserve"> a high take-up</w:t>
      </w:r>
      <w:r w:rsidR="00C90408">
        <w:rPr>
          <w:rFonts w:ascii="Times New Roman" w:hAnsi="Times New Roman" w:cs="Times New Roman"/>
          <w:noProof/>
          <w:sz w:val="24"/>
          <w:szCs w:val="24"/>
          <w:lang w:val="en-US"/>
        </w:rPr>
        <w:t xml:space="preserve"> rate.</w:t>
      </w:r>
      <w:r w:rsidR="005A5FF7">
        <w:rPr>
          <w:rFonts w:ascii="Times New Roman" w:hAnsi="Times New Roman" w:cs="Times New Roman"/>
          <w:noProof/>
          <w:sz w:val="24"/>
          <w:szCs w:val="24"/>
          <w:lang w:val="en-US"/>
        </w:rPr>
        <w:t xml:space="preserve"> The overall administrative burden reduction figures show that the </w:t>
      </w:r>
      <w:r w:rsidR="002F5BB0">
        <w:rPr>
          <w:rFonts w:ascii="Times New Roman" w:hAnsi="Times New Roman" w:cs="Times New Roman"/>
          <w:noProof/>
          <w:sz w:val="24"/>
          <w:szCs w:val="24"/>
          <w:lang w:val="en-US"/>
        </w:rPr>
        <w:t>magnitude</w:t>
      </w:r>
      <w:r w:rsidR="0000516B">
        <w:rPr>
          <w:rFonts w:ascii="Times New Roman" w:hAnsi="Times New Roman" w:cs="Times New Roman"/>
          <w:noProof/>
          <w:sz w:val="24"/>
          <w:szCs w:val="24"/>
          <w:lang w:val="en-US"/>
        </w:rPr>
        <w:t xml:space="preserve"> of the</w:t>
      </w:r>
      <w:r w:rsidR="007A0D99">
        <w:rPr>
          <w:rFonts w:ascii="Times New Roman" w:hAnsi="Times New Roman" w:cs="Times New Roman"/>
          <w:noProof/>
          <w:sz w:val="24"/>
          <w:szCs w:val="24"/>
          <w:lang w:val="en-US"/>
        </w:rPr>
        <w:t xml:space="preserve"> potential</w:t>
      </w:r>
      <w:r w:rsidR="0000516B">
        <w:rPr>
          <w:rFonts w:ascii="Times New Roman" w:hAnsi="Times New Roman" w:cs="Times New Roman"/>
          <w:noProof/>
          <w:sz w:val="24"/>
          <w:szCs w:val="24"/>
          <w:lang w:val="en-US"/>
        </w:rPr>
        <w:t xml:space="preserve"> </w:t>
      </w:r>
      <w:r w:rsidR="005A5FF7">
        <w:rPr>
          <w:rFonts w:ascii="Times New Roman" w:hAnsi="Times New Roman" w:cs="Times New Roman"/>
          <w:noProof/>
          <w:sz w:val="24"/>
          <w:szCs w:val="24"/>
          <w:lang w:val="en-US"/>
        </w:rPr>
        <w:t>benefit</w:t>
      </w:r>
      <w:r w:rsidR="0000516B">
        <w:rPr>
          <w:rFonts w:ascii="Times New Roman" w:hAnsi="Times New Roman" w:cs="Times New Roman"/>
          <w:noProof/>
          <w:sz w:val="24"/>
          <w:szCs w:val="24"/>
          <w:lang w:val="en-US"/>
        </w:rPr>
        <w:t>s</w:t>
      </w:r>
      <w:r w:rsidR="005A5FF7">
        <w:rPr>
          <w:rFonts w:ascii="Times New Roman" w:hAnsi="Times New Roman" w:cs="Times New Roman"/>
          <w:noProof/>
          <w:sz w:val="24"/>
          <w:szCs w:val="24"/>
          <w:lang w:val="en-US"/>
        </w:rPr>
        <w:t xml:space="preserve"> is proportiona</w:t>
      </w:r>
      <w:r w:rsidR="007E4A7A">
        <w:rPr>
          <w:rFonts w:ascii="Times New Roman" w:hAnsi="Times New Roman" w:cs="Times New Roman"/>
          <w:noProof/>
          <w:sz w:val="24"/>
          <w:szCs w:val="24"/>
          <w:lang w:val="en-US"/>
        </w:rPr>
        <w:t>l</w:t>
      </w:r>
      <w:r w:rsidR="005A5FF7">
        <w:rPr>
          <w:rFonts w:ascii="Times New Roman" w:hAnsi="Times New Roman" w:cs="Times New Roman"/>
          <w:noProof/>
          <w:sz w:val="24"/>
          <w:szCs w:val="24"/>
          <w:lang w:val="en-US"/>
        </w:rPr>
        <w:t xml:space="preserve"> to the number of companies opting for the 28</w:t>
      </w:r>
      <w:r w:rsidR="005A5FF7" w:rsidRPr="005A5FF7">
        <w:rPr>
          <w:rFonts w:ascii="Times New Roman" w:hAnsi="Times New Roman" w:cs="Times New Roman"/>
          <w:noProof/>
          <w:sz w:val="24"/>
          <w:szCs w:val="24"/>
          <w:vertAlign w:val="superscript"/>
          <w:lang w:val="en-US"/>
        </w:rPr>
        <w:t>th</w:t>
      </w:r>
      <w:r w:rsidR="005A5FF7">
        <w:rPr>
          <w:rFonts w:ascii="Times New Roman" w:hAnsi="Times New Roman" w:cs="Times New Roman"/>
          <w:noProof/>
          <w:sz w:val="24"/>
          <w:szCs w:val="24"/>
          <w:lang w:val="en-US"/>
        </w:rPr>
        <w:t xml:space="preserve"> regime.</w:t>
      </w:r>
    </w:p>
    <w:p w14:paraId="59A89A61" w14:textId="77777777" w:rsidR="000E5B62" w:rsidRPr="00853996" w:rsidRDefault="000E5B62" w:rsidP="00730C0A">
      <w:pPr>
        <w:rPr>
          <w:rFonts w:ascii="Times New Roman" w:hAnsi="Times New Roman" w:cs="Times New Roman"/>
          <w:bCs/>
          <w:noProof/>
          <w:sz w:val="24"/>
          <w:szCs w:val="24"/>
          <w:lang w:val="en-US"/>
        </w:rPr>
      </w:pPr>
    </w:p>
    <w:p w14:paraId="259EFA0F" w14:textId="77777777" w:rsidR="00646199" w:rsidRPr="003C52CD" w:rsidRDefault="00646199" w:rsidP="003C52CD">
      <w:pPr>
        <w:rPr>
          <w:noProof/>
        </w:rPr>
      </w:pPr>
    </w:p>
    <w:sectPr w:rsidR="00646199" w:rsidRPr="003C52CD" w:rsidSect="004B3F74">
      <w:headerReference w:type="default" r:id="rId34"/>
      <w:footerReference w:type="default" r:id="rId35"/>
      <w:pgSz w:w="11906" w:h="16838"/>
      <w:pgMar w:top="1418" w:right="1418" w:bottom="1418"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6756E" w14:textId="77777777" w:rsidR="00C05123" w:rsidRDefault="00C05123" w:rsidP="00446199">
      <w:r>
        <w:separator/>
      </w:r>
    </w:p>
  </w:endnote>
  <w:endnote w:type="continuationSeparator" w:id="0">
    <w:p w14:paraId="6DAB4D42" w14:textId="77777777" w:rsidR="00C05123" w:rsidRDefault="00C05123" w:rsidP="00446199">
      <w:r>
        <w:continuationSeparator/>
      </w:r>
    </w:p>
  </w:endnote>
  <w:endnote w:type="continuationNotice" w:id="1">
    <w:p w14:paraId="5D89AB8F" w14:textId="77777777" w:rsidR="00C05123" w:rsidRDefault="00C051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Narrow">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charset w:val="00"/>
    <w:family w:val="swiss"/>
    <w:pitch w:val="variable"/>
    <w:sig w:usb0="20000287" w:usb1="00000001" w:usb2="00000000" w:usb3="00000000" w:csb0="000001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0E224" w14:textId="7079F8EF" w:rsidR="00D96D6A" w:rsidRPr="00D96D6A" w:rsidRDefault="00D96D6A" w:rsidP="00D96D6A">
    <w:pPr>
      <w:pStyle w:val="FooterCoverPage"/>
      <w:rPr>
        <w:rFonts w:ascii="Arial" w:hAnsi="Arial" w:cs="Arial"/>
        <w:b/>
        <w:sz w:val="48"/>
      </w:rPr>
    </w:pPr>
    <w:r w:rsidRPr="00D96D6A">
      <w:rPr>
        <w:rFonts w:ascii="Arial" w:hAnsi="Arial" w:cs="Arial"/>
        <w:b/>
        <w:sz w:val="48"/>
      </w:rPr>
      <w:t>EN</w:t>
    </w:r>
    <w:r w:rsidRPr="00D96D6A">
      <w:rPr>
        <w:rFonts w:ascii="Arial" w:hAnsi="Arial" w:cs="Arial"/>
        <w:b/>
        <w:sz w:val="48"/>
      </w:rPr>
      <w:tab/>
    </w:r>
    <w:r w:rsidRPr="00D96D6A">
      <w:rPr>
        <w:rFonts w:ascii="Arial" w:hAnsi="Arial" w:cs="Arial"/>
        <w:b/>
        <w:sz w:val="48"/>
      </w:rPr>
      <w:tab/>
    </w:r>
    <w:r w:rsidRPr="00D96D6A">
      <w:tab/>
    </w:r>
    <w:r w:rsidRPr="00D96D6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FC4FA" w14:textId="247C0321" w:rsidR="00D96D6A" w:rsidRPr="00D96D6A" w:rsidRDefault="00D96D6A" w:rsidP="00D96D6A">
    <w:pPr>
      <w:pStyle w:val="FooterCoverPage"/>
      <w:rPr>
        <w:rFonts w:ascii="Arial" w:hAnsi="Arial" w:cs="Arial"/>
        <w:b/>
        <w:sz w:val="48"/>
      </w:rPr>
    </w:pPr>
    <w:r w:rsidRPr="00D96D6A">
      <w:rPr>
        <w:rFonts w:ascii="Arial" w:hAnsi="Arial" w:cs="Arial"/>
        <w:b/>
        <w:sz w:val="48"/>
      </w:rPr>
      <w:t>EN</w:t>
    </w:r>
    <w:r w:rsidRPr="00D96D6A">
      <w:rPr>
        <w:rFonts w:ascii="Arial" w:hAnsi="Arial" w:cs="Arial"/>
        <w:b/>
        <w:sz w:val="48"/>
      </w:rPr>
      <w:tab/>
    </w:r>
    <w:r w:rsidRPr="00D96D6A">
      <w:rPr>
        <w:rFonts w:ascii="Arial" w:hAnsi="Arial" w:cs="Arial"/>
        <w:b/>
        <w:sz w:val="48"/>
      </w:rPr>
      <w:tab/>
    </w:r>
    <w:r w:rsidRPr="00D96D6A">
      <w:tab/>
    </w:r>
    <w:r w:rsidRPr="00D96D6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07C0D" w14:textId="77777777" w:rsidR="00D96D6A" w:rsidRPr="00D96D6A" w:rsidRDefault="00D96D6A" w:rsidP="00D96D6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1566D" w14:textId="77777777" w:rsidR="00187DA6" w:rsidRDefault="00187D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2500" w:type="pct"/>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4"/>
    </w:tblGrid>
    <w:tr w:rsidR="00187DA6" w14:paraId="12CF1360" w14:textId="77777777" w:rsidTr="009733CA">
      <w:trPr>
        <w:cantSplit/>
        <w:trHeight w:hRule="exact" w:val="340"/>
      </w:trPr>
      <w:tc>
        <w:tcPr>
          <w:tcW w:w="5000" w:type="pct"/>
          <w:vAlign w:val="bottom"/>
        </w:tcPr>
        <w:p w14:paraId="7ABF2A84" w14:textId="4C790593" w:rsidR="00187DA6" w:rsidRDefault="00187DA6" w:rsidP="002B05DC">
          <w:pPr>
            <w:pStyle w:val="Footer"/>
          </w:pPr>
          <w:r w:rsidRPr="004A7F9D">
            <w:fldChar w:fldCharType="begin"/>
          </w:r>
          <w:r>
            <w:instrText xml:space="preserve"> PAGE   \* MERGEFORMAT </w:instrText>
          </w:r>
          <w:r w:rsidRPr="004A7F9D">
            <w:fldChar w:fldCharType="separate"/>
          </w:r>
          <w:r w:rsidR="00D96D6A">
            <w:rPr>
              <w:noProof/>
            </w:rPr>
            <w:t>3</w:t>
          </w:r>
          <w:r w:rsidRPr="004A7F9D">
            <w:fldChar w:fldCharType="end"/>
          </w:r>
        </w:p>
      </w:tc>
    </w:tr>
  </w:tbl>
  <w:p w14:paraId="2D270273" w14:textId="77777777" w:rsidR="00187DA6" w:rsidRDefault="00187DA6" w:rsidP="000D15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2FFAC" w14:textId="77777777" w:rsidR="00187DA6" w:rsidRDefault="00187DA6" w:rsidP="00287613">
    <w:pPr>
      <w:pStyle w:val="NormalNoSpace"/>
      <w:jc w:val="center"/>
    </w:pPr>
    <w:r>
      <w:t xml:space="preserve">Directorate-General for </w:t>
    </w:r>
    <w:r w:rsidRPr="0064476A">
      <w:rPr>
        <w:color w:val="FF0000"/>
      </w:rPr>
      <w:t>[Name of the Directorate-General]</w:t>
    </w:r>
  </w:p>
  <w:p w14:paraId="58C75F1F" w14:textId="77777777" w:rsidR="00187DA6" w:rsidRDefault="00187DA6" w:rsidP="00287613">
    <w:pPr>
      <w:jc w:val="center"/>
    </w:pPr>
    <w:r w:rsidRPr="0064476A">
      <w:rPr>
        <w:color w:val="FF0000"/>
      </w:rPr>
      <w:t>[Name of the Programme/Activity]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4"/>
      <w:gridCol w:w="4394"/>
    </w:tblGrid>
    <w:tr w:rsidR="00187DA6" w:rsidRPr="007A223A" w14:paraId="67AB9F72" w14:textId="77777777" w:rsidTr="00424EB3">
      <w:trPr>
        <w:cantSplit/>
        <w:trHeight w:hRule="exact" w:val="340"/>
      </w:trPr>
      <w:tc>
        <w:tcPr>
          <w:tcW w:w="2500" w:type="pct"/>
          <w:vAlign w:val="bottom"/>
        </w:tcPr>
        <w:p w14:paraId="739908D7" w14:textId="77777777" w:rsidR="00187DA6" w:rsidRPr="007A223A" w:rsidRDefault="00187DA6" w:rsidP="00424EB3">
          <w:pPr>
            <w:pStyle w:val="Footer"/>
            <w:jc w:val="left"/>
            <w:rPr>
              <w:i w:val="0"/>
              <w:iCs/>
            </w:rPr>
          </w:pPr>
          <w:r w:rsidRPr="007A223A">
            <w:rPr>
              <w:i w:val="0"/>
              <w:iCs/>
            </w:rPr>
            <w:t>July, 2014</w:t>
          </w:r>
        </w:p>
      </w:tc>
      <w:tc>
        <w:tcPr>
          <w:tcW w:w="2500" w:type="pct"/>
          <w:vAlign w:val="bottom"/>
        </w:tcPr>
        <w:p w14:paraId="50F5257A" w14:textId="77777777" w:rsidR="00187DA6" w:rsidRPr="007A223A" w:rsidRDefault="00187DA6" w:rsidP="00424EB3">
          <w:pPr>
            <w:pStyle w:val="Footer"/>
            <w:rPr>
              <w:i w:val="0"/>
              <w:iCs/>
            </w:rPr>
          </w:pPr>
          <w:r w:rsidRPr="007A223A">
            <w:rPr>
              <w:i w:val="0"/>
              <w:iCs/>
            </w:rPr>
            <w:t xml:space="preserve">EUR </w:t>
          </w:r>
          <w:r w:rsidRPr="007A223A">
            <w:rPr>
              <w:i w:val="0"/>
              <w:iCs/>
              <w:color w:val="FF0000"/>
            </w:rPr>
            <w:t>[number]</w:t>
          </w:r>
          <w:r w:rsidRPr="007A223A">
            <w:rPr>
              <w:i w:val="0"/>
              <w:iCs/>
            </w:rPr>
            <w:t xml:space="preserve"> EN</w:t>
          </w:r>
        </w:p>
      </w:tc>
    </w:tr>
  </w:tbl>
  <w:p w14:paraId="3E10C85B" w14:textId="77777777" w:rsidR="00187DA6" w:rsidRDefault="00187DA6" w:rsidP="00287613">
    <w:pPr>
      <w:pStyle w:val="Footer"/>
    </w:pPr>
  </w:p>
  <w:p w14:paraId="24E33323" w14:textId="77777777" w:rsidR="00187DA6" w:rsidRDefault="00187DA6" w:rsidP="002876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2841504"/>
      <w:docPartObj>
        <w:docPartGallery w:val="Page Numbers (Bottom of Page)"/>
        <w:docPartUnique/>
      </w:docPartObj>
    </w:sdtPr>
    <w:sdtEndPr>
      <w:rPr>
        <w:noProof/>
      </w:rPr>
    </w:sdtEndPr>
    <w:sdtContent>
      <w:p w14:paraId="19E9B2BD" w14:textId="31BB4E89" w:rsidR="00060C18" w:rsidRDefault="00060C18">
        <w:pPr>
          <w:pStyle w:val="Footer"/>
          <w:jc w:val="center"/>
        </w:pPr>
        <w:r>
          <w:fldChar w:fldCharType="begin"/>
        </w:r>
        <w:r>
          <w:instrText xml:space="preserve"> PAGE   \* MERGEFORMAT </w:instrText>
        </w:r>
        <w:r>
          <w:fldChar w:fldCharType="separate"/>
        </w:r>
        <w:r w:rsidR="00D96D6A">
          <w:rPr>
            <w:noProof/>
          </w:rPr>
          <w:t>7</w:t>
        </w:r>
        <w:r>
          <w:rPr>
            <w:noProof/>
          </w:rPr>
          <w:fldChar w:fldCharType="end"/>
        </w:r>
      </w:p>
    </w:sdtContent>
  </w:sdt>
  <w:p w14:paraId="20A17121" w14:textId="3168BB64" w:rsidR="00D348D3" w:rsidRDefault="00D348D3" w:rsidP="003D5BB4">
    <w:pPr>
      <w:pStyle w:val="Footer"/>
      <w:tabs>
        <w:tab w:val="left" w:pos="10390"/>
      </w:tabs>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9745957"/>
      <w:docPartObj>
        <w:docPartGallery w:val="Page Numbers (Bottom of Page)"/>
        <w:docPartUnique/>
      </w:docPartObj>
    </w:sdtPr>
    <w:sdtEndPr>
      <w:rPr>
        <w:noProof/>
      </w:rPr>
    </w:sdtEndPr>
    <w:sdtContent>
      <w:p w14:paraId="200912A3" w14:textId="77777777" w:rsidR="00187DA6" w:rsidRDefault="00187D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1CC824" w14:textId="77777777" w:rsidR="00187DA6" w:rsidRDefault="00187DA6" w:rsidP="003D5BB4">
    <w:pPr>
      <w:pStyle w:val="Footer"/>
      <w:tabs>
        <w:tab w:val="left" w:pos="10390"/>
      </w:tabs>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3976129"/>
      <w:docPartObj>
        <w:docPartGallery w:val="Page Numbers (Bottom of Page)"/>
        <w:docPartUnique/>
      </w:docPartObj>
    </w:sdtPr>
    <w:sdtEndPr>
      <w:rPr>
        <w:noProof/>
      </w:rPr>
    </w:sdtEndPr>
    <w:sdtContent>
      <w:p w14:paraId="676E0B00" w14:textId="77777777" w:rsidR="00187DA6" w:rsidRDefault="00187D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A8E309" w14:textId="77777777" w:rsidR="00187DA6" w:rsidRDefault="00187DA6" w:rsidP="003D5BB4">
    <w:pPr>
      <w:pStyle w:val="Footer"/>
      <w:tabs>
        <w:tab w:val="left" w:pos="10390"/>
      </w:tabs>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606169"/>
      <w:docPartObj>
        <w:docPartGallery w:val="Page Numbers (Bottom of Page)"/>
        <w:docPartUnique/>
      </w:docPartObj>
    </w:sdtPr>
    <w:sdtEndPr>
      <w:rPr>
        <w:noProof/>
      </w:rPr>
    </w:sdtEndPr>
    <w:sdtContent>
      <w:p w14:paraId="67FA378E" w14:textId="77777777" w:rsidR="00187DA6" w:rsidRDefault="00187D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323887" w14:textId="77777777" w:rsidR="00187DA6" w:rsidRDefault="00187DA6" w:rsidP="003D5BB4">
    <w:pPr>
      <w:pStyle w:val="Footer"/>
      <w:tabs>
        <w:tab w:val="left" w:pos="10390"/>
      </w:tabs>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410860"/>
      <w:docPartObj>
        <w:docPartGallery w:val="Page Numbers (Bottom of Page)"/>
        <w:docPartUnique/>
      </w:docPartObj>
    </w:sdtPr>
    <w:sdtEndPr>
      <w:rPr>
        <w:noProof/>
      </w:rPr>
    </w:sdtEndPr>
    <w:sdtContent>
      <w:p w14:paraId="2254AE83" w14:textId="77777777" w:rsidR="00187DA6" w:rsidRDefault="00187D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7AEF5" w14:textId="77777777" w:rsidR="00187DA6" w:rsidRDefault="00187DA6" w:rsidP="003D5BB4">
    <w:pPr>
      <w:pStyle w:val="Footer"/>
      <w:tabs>
        <w:tab w:val="left" w:pos="10390"/>
      </w:tabs>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368608"/>
      <w:docPartObj>
        <w:docPartGallery w:val="Page Numbers (Bottom of Page)"/>
        <w:docPartUnique/>
      </w:docPartObj>
    </w:sdtPr>
    <w:sdtEndPr>
      <w:rPr>
        <w:noProof/>
      </w:rPr>
    </w:sdtEndPr>
    <w:sdtContent>
      <w:p w14:paraId="1ABBE4D6" w14:textId="77777777" w:rsidR="00187DA6" w:rsidRDefault="00187D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46AD26" w14:textId="77777777" w:rsidR="00187DA6" w:rsidRDefault="00187DA6" w:rsidP="003D5BB4">
    <w:pPr>
      <w:pStyle w:val="Footer"/>
      <w:tabs>
        <w:tab w:val="left" w:pos="10390"/>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469C9" w14:textId="77777777" w:rsidR="00C05123" w:rsidRDefault="00C05123" w:rsidP="00446199">
      <w:r>
        <w:separator/>
      </w:r>
    </w:p>
  </w:footnote>
  <w:footnote w:type="continuationSeparator" w:id="0">
    <w:p w14:paraId="37422802" w14:textId="77777777" w:rsidR="00C05123" w:rsidRDefault="00C05123" w:rsidP="00446199">
      <w:r>
        <w:continuationSeparator/>
      </w:r>
    </w:p>
  </w:footnote>
  <w:footnote w:type="continuationNotice" w:id="1">
    <w:p w14:paraId="74C1C573" w14:textId="77777777" w:rsidR="00C05123" w:rsidRDefault="00C05123"/>
  </w:footnote>
  <w:footnote w:id="2">
    <w:p w14:paraId="1005693C" w14:textId="4B9E3302" w:rsidR="00A0522B" w:rsidRPr="00A0522B" w:rsidRDefault="00A0522B" w:rsidP="005D6ABA">
      <w:pPr>
        <w:pStyle w:val="FootnoteText"/>
        <w:jc w:val="both"/>
      </w:pPr>
      <w:r>
        <w:rPr>
          <w:rStyle w:val="FootnoteReference"/>
        </w:rPr>
        <w:footnoteRef/>
      </w:r>
      <w:r>
        <w:t xml:space="preserve"> Source: BRIS</w:t>
      </w:r>
      <w:r w:rsidR="005D53A9">
        <w:t>.</w:t>
      </w:r>
    </w:p>
  </w:footnote>
  <w:footnote w:id="3">
    <w:p w14:paraId="05BD3F99" w14:textId="47D226FE" w:rsidR="00B255EB" w:rsidRPr="00B255EB" w:rsidRDefault="00B255EB" w:rsidP="005D6ABA">
      <w:pPr>
        <w:pStyle w:val="FootnoteText"/>
        <w:jc w:val="both"/>
      </w:pPr>
      <w:r>
        <w:rPr>
          <w:rStyle w:val="FootnoteReference"/>
        </w:rPr>
        <w:footnoteRef/>
      </w:r>
      <w:r>
        <w:t xml:space="preserve"> </w:t>
      </w:r>
      <w:hyperlink r:id="rId1" w:history="1">
        <w:r w:rsidRPr="007147C6">
          <w:rPr>
            <w:rStyle w:val="Hyperlink"/>
          </w:rPr>
          <w:t>Directive 2019/2121</w:t>
        </w:r>
      </w:hyperlink>
      <w:r w:rsidR="005133B9">
        <w:t>.</w:t>
      </w:r>
    </w:p>
  </w:footnote>
  <w:footnote w:id="4">
    <w:p w14:paraId="16C2D269" w14:textId="24C7AA53" w:rsidR="00B81399" w:rsidRPr="00B81399" w:rsidRDefault="00B81399" w:rsidP="005D6ABA">
      <w:pPr>
        <w:pStyle w:val="FootnoteText"/>
        <w:jc w:val="both"/>
      </w:pPr>
      <w:r>
        <w:rPr>
          <w:rStyle w:val="FootnoteReference"/>
        </w:rPr>
        <w:footnoteRef/>
      </w:r>
      <w:r>
        <w:t xml:space="preserve"> </w:t>
      </w:r>
      <w:r>
        <w:rPr>
          <w:lang w:val="en-IE"/>
        </w:rPr>
        <w:t>C</w:t>
      </w:r>
      <w:r w:rsidRPr="001D619B">
        <w:rPr>
          <w:lang w:val="en-IE"/>
        </w:rPr>
        <w:t xml:space="preserve">ommission staff working document report </w:t>
      </w:r>
      <w:r w:rsidRPr="008C4CFE">
        <w:rPr>
          <w:lang w:val="en-IE"/>
        </w:rPr>
        <w:t>on the technical and financial aspects of the Business Registers Interconnection System (BRIS) Directive (EU) 2012/17</w:t>
      </w:r>
      <w:r w:rsidR="009367E9">
        <w:rPr>
          <w:lang w:val="en-IE"/>
        </w:rPr>
        <w:t xml:space="preserve">, </w:t>
      </w:r>
      <w:hyperlink r:id="rId2" w:history="1">
        <w:r w:rsidR="009367E9" w:rsidRPr="00580EF0">
          <w:rPr>
            <w:rStyle w:val="Hyperlink"/>
            <w:lang w:val="en-IE"/>
          </w:rPr>
          <w:t>SWD(2023)</w:t>
        </w:r>
        <w:r w:rsidR="00580EF0" w:rsidRPr="00580EF0">
          <w:rPr>
            <w:rStyle w:val="Hyperlink"/>
            <w:lang w:val="en-IE"/>
          </w:rPr>
          <w:t xml:space="preserve"> 79 final</w:t>
        </w:r>
      </w:hyperlink>
      <w:r w:rsidR="00580EF0">
        <w:rPr>
          <w:lang w:val="en-IE"/>
        </w:rPr>
        <w:t>.</w:t>
      </w:r>
    </w:p>
  </w:footnote>
  <w:footnote w:id="5">
    <w:p w14:paraId="64779393" w14:textId="0822BFB8" w:rsidR="007E62FE" w:rsidRPr="008C4CFE" w:rsidRDefault="007E62FE" w:rsidP="005D6ABA">
      <w:pPr>
        <w:pStyle w:val="FootnoteText"/>
        <w:jc w:val="both"/>
        <w:rPr>
          <w:lang w:val="en-IE"/>
        </w:rPr>
      </w:pPr>
      <w:r>
        <w:rPr>
          <w:rStyle w:val="FootnoteReference"/>
        </w:rPr>
        <w:footnoteRef/>
      </w:r>
      <w:r w:rsidRPr="008C4CFE">
        <w:rPr>
          <w:lang w:val="en-IE"/>
        </w:rPr>
        <w:t xml:space="preserve"> </w:t>
      </w:r>
      <w:hyperlink r:id="rId3" w:history="1">
        <w:r w:rsidR="00580EF0" w:rsidRPr="00580EF0">
          <w:rPr>
            <w:rStyle w:val="Hyperlink"/>
            <w:lang w:val="en-IE"/>
          </w:rPr>
          <w:t>SWD(2023) 79 final</w:t>
        </w:r>
      </w:hyperlink>
      <w:r w:rsidR="00E24335">
        <w:rPr>
          <w:lang w:val="en-IE"/>
        </w:rPr>
        <w:t>.</w:t>
      </w:r>
    </w:p>
  </w:footnote>
  <w:footnote w:id="6">
    <w:p w14:paraId="2C722223" w14:textId="7FB2206A" w:rsidR="00D0438F" w:rsidRPr="00763A1A" w:rsidRDefault="00D0438F" w:rsidP="005D6ABA">
      <w:pPr>
        <w:pStyle w:val="FootnoteText"/>
        <w:jc w:val="both"/>
        <w:rPr>
          <w:lang w:val="en-IE"/>
        </w:rPr>
      </w:pPr>
      <w:r>
        <w:rPr>
          <w:rStyle w:val="FootnoteReference"/>
        </w:rPr>
        <w:footnoteRef/>
      </w:r>
      <w:r>
        <w:t xml:space="preserve"> </w:t>
      </w:r>
      <w:r w:rsidRPr="00F934A7">
        <w:rPr>
          <w:rFonts w:cs="Arial"/>
          <w:szCs w:val="18"/>
          <w:lang w:val="en-IE"/>
        </w:rPr>
        <w:t xml:space="preserve">The BRIS related developments under </w:t>
      </w:r>
      <w:hyperlink r:id="rId4" w:history="1">
        <w:r w:rsidR="00E24335" w:rsidRPr="00B25973">
          <w:rPr>
            <w:rStyle w:val="Hyperlink"/>
            <w:rFonts w:cs="Arial"/>
            <w:szCs w:val="18"/>
            <w:lang w:val="en-IE"/>
          </w:rPr>
          <w:t>D</w:t>
        </w:r>
        <w:r w:rsidRPr="00B25973">
          <w:rPr>
            <w:rStyle w:val="Hyperlink"/>
            <w:rFonts w:cs="Arial"/>
            <w:szCs w:val="18"/>
            <w:lang w:val="en-IE"/>
          </w:rPr>
          <w:t>irective 2025/25</w:t>
        </w:r>
      </w:hyperlink>
      <w:r w:rsidRPr="00F934A7">
        <w:rPr>
          <w:rFonts w:cs="Arial"/>
          <w:szCs w:val="18"/>
          <w:lang w:val="en-IE"/>
        </w:rPr>
        <w:t xml:space="preserve"> have not yet been carried out.</w:t>
      </w:r>
      <w:r>
        <w:rPr>
          <w:lang w:val="en-IE"/>
        </w:rPr>
        <w:t xml:space="preserve"> </w:t>
      </w:r>
    </w:p>
  </w:footnote>
  <w:footnote w:id="7">
    <w:p w14:paraId="1D35E6C7" w14:textId="77777777" w:rsidR="00834868" w:rsidRPr="00B25973" w:rsidRDefault="00834868" w:rsidP="005D6ABA">
      <w:pPr>
        <w:pStyle w:val="FootnoteText"/>
        <w:jc w:val="both"/>
        <w:rPr>
          <w:rFonts w:cs="Arial"/>
          <w:szCs w:val="18"/>
        </w:rPr>
      </w:pPr>
      <w:r w:rsidRPr="00B25973">
        <w:rPr>
          <w:rStyle w:val="FootnoteReference"/>
          <w:rFonts w:cs="Arial"/>
          <w:szCs w:val="18"/>
        </w:rPr>
        <w:footnoteRef/>
      </w:r>
      <w:r w:rsidRPr="00B25973">
        <w:rPr>
          <w:rFonts w:cs="Arial"/>
          <w:szCs w:val="18"/>
        </w:rPr>
        <w:t xml:space="preserve"> </w:t>
      </w:r>
      <w:r w:rsidR="00A67C88" w:rsidRPr="00B25973">
        <w:rPr>
          <w:rFonts w:eastAsia="Times New Roman" w:cs="Arial"/>
          <w:szCs w:val="18"/>
          <w:lang w:eastAsia="en-IE"/>
        </w:rPr>
        <w:t xml:space="preserve">Over </w:t>
      </w:r>
      <w:r w:rsidR="00A65205" w:rsidRPr="00B25973">
        <w:rPr>
          <w:rFonts w:eastAsia="Times New Roman" w:cs="Arial"/>
          <w:szCs w:val="18"/>
          <w:lang w:eastAsia="en-IE"/>
        </w:rPr>
        <w:t>2/3</w:t>
      </w:r>
      <w:r w:rsidR="00A67C88" w:rsidRPr="00B25973">
        <w:rPr>
          <w:rFonts w:eastAsia="Times New Roman" w:cs="Arial"/>
          <w:szCs w:val="18"/>
          <w:lang w:eastAsia="en-IE"/>
        </w:rPr>
        <w:t xml:space="preserve"> of respondents said that setting up a company takes more than 20 working days.</w:t>
      </w:r>
    </w:p>
  </w:footnote>
  <w:footnote w:id="8">
    <w:p w14:paraId="37E32527" w14:textId="2F6D612C" w:rsidR="009167A8" w:rsidRPr="00B25973" w:rsidRDefault="009167A8" w:rsidP="005D6ABA">
      <w:pPr>
        <w:pStyle w:val="FootnoteText"/>
        <w:jc w:val="both"/>
        <w:rPr>
          <w:rFonts w:cs="Arial"/>
          <w:szCs w:val="18"/>
        </w:rPr>
      </w:pPr>
      <w:r w:rsidRPr="00B25973">
        <w:rPr>
          <w:rStyle w:val="FootnoteReference"/>
          <w:rFonts w:cs="Arial"/>
          <w:szCs w:val="18"/>
        </w:rPr>
        <w:footnoteRef/>
      </w:r>
      <w:r w:rsidRPr="00B25973">
        <w:rPr>
          <w:rFonts w:cs="Arial"/>
          <w:szCs w:val="18"/>
        </w:rPr>
        <w:t xml:space="preserve"> Based on </w:t>
      </w:r>
      <w:r w:rsidR="003A2E5E" w:rsidRPr="00B25973">
        <w:rPr>
          <w:rFonts w:cs="Arial"/>
          <w:szCs w:val="18"/>
        </w:rPr>
        <w:t xml:space="preserve">the </w:t>
      </w:r>
      <w:r w:rsidR="00685318" w:rsidRPr="00B25973">
        <w:rPr>
          <w:rFonts w:cs="Arial"/>
          <w:szCs w:val="18"/>
        </w:rPr>
        <w:t xml:space="preserve">registration costs </w:t>
      </w:r>
      <w:r w:rsidR="00687F5D" w:rsidRPr="00B25973">
        <w:rPr>
          <w:rFonts w:cs="Arial"/>
          <w:szCs w:val="18"/>
        </w:rPr>
        <w:t xml:space="preserve">of a sample of </w:t>
      </w:r>
      <w:r w:rsidR="00685318" w:rsidRPr="00B25973">
        <w:rPr>
          <w:rFonts w:cs="Arial"/>
          <w:szCs w:val="18"/>
        </w:rPr>
        <w:t>9 M</w:t>
      </w:r>
      <w:r w:rsidR="00687F5D" w:rsidRPr="00B25973">
        <w:rPr>
          <w:rFonts w:cs="Arial"/>
          <w:szCs w:val="18"/>
        </w:rPr>
        <w:t>ember States</w:t>
      </w:r>
      <w:r w:rsidR="00685318" w:rsidRPr="00B25973">
        <w:rPr>
          <w:rFonts w:cs="Arial"/>
          <w:szCs w:val="18"/>
        </w:rPr>
        <w:t xml:space="preserve">. </w:t>
      </w:r>
    </w:p>
  </w:footnote>
  <w:footnote w:id="9">
    <w:p w14:paraId="2015203D" w14:textId="2D646A26" w:rsidR="005A4BA8" w:rsidRPr="00B25973" w:rsidRDefault="005A4BA8" w:rsidP="005D6ABA">
      <w:pPr>
        <w:pStyle w:val="FootnoteText"/>
        <w:jc w:val="both"/>
        <w:rPr>
          <w:rFonts w:cs="Arial"/>
          <w:szCs w:val="18"/>
        </w:rPr>
      </w:pPr>
      <w:r w:rsidRPr="00B25973">
        <w:rPr>
          <w:rStyle w:val="FootnoteReference"/>
          <w:rFonts w:cs="Arial"/>
          <w:szCs w:val="18"/>
        </w:rPr>
        <w:footnoteRef/>
      </w:r>
      <w:r w:rsidRPr="00B25973">
        <w:rPr>
          <w:rFonts w:cs="Arial"/>
          <w:szCs w:val="18"/>
        </w:rPr>
        <w:t xml:space="preserve"> Based on </w:t>
      </w:r>
      <w:r w:rsidR="003A2E5E" w:rsidRPr="00B25973">
        <w:rPr>
          <w:rFonts w:cs="Arial"/>
          <w:szCs w:val="18"/>
        </w:rPr>
        <w:t>the</w:t>
      </w:r>
      <w:r w:rsidRPr="00B25973">
        <w:rPr>
          <w:rFonts w:cs="Arial"/>
          <w:szCs w:val="18"/>
        </w:rPr>
        <w:t xml:space="preserve"> published notary fee</w:t>
      </w:r>
      <w:r w:rsidR="003A2E5E" w:rsidRPr="00B25973">
        <w:rPr>
          <w:rFonts w:cs="Arial"/>
          <w:szCs w:val="18"/>
        </w:rPr>
        <w:t>s</w:t>
      </w:r>
      <w:r w:rsidRPr="00B25973">
        <w:rPr>
          <w:rFonts w:cs="Arial"/>
          <w:szCs w:val="18"/>
        </w:rPr>
        <w:t xml:space="preserve"> of a sample of </w:t>
      </w:r>
      <w:r w:rsidR="00DA0177" w:rsidRPr="00B25973">
        <w:rPr>
          <w:rFonts w:cs="Arial"/>
          <w:szCs w:val="18"/>
        </w:rPr>
        <w:t xml:space="preserve">5 Member States where notaries are involved. </w:t>
      </w:r>
    </w:p>
  </w:footnote>
  <w:footnote w:id="10">
    <w:p w14:paraId="65827A2E" w14:textId="383F0AD0" w:rsidR="00E066D8" w:rsidRPr="00E066D8" w:rsidRDefault="00E066D8" w:rsidP="005D6ABA">
      <w:pPr>
        <w:pStyle w:val="FootnoteText"/>
        <w:jc w:val="both"/>
      </w:pPr>
      <w:r w:rsidRPr="00B25973">
        <w:rPr>
          <w:rStyle w:val="FootnoteReference"/>
          <w:rFonts w:cs="Arial"/>
          <w:szCs w:val="18"/>
        </w:rPr>
        <w:footnoteRef/>
      </w:r>
      <w:r w:rsidRPr="00B25973">
        <w:rPr>
          <w:rFonts w:cs="Arial"/>
          <w:szCs w:val="18"/>
        </w:rPr>
        <w:t xml:space="preserve"> Based on </w:t>
      </w:r>
      <w:r w:rsidR="003A2E5E" w:rsidRPr="00B25973">
        <w:rPr>
          <w:rFonts w:cs="Arial"/>
          <w:szCs w:val="18"/>
        </w:rPr>
        <w:t xml:space="preserve">the </w:t>
      </w:r>
      <w:r w:rsidRPr="00B25973">
        <w:rPr>
          <w:rFonts w:cs="Arial"/>
          <w:szCs w:val="18"/>
        </w:rPr>
        <w:t>published notary fee</w:t>
      </w:r>
      <w:r w:rsidR="003A2E5E" w:rsidRPr="00B25973">
        <w:rPr>
          <w:rFonts w:cs="Arial"/>
          <w:szCs w:val="18"/>
        </w:rPr>
        <w:t>s</w:t>
      </w:r>
      <w:r w:rsidRPr="00B25973">
        <w:rPr>
          <w:rFonts w:cs="Arial"/>
          <w:szCs w:val="18"/>
        </w:rPr>
        <w:t xml:space="preserve"> </w:t>
      </w:r>
      <w:r w:rsidR="009A1F9E" w:rsidRPr="00B25973">
        <w:rPr>
          <w:rFonts w:cs="Arial"/>
          <w:szCs w:val="18"/>
        </w:rPr>
        <w:t>of a sample of 7 M</w:t>
      </w:r>
      <w:r w:rsidR="00454C8F" w:rsidRPr="00B25973">
        <w:rPr>
          <w:rFonts w:cs="Arial"/>
          <w:szCs w:val="18"/>
        </w:rPr>
        <w:t>ember States</w:t>
      </w:r>
      <w:r w:rsidR="009A1F9E" w:rsidRPr="00B25973">
        <w:rPr>
          <w:rFonts w:cs="Arial"/>
          <w:szCs w:val="18"/>
        </w:rPr>
        <w:t xml:space="preserve"> where </w:t>
      </w:r>
      <w:r w:rsidR="00C5095D" w:rsidRPr="00B25973">
        <w:rPr>
          <w:rFonts w:cs="Arial"/>
          <w:szCs w:val="18"/>
        </w:rPr>
        <w:t>notaries</w:t>
      </w:r>
      <w:r w:rsidR="009A1F9E" w:rsidRPr="00B25973">
        <w:rPr>
          <w:rFonts w:cs="Arial"/>
          <w:szCs w:val="18"/>
        </w:rPr>
        <w:t xml:space="preserve"> are </w:t>
      </w:r>
      <w:r w:rsidR="00C5095D" w:rsidRPr="00B25973">
        <w:rPr>
          <w:rFonts w:cs="Arial"/>
          <w:szCs w:val="18"/>
        </w:rPr>
        <w:t>involved.</w:t>
      </w:r>
      <w:r w:rsidR="00C5095D">
        <w:t xml:space="preserve"> </w:t>
      </w:r>
    </w:p>
  </w:footnote>
  <w:footnote w:id="11">
    <w:p w14:paraId="14E0EA54" w14:textId="106E3F12" w:rsidR="000006DC" w:rsidRPr="000006DC" w:rsidRDefault="000006DC" w:rsidP="005D6ABA">
      <w:pPr>
        <w:pStyle w:val="FootnoteText"/>
        <w:spacing w:before="0" w:after="0"/>
        <w:jc w:val="both"/>
      </w:pPr>
      <w:r>
        <w:rPr>
          <w:rStyle w:val="FootnoteReference"/>
        </w:rPr>
        <w:footnoteRef/>
      </w:r>
      <w:r>
        <w:t xml:space="preserve"> </w:t>
      </w:r>
      <w:r w:rsidR="00830065">
        <w:t>6 Member States</w:t>
      </w:r>
      <w:r w:rsidR="00BC23B8">
        <w:t>.</w:t>
      </w:r>
      <w:r w:rsidR="00830065">
        <w:t xml:space="preserve"> </w:t>
      </w:r>
    </w:p>
  </w:footnote>
  <w:footnote w:id="12">
    <w:p w14:paraId="2AAE7D72" w14:textId="753BF770" w:rsidR="00EA1ED6" w:rsidRPr="005C634A" w:rsidRDefault="00EA1ED6" w:rsidP="005D6ABA">
      <w:pPr>
        <w:pStyle w:val="FootnoteText"/>
        <w:spacing w:before="0" w:after="0"/>
        <w:jc w:val="both"/>
      </w:pPr>
      <w:r>
        <w:rPr>
          <w:rStyle w:val="FootnoteReference"/>
        </w:rPr>
        <w:footnoteRef/>
      </w:r>
      <w:r>
        <w:t xml:space="preserve"> </w:t>
      </w:r>
      <w:r w:rsidR="00530D1B">
        <w:t xml:space="preserve">COM, </w:t>
      </w:r>
      <w:hyperlink r:id="rId5" w:history="1">
        <w:r w:rsidRPr="006015C4">
          <w:rPr>
            <w:rStyle w:val="Hyperlink"/>
          </w:rPr>
          <w:t>State of the Digital Decade 2025 Factsheet</w:t>
        </w:r>
      </w:hyperlink>
      <w:r w:rsidR="004E41B1">
        <w:t xml:space="preserve">, June </w:t>
      </w:r>
      <w:r w:rsidR="00530D1B">
        <w:t>2025.</w:t>
      </w:r>
    </w:p>
  </w:footnote>
  <w:footnote w:id="13">
    <w:p w14:paraId="7C1DF6D1" w14:textId="77777777" w:rsidR="00EA4A47" w:rsidRPr="00056377" w:rsidRDefault="00EA4A47" w:rsidP="005D6ABA">
      <w:pPr>
        <w:pStyle w:val="FootnoteText"/>
        <w:spacing w:before="0" w:after="0"/>
        <w:jc w:val="both"/>
      </w:pPr>
      <w:r>
        <w:rPr>
          <w:rStyle w:val="FootnoteReference"/>
        </w:rPr>
        <w:footnoteRef/>
      </w:r>
      <w:r>
        <w:t xml:space="preserve"> </w:t>
      </w:r>
      <w:r>
        <w:rPr>
          <w:lang w:val="en-IE"/>
        </w:rPr>
        <w:t>This option would not apply to those cases where the TIN is also the VAT identification number.</w:t>
      </w:r>
    </w:p>
  </w:footnote>
  <w:footnote w:id="14">
    <w:p w14:paraId="586B7223" w14:textId="0CEC8327" w:rsidR="00D6690F" w:rsidRPr="000C0842" w:rsidRDefault="00D6690F" w:rsidP="005D6ABA">
      <w:pPr>
        <w:spacing w:after="0"/>
        <w:jc w:val="both"/>
        <w:rPr>
          <w:rFonts w:ascii="Arial" w:hAnsi="Arial" w:cs="Arial"/>
          <w:sz w:val="18"/>
          <w:szCs w:val="18"/>
        </w:rPr>
      </w:pPr>
      <w:r w:rsidRPr="008E568E">
        <w:rPr>
          <w:rStyle w:val="FootnoteReference"/>
          <w:rFonts w:ascii="Arial" w:hAnsi="Arial" w:cs="Arial"/>
          <w:sz w:val="18"/>
          <w:szCs w:val="18"/>
        </w:rPr>
        <w:footnoteRef/>
      </w:r>
      <w:r w:rsidRPr="008E568E">
        <w:rPr>
          <w:rFonts w:ascii="Arial" w:hAnsi="Arial" w:cs="Arial"/>
          <w:sz w:val="18"/>
          <w:szCs w:val="18"/>
        </w:rPr>
        <w:t xml:space="preserve"> </w:t>
      </w:r>
      <w:r w:rsidR="00217BC0" w:rsidRPr="008E568E">
        <w:rPr>
          <w:rFonts w:ascii="Arial" w:hAnsi="Arial" w:cs="Arial"/>
          <w:sz w:val="18"/>
          <w:szCs w:val="18"/>
        </w:rPr>
        <w:t xml:space="preserve">According to </w:t>
      </w:r>
      <w:hyperlink r:id="rId6" w:history="1">
        <w:r w:rsidR="00217BC0" w:rsidRPr="008E568E">
          <w:rPr>
            <w:rStyle w:val="Hyperlink"/>
            <w:rFonts w:ascii="Arial" w:hAnsi="Arial" w:cs="Arial"/>
            <w:sz w:val="18"/>
            <w:szCs w:val="18"/>
          </w:rPr>
          <w:t>2025 Eurostat</w:t>
        </w:r>
      </w:hyperlink>
      <w:r w:rsidR="00217BC0" w:rsidRPr="008E568E">
        <w:rPr>
          <w:rFonts w:ascii="Arial" w:hAnsi="Arial" w:cs="Arial"/>
          <w:sz w:val="18"/>
          <w:szCs w:val="18"/>
        </w:rPr>
        <w:t>, there was an 8.5% rate of enterprise deaths (exempting insolvency) as compared to a rate of 10.5% of enterprise births in 2023 in the EU. Research done in the US (</w:t>
      </w:r>
      <w:hyperlink r:id="rId7" w:history="1">
        <w:r w:rsidR="00217BC0" w:rsidRPr="008E568E">
          <w:rPr>
            <w:rStyle w:val="Hyperlink"/>
            <w:rFonts w:ascii="Arial" w:hAnsi="Arial" w:cs="Arial"/>
            <w:sz w:val="18"/>
            <w:szCs w:val="18"/>
          </w:rPr>
          <w:t>Startup Failure Rate Statistics</w:t>
        </w:r>
      </w:hyperlink>
      <w:r w:rsidR="00217BC0" w:rsidRPr="008E568E">
        <w:rPr>
          <w:rFonts w:ascii="Arial" w:hAnsi="Arial" w:cs="Arial"/>
          <w:sz w:val="18"/>
          <w:szCs w:val="18"/>
        </w:rPr>
        <w:t>) refers to even higher rates with the failure rate being 10% in the first year.</w:t>
      </w:r>
    </w:p>
  </w:footnote>
  <w:footnote w:id="15">
    <w:p w14:paraId="3BB2ECD0" w14:textId="77777777" w:rsidR="00D6690F" w:rsidRPr="000C0842" w:rsidRDefault="00D6690F" w:rsidP="005D6ABA">
      <w:pPr>
        <w:pStyle w:val="FootnoteText"/>
        <w:spacing w:before="0" w:after="0"/>
        <w:jc w:val="both"/>
        <w:rPr>
          <w:rFonts w:cs="Arial"/>
          <w:szCs w:val="18"/>
        </w:rPr>
      </w:pPr>
      <w:r w:rsidRPr="000C0842">
        <w:rPr>
          <w:rStyle w:val="FootnoteReference"/>
          <w:rFonts w:cs="Arial"/>
          <w:szCs w:val="18"/>
        </w:rPr>
        <w:footnoteRef/>
      </w:r>
      <w:r w:rsidRPr="000C0842">
        <w:rPr>
          <w:rFonts w:cs="Arial"/>
          <w:szCs w:val="18"/>
        </w:rPr>
        <w:t xml:space="preserve"> Given that a liquidator assumes the management of the affairs and of the estate of the company and is responsible for the payments of the debts of the company and the satisfaction of the creditors from the liquidation of company’s estate up to the ultimate striking off from the business register.</w:t>
      </w:r>
    </w:p>
  </w:footnote>
  <w:footnote w:id="16">
    <w:p w14:paraId="5A33C9CB" w14:textId="77777777" w:rsidR="00D6690F" w:rsidRPr="000C0842" w:rsidRDefault="00D6690F" w:rsidP="005D6ABA">
      <w:pPr>
        <w:pStyle w:val="FootnoteText"/>
        <w:spacing w:before="0" w:after="0"/>
        <w:jc w:val="both"/>
        <w:rPr>
          <w:rFonts w:cs="Arial"/>
          <w:szCs w:val="18"/>
          <w:lang w:val="en-US"/>
        </w:rPr>
      </w:pPr>
      <w:r w:rsidRPr="000C0842">
        <w:rPr>
          <w:rStyle w:val="FootnoteReference"/>
          <w:rFonts w:cs="Arial"/>
          <w:szCs w:val="18"/>
        </w:rPr>
        <w:footnoteRef/>
      </w:r>
      <w:r w:rsidRPr="000C0842">
        <w:rPr>
          <w:rFonts w:cs="Arial"/>
          <w:szCs w:val="18"/>
        </w:rPr>
        <w:t xml:space="preserve"> </w:t>
      </w:r>
      <w:r w:rsidRPr="000C0842">
        <w:rPr>
          <w:rFonts w:cs="Arial"/>
          <w:szCs w:val="18"/>
          <w:lang w:val="en-US"/>
        </w:rPr>
        <w:t xml:space="preserve">Respondents in the consultation explained that </w:t>
      </w:r>
      <w:r w:rsidRPr="000C0842">
        <w:rPr>
          <w:rFonts w:cs="Arial"/>
          <w:szCs w:val="18"/>
        </w:rPr>
        <w:t>in most Member States companies could not complete dissolution without notaries, lawyers, auditors or liquidators.</w:t>
      </w:r>
    </w:p>
  </w:footnote>
  <w:footnote w:id="17">
    <w:p w14:paraId="23F609CF" w14:textId="4C7926D6" w:rsidR="003E2E3E" w:rsidRPr="003E2E3E" w:rsidRDefault="003E2E3E" w:rsidP="005D6ABA">
      <w:pPr>
        <w:pStyle w:val="FootnoteText"/>
        <w:spacing w:before="0" w:after="0"/>
        <w:jc w:val="both"/>
        <w:rPr>
          <w:lang w:val="en-IE"/>
        </w:rPr>
      </w:pPr>
      <w:r w:rsidRPr="00EB1026">
        <w:rPr>
          <w:rStyle w:val="FootnoteReference"/>
          <w:rFonts w:cs="Arial"/>
          <w:szCs w:val="18"/>
        </w:rPr>
        <w:footnoteRef/>
      </w:r>
      <w:r w:rsidRPr="00EB1026">
        <w:rPr>
          <w:rFonts w:cs="Arial"/>
          <w:szCs w:val="18"/>
        </w:rPr>
        <w:t xml:space="preserve"> On th</w:t>
      </w:r>
      <w:r w:rsidRPr="008B6500">
        <w:rPr>
          <w:rFonts w:cs="Arial"/>
          <w:szCs w:val="18"/>
        </w:rPr>
        <w:t xml:space="preserve">e basis of templates drawn up </w:t>
      </w:r>
      <w:r w:rsidR="00556678">
        <w:rPr>
          <w:rFonts w:cs="Arial"/>
          <w:szCs w:val="18"/>
        </w:rPr>
        <w:t xml:space="preserve">by </w:t>
      </w:r>
      <w:r w:rsidRPr="008B6500">
        <w:rPr>
          <w:rFonts w:cs="Arial"/>
          <w:szCs w:val="18"/>
        </w:rPr>
        <w:t xml:space="preserve">ICLEG, voluntary liquidation typically takes between 6 months and 1 year in IT; </w:t>
      </w:r>
      <w:r w:rsidR="00543EB7" w:rsidRPr="008B6500">
        <w:rPr>
          <w:rFonts w:cs="Arial"/>
          <w:szCs w:val="18"/>
        </w:rPr>
        <w:t xml:space="preserve">a completion of winding up within one year is achievable in IE; </w:t>
      </w:r>
      <w:r w:rsidR="005448BC" w:rsidRPr="008B6500">
        <w:rPr>
          <w:rFonts w:cs="Arial"/>
          <w:szCs w:val="18"/>
        </w:rPr>
        <w:t xml:space="preserve">a dissolution procedure generally takes between 1 to 3 months but the subsequent liquidation may take several months in FR; </w:t>
      </w:r>
      <w:r w:rsidR="00D743B2" w:rsidRPr="008B6500">
        <w:rPr>
          <w:rFonts w:cs="Arial"/>
          <w:szCs w:val="18"/>
        </w:rPr>
        <w:t>and usually takes around 1 year in ES</w:t>
      </w:r>
      <w:r w:rsidRPr="008B6500">
        <w:rPr>
          <w:rFonts w:cs="Arial"/>
          <w:szCs w:val="18"/>
        </w:rPr>
        <w:t>.</w:t>
      </w:r>
    </w:p>
  </w:footnote>
  <w:footnote w:id="18">
    <w:p w14:paraId="2B368C87" w14:textId="460F8721" w:rsidR="00EE1B7C" w:rsidRPr="00EE1B7C" w:rsidRDefault="00EE1B7C" w:rsidP="005D6ABA">
      <w:pPr>
        <w:pStyle w:val="FootnoteText"/>
        <w:spacing w:before="0" w:after="0"/>
        <w:jc w:val="both"/>
      </w:pPr>
      <w:r>
        <w:rPr>
          <w:rStyle w:val="FootnoteReference"/>
        </w:rPr>
        <w:footnoteRef/>
      </w:r>
      <w:r>
        <w:t xml:space="preserve"> </w:t>
      </w:r>
      <w:r w:rsidR="00E86920" w:rsidRPr="008B6500">
        <w:rPr>
          <w:rFonts w:cs="Arial"/>
          <w:szCs w:val="18"/>
        </w:rPr>
        <w:t>On the basis of templates drawn up</w:t>
      </w:r>
      <w:r w:rsidR="00E86920">
        <w:rPr>
          <w:rFonts w:cs="Arial"/>
          <w:szCs w:val="18"/>
        </w:rPr>
        <w:t xml:space="preserve"> </w:t>
      </w:r>
      <w:r w:rsidR="003C7028">
        <w:rPr>
          <w:rFonts w:cs="Arial"/>
          <w:szCs w:val="18"/>
        </w:rPr>
        <w:t>by</w:t>
      </w:r>
      <w:r w:rsidR="00E86920" w:rsidRPr="008B6500">
        <w:rPr>
          <w:rFonts w:cs="Arial"/>
          <w:szCs w:val="18"/>
        </w:rPr>
        <w:t xml:space="preserve"> ICLEG, </w:t>
      </w:r>
      <w:r w:rsidR="00521C1C" w:rsidRPr="008B6500">
        <w:rPr>
          <w:rFonts w:cs="Arial"/>
          <w:szCs w:val="18"/>
        </w:rPr>
        <w:t xml:space="preserve">simplified liquidation envisaged for </w:t>
      </w:r>
      <w:r w:rsidR="00055CEE" w:rsidRPr="008B6500">
        <w:rPr>
          <w:rFonts w:cs="Arial"/>
          <w:szCs w:val="18"/>
        </w:rPr>
        <w:t xml:space="preserve">the Polish </w:t>
      </w:r>
      <w:r w:rsidR="00521C1C" w:rsidRPr="008B6500">
        <w:rPr>
          <w:rFonts w:cs="Arial"/>
          <w:szCs w:val="18"/>
        </w:rPr>
        <w:t>Prosta Spolka Akcyjna (PSA) takes in practice 2-4 months</w:t>
      </w:r>
      <w:r w:rsidR="00055CEE" w:rsidRPr="003E08C7">
        <w:t>.</w:t>
      </w:r>
    </w:p>
  </w:footnote>
  <w:footnote w:id="19">
    <w:p w14:paraId="43AD81B5" w14:textId="0B7FE251" w:rsidR="00CE71FA" w:rsidRPr="00153301" w:rsidRDefault="00CE71FA" w:rsidP="005D6ABA">
      <w:pPr>
        <w:pStyle w:val="FootnoteText"/>
        <w:jc w:val="both"/>
      </w:pPr>
      <w:r>
        <w:rPr>
          <w:rStyle w:val="FootnoteReference"/>
        </w:rPr>
        <w:footnoteRef/>
      </w:r>
      <w:r>
        <w:t xml:space="preserve"> </w:t>
      </w:r>
      <w:r w:rsidRPr="00153301">
        <w:t>Steffek, F., ‘Analysis of individual and collective loan enforcement laws in the EU Member States’, DG FISMA, November 2019, available at https://ec.europa.eu/info/publications/191203-study-loan-enforcement-laws</w:t>
      </w:r>
      <w:r w:rsidR="008B6500">
        <w:t>.</w:t>
      </w:r>
    </w:p>
  </w:footnote>
  <w:footnote w:id="20">
    <w:p w14:paraId="4031A2C6" w14:textId="77777777" w:rsidR="00F60510" w:rsidRPr="00D47283" w:rsidRDefault="00F60510" w:rsidP="005D6ABA">
      <w:pPr>
        <w:pStyle w:val="FootnoteText"/>
        <w:spacing w:before="0" w:after="0"/>
        <w:jc w:val="both"/>
        <w:rPr>
          <w:rFonts w:cs="Arial"/>
          <w:szCs w:val="18"/>
        </w:rPr>
      </w:pPr>
      <w:r w:rsidRPr="00D47283">
        <w:rPr>
          <w:rStyle w:val="FootnoteReference"/>
          <w:rFonts w:cs="Arial"/>
          <w:szCs w:val="18"/>
        </w:rPr>
        <w:footnoteRef/>
      </w:r>
      <w:r w:rsidRPr="00D47283">
        <w:rPr>
          <w:rFonts w:cs="Arial"/>
          <w:szCs w:val="18"/>
        </w:rPr>
        <w:t xml:space="preserve"> </w:t>
      </w:r>
      <w:r w:rsidRPr="000C70CF">
        <w:rPr>
          <w:rFonts w:cs="Arial"/>
          <w:szCs w:val="18"/>
        </w:rPr>
        <w:t>The “melting ice cube” phenomenon stipulates that the recovery value is not a fixed, exogenously determined amount, but that it tends to decline the longer the duration of the process. This is because beyond the depreciation of physical assets such as machinery over time, their value deteriorates if they are not used. Moreover, business lines that may still be viable on their own become less valuable if business relationships are interrupted. The recovery value will generally be smaller than 100%, but it is often not zero because, even if the borrower is insolvent, there may still be assets with a positive value.</w:t>
      </w:r>
    </w:p>
  </w:footnote>
  <w:footnote w:id="21">
    <w:p w14:paraId="4B3E4984" w14:textId="675F81DE" w:rsidR="00F60510" w:rsidRPr="00D47283" w:rsidRDefault="00F60510" w:rsidP="005D6ABA">
      <w:pPr>
        <w:pStyle w:val="FootnoteText"/>
        <w:spacing w:before="0" w:after="0"/>
        <w:jc w:val="both"/>
        <w:rPr>
          <w:rFonts w:cs="Arial"/>
          <w:szCs w:val="18"/>
        </w:rPr>
      </w:pPr>
      <w:r w:rsidRPr="00D47283">
        <w:rPr>
          <w:rStyle w:val="FootnoteReference"/>
          <w:rFonts w:cs="Arial"/>
          <w:szCs w:val="18"/>
        </w:rPr>
        <w:footnoteRef/>
      </w:r>
      <w:r w:rsidRPr="00D47283">
        <w:rPr>
          <w:rFonts w:cs="Arial"/>
          <w:szCs w:val="18"/>
        </w:rPr>
        <w:t xml:space="preserve"> </w:t>
      </w:r>
      <w:r w:rsidRPr="000C70CF">
        <w:rPr>
          <w:rFonts w:cs="Arial"/>
          <w:szCs w:val="18"/>
        </w:rPr>
        <w:t>Coatanlem</w:t>
      </w:r>
      <w:r w:rsidR="005252EA" w:rsidRPr="000C70CF">
        <w:rPr>
          <w:rFonts w:cs="Arial"/>
          <w:szCs w:val="18"/>
        </w:rPr>
        <w:t>/</w:t>
      </w:r>
      <w:r w:rsidRPr="000C70CF">
        <w:rPr>
          <w:rFonts w:cs="Arial"/>
          <w:szCs w:val="18"/>
        </w:rPr>
        <w:t xml:space="preserve">Coste, </w:t>
      </w:r>
      <w:hyperlink r:id="rId8" w:history="1">
        <w:r w:rsidRPr="000C70CF">
          <w:rPr>
            <w:rStyle w:val="Hyperlink"/>
            <w:rFonts w:cs="Arial"/>
            <w:szCs w:val="18"/>
          </w:rPr>
          <w:t>Cost of failure and competitiveness in disruptive innovation</w:t>
        </w:r>
      </w:hyperlink>
      <w:r w:rsidRPr="000C70CF">
        <w:rPr>
          <w:rFonts w:cs="Arial"/>
          <w:szCs w:val="18"/>
        </w:rPr>
        <w:t>, IEP@BU Policy Brief, September 2024, p. 9.</w:t>
      </w:r>
    </w:p>
  </w:footnote>
  <w:footnote w:id="22">
    <w:p w14:paraId="2F9720A6" w14:textId="43E5FE86" w:rsidR="00F60510" w:rsidRPr="00D47283" w:rsidRDefault="00F60510" w:rsidP="005D6ABA">
      <w:pPr>
        <w:pStyle w:val="FootnoteText"/>
        <w:jc w:val="both"/>
        <w:rPr>
          <w:rFonts w:cs="Arial"/>
          <w:szCs w:val="18"/>
        </w:rPr>
      </w:pPr>
      <w:r w:rsidRPr="00D47283">
        <w:rPr>
          <w:rStyle w:val="FootnoteReference"/>
          <w:rFonts w:cs="Arial"/>
          <w:szCs w:val="18"/>
        </w:rPr>
        <w:footnoteRef/>
      </w:r>
      <w:r w:rsidRPr="00D47283">
        <w:rPr>
          <w:rFonts w:cs="Arial"/>
          <w:szCs w:val="18"/>
        </w:rPr>
        <w:t xml:space="preserve"> ESNA Compendium</w:t>
      </w:r>
      <w:r w:rsidR="002A67A1" w:rsidRPr="000C70CF">
        <w:rPr>
          <w:rFonts w:cs="Arial"/>
          <w:szCs w:val="18"/>
        </w:rPr>
        <w:t>,</w:t>
      </w:r>
      <w:r w:rsidRPr="00D47283">
        <w:rPr>
          <w:rFonts w:cs="Arial"/>
          <w:szCs w:val="18"/>
        </w:rPr>
        <w:t xml:space="preserve"> </w:t>
      </w:r>
      <w:hyperlink r:id="rId9" w:history="1">
        <w:r w:rsidR="00BE646A" w:rsidRPr="000C70CF">
          <w:rPr>
            <w:rStyle w:val="Hyperlink"/>
            <w:rFonts w:cs="Arial"/>
            <w:szCs w:val="18"/>
          </w:rPr>
          <w:t>Building a Competitive Europe: the role of startup and scaleup ecosystems</w:t>
        </w:r>
      </w:hyperlink>
      <w:r w:rsidR="00CC429E" w:rsidRPr="000C70CF">
        <w:rPr>
          <w:rFonts w:cs="Arial"/>
          <w:szCs w:val="18"/>
        </w:rPr>
        <w:t>,</w:t>
      </w:r>
      <w:r w:rsidRPr="00F934A7">
        <w:rPr>
          <w:rFonts w:cs="Arial"/>
          <w:szCs w:val="18"/>
        </w:rPr>
        <w:t xml:space="preserve"> </w:t>
      </w:r>
      <w:r w:rsidRPr="00D47283">
        <w:rPr>
          <w:rFonts w:cs="Arial"/>
          <w:szCs w:val="18"/>
        </w:rPr>
        <w:t>May 2025.</w:t>
      </w:r>
    </w:p>
  </w:footnote>
  <w:footnote w:id="23">
    <w:p w14:paraId="53CC5606" w14:textId="77777777" w:rsidR="00F60510" w:rsidRPr="00D47283" w:rsidRDefault="00F60510" w:rsidP="005D6ABA">
      <w:pPr>
        <w:pStyle w:val="FootnoteText"/>
        <w:jc w:val="both"/>
        <w:rPr>
          <w:rFonts w:cs="Arial"/>
          <w:szCs w:val="18"/>
        </w:rPr>
      </w:pPr>
      <w:r w:rsidRPr="00D47283">
        <w:rPr>
          <w:rStyle w:val="FootnoteReference"/>
          <w:rFonts w:cs="Arial"/>
          <w:szCs w:val="18"/>
        </w:rPr>
        <w:footnoteRef/>
      </w:r>
      <w:r w:rsidRPr="00D47283">
        <w:rPr>
          <w:rFonts w:cs="Arial"/>
          <w:szCs w:val="18"/>
        </w:rPr>
        <w:t xml:space="preserve"> Low recovery values, long insolvency procedures, administrative costs of the procedures matter not only for the efficiency of a company’s liquidation. Even more important is that these three factors and the uncertainty surrounding them will determine the magnitude of the risk premium that creditors factor in when they will undertake an investment. A high-risk premium increases the cost of capital for the corporation and, if the risk is particularly high, will continue to dissuade investors to provide credit and cross-border investors to consider investing abroad.</w:t>
      </w:r>
    </w:p>
  </w:footnote>
  <w:footnote w:id="24">
    <w:p w14:paraId="610CF639" w14:textId="7C965E63" w:rsidR="00F60510" w:rsidRPr="00D47283" w:rsidRDefault="00F60510" w:rsidP="005D6ABA">
      <w:pPr>
        <w:pStyle w:val="FootnoteText"/>
        <w:jc w:val="both"/>
        <w:rPr>
          <w:rFonts w:cs="Arial"/>
          <w:szCs w:val="18"/>
        </w:rPr>
      </w:pPr>
      <w:r w:rsidRPr="00D47283">
        <w:rPr>
          <w:rStyle w:val="FootnoteReference"/>
          <w:rFonts w:cs="Arial"/>
          <w:szCs w:val="18"/>
        </w:rPr>
        <w:footnoteRef/>
      </w:r>
      <w:r w:rsidRPr="00D47283">
        <w:rPr>
          <w:rFonts w:cs="Arial"/>
          <w:szCs w:val="18"/>
        </w:rPr>
        <w:t xml:space="preserve"> Impact assessment report accompanying the document proposal for a Directive of the European Parliament and of the Council harmonising certain aspects of insolvency law (section 1.4.), </w:t>
      </w:r>
      <w:hyperlink r:id="rId10" w:history="1">
        <w:r w:rsidRPr="000C70CF">
          <w:rPr>
            <w:rStyle w:val="Hyperlink"/>
            <w:rFonts w:cs="Arial"/>
            <w:szCs w:val="18"/>
          </w:rPr>
          <w:t>SWD</w:t>
        </w:r>
        <w:r w:rsidR="00BD424C" w:rsidRPr="000C70CF">
          <w:rPr>
            <w:rStyle w:val="Hyperlink"/>
            <w:rFonts w:cs="Arial"/>
            <w:szCs w:val="18"/>
          </w:rPr>
          <w:t>(</w:t>
        </w:r>
        <w:r w:rsidRPr="000C70CF">
          <w:rPr>
            <w:rStyle w:val="Hyperlink"/>
            <w:rFonts w:cs="Arial"/>
            <w:szCs w:val="18"/>
          </w:rPr>
          <w:t>2022</w:t>
        </w:r>
        <w:r w:rsidR="00BD424C" w:rsidRPr="000C70CF">
          <w:rPr>
            <w:rStyle w:val="Hyperlink"/>
            <w:rFonts w:cs="Arial"/>
            <w:szCs w:val="18"/>
          </w:rPr>
          <w:t>)</w:t>
        </w:r>
        <w:r w:rsidRPr="000C70CF">
          <w:rPr>
            <w:rStyle w:val="Hyperlink"/>
            <w:rFonts w:cs="Arial"/>
            <w:szCs w:val="18"/>
          </w:rPr>
          <w:t>395 final</w:t>
        </w:r>
      </w:hyperlink>
      <w:r w:rsidRPr="00D47283">
        <w:rPr>
          <w:rFonts w:cs="Arial"/>
          <w:szCs w:val="18"/>
        </w:rPr>
        <w:t>.</w:t>
      </w:r>
    </w:p>
  </w:footnote>
  <w:footnote w:id="25">
    <w:p w14:paraId="494EE4F0" w14:textId="1AA9D980" w:rsidR="00F60510" w:rsidRPr="00DC0454" w:rsidRDefault="00F60510" w:rsidP="005D6ABA">
      <w:pPr>
        <w:pStyle w:val="FootnoteText"/>
        <w:jc w:val="both"/>
      </w:pPr>
      <w:r w:rsidRPr="00D47283">
        <w:rPr>
          <w:rStyle w:val="FootnoteReference"/>
          <w:rFonts w:cs="Arial"/>
          <w:szCs w:val="18"/>
        </w:rPr>
        <w:footnoteRef/>
      </w:r>
      <w:r w:rsidRPr="00D47283">
        <w:rPr>
          <w:rFonts w:cs="Arial"/>
          <w:szCs w:val="18"/>
        </w:rPr>
        <w:t xml:space="preserve"> </w:t>
      </w:r>
      <w:r w:rsidRPr="000C70CF">
        <w:rPr>
          <w:rFonts w:cs="Arial"/>
          <w:szCs w:val="18"/>
          <w:lang w:val="en-IE"/>
        </w:rPr>
        <w:t>Farè</w:t>
      </w:r>
      <w:r w:rsidR="007F6701" w:rsidRPr="000C70CF">
        <w:rPr>
          <w:rFonts w:cs="Arial"/>
          <w:szCs w:val="18"/>
          <w:lang w:val="en-IE"/>
        </w:rPr>
        <w:t>/</w:t>
      </w:r>
      <w:r w:rsidRPr="000C70CF">
        <w:rPr>
          <w:rFonts w:cs="Arial"/>
          <w:szCs w:val="18"/>
          <w:lang w:val="en-IE"/>
        </w:rPr>
        <w:t>Dejardin</w:t>
      </w:r>
      <w:r w:rsidR="007F6701" w:rsidRPr="000C70CF">
        <w:rPr>
          <w:rFonts w:cs="Arial"/>
          <w:bCs/>
          <w:szCs w:val="18"/>
          <w:lang w:val="en-IE"/>
        </w:rPr>
        <w:t>/</w:t>
      </w:r>
      <w:r w:rsidRPr="000C70CF">
        <w:rPr>
          <w:rFonts w:cs="Arial"/>
          <w:szCs w:val="18"/>
          <w:lang w:val="en-IE"/>
        </w:rPr>
        <w:t xml:space="preserve">Toulemonde, </w:t>
      </w:r>
      <w:hyperlink r:id="rId11" w:history="1">
        <w:r w:rsidRPr="000C70CF">
          <w:rPr>
            <w:rStyle w:val="Hyperlink"/>
          </w:rPr>
          <w:t>Bankruptcy recovery rate and small businesses' innovation</w:t>
        </w:r>
      </w:hyperlink>
      <w:r w:rsidRPr="000C70CF">
        <w:rPr>
          <w:rFonts w:cs="Arial"/>
          <w:szCs w:val="18"/>
          <w:lang w:val="en-IE"/>
        </w:rPr>
        <w:t xml:space="preserve">, </w:t>
      </w:r>
      <w:r w:rsidRPr="000C70CF">
        <w:rPr>
          <w:rFonts w:cs="Arial"/>
          <w:szCs w:val="18"/>
        </w:rPr>
        <w:t>May 2023</w:t>
      </w:r>
      <w:r w:rsidRPr="000C70CF">
        <w:rPr>
          <w:rFonts w:cs="Arial"/>
          <w:szCs w:val="18"/>
          <w:lang w:val="cs-CZ"/>
        </w:rPr>
        <w:t>, DeFiPP Working Paper 2023-02, p</w:t>
      </w:r>
      <w:r w:rsidR="00871BBC">
        <w:rPr>
          <w:rFonts w:cs="Arial"/>
          <w:bCs/>
          <w:szCs w:val="18"/>
          <w:lang w:val="cs-CZ"/>
        </w:rPr>
        <w:t>p</w:t>
      </w:r>
      <w:r w:rsidRPr="000C70CF">
        <w:rPr>
          <w:rFonts w:cs="Arial"/>
          <w:szCs w:val="18"/>
          <w:lang w:val="cs-CZ"/>
        </w:rPr>
        <w:t>. 24-27.</w:t>
      </w:r>
    </w:p>
  </w:footnote>
  <w:footnote w:id="26">
    <w:p w14:paraId="19F32776" w14:textId="70E5EFCD" w:rsidR="00934E19" w:rsidRPr="00FB636D" w:rsidRDefault="00934E19" w:rsidP="005D6ABA">
      <w:pPr>
        <w:pStyle w:val="FootnoteText"/>
        <w:jc w:val="both"/>
        <w:rPr>
          <w:lang w:val="en-IE"/>
        </w:rPr>
      </w:pPr>
      <w:r>
        <w:rPr>
          <w:rStyle w:val="FootnoteReference"/>
        </w:rPr>
        <w:footnoteRef/>
      </w:r>
      <w:r>
        <w:t xml:space="preserve"> </w:t>
      </w:r>
      <w:r w:rsidRPr="002948C7">
        <w:rPr>
          <w:lang w:val="en-IE"/>
        </w:rPr>
        <w:t>Kelso Institute Europe</w:t>
      </w:r>
      <w:r w:rsidR="005A5205" w:rsidRPr="002948C7">
        <w:rPr>
          <w:lang w:val="en-IE"/>
        </w:rPr>
        <w:t xml:space="preserve">, </w:t>
      </w:r>
      <w:hyperlink r:id="rId12" w:history="1">
        <w:r w:rsidR="005A5205" w:rsidRPr="002948C7">
          <w:rPr>
            <w:rStyle w:val="Hyperlink"/>
            <w:lang w:val="en-IE"/>
          </w:rPr>
          <w:t>The PEPPER V Report</w:t>
        </w:r>
      </w:hyperlink>
      <w:r w:rsidR="005A5205" w:rsidRPr="002948C7">
        <w:rPr>
          <w:lang w:val="en-IE"/>
        </w:rPr>
        <w:t>, January 2024, pp. 87 et seq</w:t>
      </w:r>
      <w:r w:rsidR="005A5205" w:rsidRPr="002948C7">
        <w:t>.</w:t>
      </w:r>
    </w:p>
  </w:footnote>
  <w:footnote w:id="27">
    <w:p w14:paraId="16423F25" w14:textId="75A677DE" w:rsidR="00131D78" w:rsidRPr="00131D78" w:rsidRDefault="00131D78" w:rsidP="005D6ABA">
      <w:pPr>
        <w:pStyle w:val="FootnoteText"/>
        <w:jc w:val="both"/>
      </w:pPr>
      <w:r>
        <w:rPr>
          <w:rStyle w:val="FootnoteReference"/>
        </w:rPr>
        <w:footnoteRef/>
      </w:r>
      <w:r>
        <w:t xml:space="preserve"> </w:t>
      </w:r>
      <w:r w:rsidR="00BB6203">
        <w:t xml:space="preserve">13 Member States. </w:t>
      </w:r>
    </w:p>
  </w:footnote>
  <w:footnote w:id="28">
    <w:p w14:paraId="1BB6AA2B" w14:textId="0250E59D" w:rsidR="001B1582" w:rsidRDefault="001B1582" w:rsidP="005D6ABA">
      <w:pPr>
        <w:pStyle w:val="FootnoteText"/>
        <w:jc w:val="both"/>
      </w:pPr>
      <w:r>
        <w:rPr>
          <w:rStyle w:val="FootnoteReference"/>
        </w:rPr>
        <w:footnoteRef/>
      </w:r>
      <w:r>
        <w:t xml:space="preserve"> </w:t>
      </w:r>
      <w:r w:rsidR="0066185A" w:rsidRPr="0066185A">
        <w:t>Member States with mandatory notarial involvement in share transfers include AT, BE, BG, HR, CZ, DE, IT, LV, LT, NL, PL, RO,</w:t>
      </w:r>
      <w:r w:rsidR="00846ACB">
        <w:t xml:space="preserve"> </w:t>
      </w:r>
      <w:r w:rsidR="0066185A" w:rsidRPr="0066185A">
        <w:t>and ES.</w:t>
      </w:r>
      <w:r w:rsidR="00D36B1A">
        <w:t xml:space="preserve"> </w:t>
      </w:r>
    </w:p>
  </w:footnote>
  <w:footnote w:id="29">
    <w:p w14:paraId="68698093" w14:textId="5116214A" w:rsidR="00F326B3" w:rsidRPr="00595358" w:rsidRDefault="00F326B3" w:rsidP="005D6ABA">
      <w:pPr>
        <w:pStyle w:val="FootnoteText"/>
        <w:jc w:val="both"/>
        <w:rPr>
          <w:lang w:val="es-ES"/>
        </w:rPr>
      </w:pPr>
      <w:r>
        <w:rPr>
          <w:rStyle w:val="FootnoteReference"/>
        </w:rPr>
        <w:footnoteRef/>
      </w:r>
      <w:r w:rsidRPr="00595358">
        <w:rPr>
          <w:lang w:val="es-ES"/>
        </w:rPr>
        <w:t xml:space="preserve"> IE, SE, DK, EE, FI</w:t>
      </w:r>
      <w:r>
        <w:rPr>
          <w:lang w:val="es-ES"/>
        </w:rPr>
        <w:t>, FR, MT, CY.</w:t>
      </w:r>
    </w:p>
  </w:footnote>
  <w:footnote w:id="30">
    <w:p w14:paraId="16B9F3E5" w14:textId="1F6DAD91" w:rsidR="00A23BBF" w:rsidRDefault="00A23BBF" w:rsidP="005D6ABA">
      <w:pPr>
        <w:pStyle w:val="FootnoteText"/>
        <w:jc w:val="both"/>
      </w:pPr>
      <w:r>
        <w:rPr>
          <w:rStyle w:val="FootnoteReference"/>
        </w:rPr>
        <w:footnoteRef/>
      </w:r>
      <w:r w:rsidR="6F00936E">
        <w:t xml:space="preserve"> </w:t>
      </w:r>
      <w:r w:rsidR="6F00936E" w:rsidRPr="007319A8">
        <w:t>For example, in Spain, notarial fees amount to approximately EUR 160 for a EUR 6,000 transfer, EUR 440–EUR 460 for a EUR 100,000 transfer and around EUR 1,000 for a EUR 1 million transfer. In Germany, fees under the GNotKG are higher, ranging from approximately EUR 330–EUR 450 for a EUR 50,000 transfer, EUR 900–EUR 1,200 for a EUR 250,000 transfer and EUR 3,000–EUR 4,000 for a EUR 1 million transfer</w:t>
      </w:r>
      <w:r>
        <w:t>.</w:t>
      </w:r>
    </w:p>
  </w:footnote>
  <w:footnote w:id="31">
    <w:p w14:paraId="554F9B50" w14:textId="643BD346" w:rsidR="005C097C" w:rsidRDefault="005C097C" w:rsidP="005D6ABA">
      <w:pPr>
        <w:pStyle w:val="FootnoteText"/>
        <w:jc w:val="both"/>
      </w:pPr>
      <w:r>
        <w:rPr>
          <w:rStyle w:val="FootnoteReference"/>
        </w:rPr>
        <w:footnoteRef/>
      </w:r>
      <w:r>
        <w:t xml:space="preserve"> For instance, </w:t>
      </w:r>
      <w:r w:rsidR="0038192C">
        <w:t xml:space="preserve">PwC, </w:t>
      </w:r>
      <w:hyperlink r:id="rId13" w:history="1">
        <w:r w:rsidR="00104329" w:rsidRPr="00094C2B">
          <w:rPr>
            <w:rStyle w:val="Hyperlink"/>
          </w:rPr>
          <w:t>Private Equity Trend Report 2025</w:t>
        </w:r>
      </w:hyperlink>
      <w:r w:rsidR="00094C2B">
        <w:t>.</w:t>
      </w:r>
      <w:r w:rsidR="00094C2B" w:rsidDel="00094C2B">
        <w:t xml:space="preserve"> </w:t>
      </w:r>
    </w:p>
  </w:footnote>
  <w:footnote w:id="32">
    <w:p w14:paraId="42CC6D5A" w14:textId="10509083" w:rsidR="00AE4085" w:rsidRPr="00AE4085" w:rsidRDefault="00AE4085" w:rsidP="005D6ABA">
      <w:pPr>
        <w:pStyle w:val="FootnoteText"/>
        <w:jc w:val="both"/>
        <w:rPr>
          <w:lang w:val="en-IE"/>
        </w:rPr>
      </w:pPr>
      <w:r>
        <w:rPr>
          <w:rStyle w:val="FootnoteReference"/>
        </w:rPr>
        <w:footnoteRef/>
      </w:r>
      <w:r>
        <w:t xml:space="preserve"> </w:t>
      </w:r>
      <w:r w:rsidR="00741FDD" w:rsidRPr="00E57C3A">
        <w:rPr>
          <w:rFonts w:cs="Arial"/>
          <w:szCs w:val="18"/>
        </w:rPr>
        <w:t>2019</w:t>
      </w:r>
      <w:r w:rsidR="00247140" w:rsidRPr="00E57C3A">
        <w:rPr>
          <w:rFonts w:cs="Arial"/>
          <w:szCs w:val="18"/>
        </w:rPr>
        <w:t xml:space="preserve"> papers</w:t>
      </w:r>
      <w:r w:rsidR="00741FDD" w:rsidRPr="00E57C3A">
        <w:rPr>
          <w:rFonts w:cs="Arial"/>
          <w:szCs w:val="18"/>
        </w:rPr>
        <w:t xml:space="preserve"> from BusinessEurope, Bundesverband der Deutschen Industrie (BDI) and Movement des entreprises de France (MEDEF) call</w:t>
      </w:r>
      <w:r w:rsidR="00247140" w:rsidRPr="00E57C3A">
        <w:rPr>
          <w:rFonts w:cs="Arial"/>
          <w:szCs w:val="18"/>
        </w:rPr>
        <w:t xml:space="preserve">ing </w:t>
      </w:r>
      <w:r w:rsidR="00741FDD" w:rsidRPr="00E57C3A">
        <w:rPr>
          <w:rFonts w:cs="Arial"/>
          <w:szCs w:val="18"/>
        </w:rPr>
        <w:t>for a relaunch of the SPE proposal</w:t>
      </w:r>
      <w:r w:rsidR="00DA1D52" w:rsidRPr="00E57C3A">
        <w:rPr>
          <w:rFonts w:cs="Arial"/>
          <w:szCs w:val="18"/>
        </w:rPr>
        <w:t>.</w:t>
      </w:r>
    </w:p>
  </w:footnote>
  <w:footnote w:id="33">
    <w:p w14:paraId="39112AB0" w14:textId="7DE61DFE" w:rsidR="00EE4111" w:rsidRPr="00057DF3" w:rsidRDefault="00EE4111" w:rsidP="005D6ABA">
      <w:pPr>
        <w:pStyle w:val="FootnoteText"/>
        <w:jc w:val="both"/>
        <w:rPr>
          <w:color w:val="auto"/>
          <w:lang w:val="en-IE"/>
        </w:rPr>
      </w:pPr>
      <w:r w:rsidRPr="00057DF3">
        <w:rPr>
          <w:rStyle w:val="FootnoteReference"/>
          <w:color w:val="auto"/>
        </w:rPr>
        <w:footnoteRef/>
      </w:r>
      <w:r w:rsidRPr="00057DF3">
        <w:rPr>
          <w:color w:val="auto"/>
        </w:rPr>
        <w:t xml:space="preserve"> </w:t>
      </w:r>
      <w:r w:rsidR="00B555AD" w:rsidRPr="00057DF3">
        <w:rPr>
          <w:color w:val="auto"/>
        </w:rPr>
        <w:t xml:space="preserve"> For example, </w:t>
      </w:r>
      <w:r w:rsidR="00F42559" w:rsidRPr="00057DF3">
        <w:rPr>
          <w:color w:val="auto"/>
        </w:rPr>
        <w:t xml:space="preserve">just </w:t>
      </w:r>
      <w:r w:rsidR="00B555AD" w:rsidRPr="00057DF3">
        <w:rPr>
          <w:color w:val="auto"/>
        </w:rPr>
        <w:t>the filing</w:t>
      </w:r>
      <w:r w:rsidR="007B4757" w:rsidRPr="00057DF3">
        <w:rPr>
          <w:color w:val="auto"/>
        </w:rPr>
        <w:t xml:space="preserve"> of</w:t>
      </w:r>
      <w:r w:rsidR="00B555AD" w:rsidRPr="00057DF3">
        <w:rPr>
          <w:color w:val="auto"/>
        </w:rPr>
        <w:t xml:space="preserve"> the relevant documents with the business register may amount to around EUR 650 per company</w:t>
      </w:r>
      <w:r w:rsidR="00D5504C" w:rsidRPr="00057DF3">
        <w:rPr>
          <w:color w:val="auto"/>
        </w:rPr>
        <w:t xml:space="preserve">, </w:t>
      </w:r>
      <w:hyperlink r:id="rId14" w:history="1">
        <w:r w:rsidR="007554A3" w:rsidRPr="00057DF3">
          <w:rPr>
            <w:rStyle w:val="Hyperlink"/>
            <w:color w:val="auto"/>
          </w:rPr>
          <w:t>PRH - Front page | PRH</w:t>
        </w:r>
      </w:hyperlink>
      <w:r w:rsidR="00286AA9" w:rsidRPr="00057DF3">
        <w:rPr>
          <w:color w:val="auto"/>
        </w:rPr>
        <w:t>.</w:t>
      </w:r>
    </w:p>
  </w:footnote>
  <w:footnote w:id="34">
    <w:p w14:paraId="362A5463" w14:textId="07CD19EF" w:rsidR="00C31E88" w:rsidRPr="00F07652" w:rsidRDefault="00C31E88" w:rsidP="005D6ABA">
      <w:pPr>
        <w:pStyle w:val="FootnoteText"/>
        <w:jc w:val="both"/>
        <w:rPr>
          <w:lang w:val="en-IE"/>
        </w:rPr>
      </w:pPr>
      <w:r>
        <w:rPr>
          <w:rStyle w:val="FootnoteReference"/>
        </w:rPr>
        <w:footnoteRef/>
      </w:r>
      <w:r w:rsidRPr="00F07652">
        <w:rPr>
          <w:lang w:val="en-IE"/>
        </w:rPr>
        <w:t xml:space="preserve"> </w:t>
      </w:r>
      <w:r w:rsidR="005005E2">
        <w:rPr>
          <w:lang w:val="en-IE"/>
        </w:rPr>
        <w:t xml:space="preserve">EU Inc, </w:t>
      </w:r>
      <w:hyperlink r:id="rId15" w:history="1">
        <w:r w:rsidR="007B3B72" w:rsidRPr="00F07652">
          <w:rPr>
            <w:rStyle w:val="Hyperlink"/>
            <w:lang w:val="en-IE"/>
          </w:rPr>
          <w:t>Supporting App</w:t>
        </w:r>
        <w:bookmarkStart w:id="63" w:name="_Hlt219295515"/>
        <w:bookmarkStart w:id="64" w:name="_Hlt219295516"/>
        <w:r w:rsidR="007B3B72" w:rsidRPr="00F07652">
          <w:rPr>
            <w:rStyle w:val="Hyperlink"/>
            <w:lang w:val="en-IE"/>
          </w:rPr>
          <w:t>e</w:t>
        </w:r>
        <w:bookmarkEnd w:id="63"/>
        <w:bookmarkEnd w:id="64"/>
        <w:r w:rsidR="007B3B72" w:rsidRPr="00F07652">
          <w:rPr>
            <w:rStyle w:val="Hyperlink"/>
            <w:lang w:val="en-IE"/>
          </w:rPr>
          <w:t>ndices</w:t>
        </w:r>
      </w:hyperlink>
      <w:r w:rsidR="00641013">
        <w:rPr>
          <w:lang w:val="en-IE"/>
        </w:rPr>
        <w:t>.</w:t>
      </w:r>
    </w:p>
  </w:footnote>
  <w:footnote w:id="35">
    <w:p w14:paraId="3CBFA080" w14:textId="367999A4" w:rsidR="008162A0" w:rsidRPr="00B81399" w:rsidRDefault="008162A0" w:rsidP="005D6ABA">
      <w:pPr>
        <w:pStyle w:val="FootnoteText"/>
        <w:jc w:val="both"/>
      </w:pPr>
      <w:r>
        <w:rPr>
          <w:rStyle w:val="FootnoteReference"/>
        </w:rPr>
        <w:footnoteRef/>
      </w:r>
      <w:r w:rsidDel="000063E3">
        <w:t xml:space="preserve"> </w:t>
      </w:r>
      <w:r w:rsidR="000063E3">
        <w:rPr>
          <w:lang w:val="en-IE"/>
        </w:rPr>
        <w:t>C</w:t>
      </w:r>
      <w:r w:rsidR="000063E3" w:rsidRPr="001D619B">
        <w:rPr>
          <w:lang w:val="en-IE"/>
        </w:rPr>
        <w:t xml:space="preserve">ommission staff working document report </w:t>
      </w:r>
      <w:r w:rsidR="000063E3" w:rsidRPr="008C4CFE">
        <w:rPr>
          <w:lang w:val="en-IE"/>
        </w:rPr>
        <w:t>on the technical and financial aspects of the Business Registers Interconnection System (BRIS) Directive (EU) 2012/17</w:t>
      </w:r>
      <w:r w:rsidR="000063E3">
        <w:rPr>
          <w:lang w:val="en-IE"/>
        </w:rPr>
        <w:t xml:space="preserve">, </w:t>
      </w:r>
      <w:hyperlink r:id="rId16" w:history="1">
        <w:r w:rsidR="000063E3" w:rsidRPr="00580EF0">
          <w:rPr>
            <w:rStyle w:val="Hyperlink"/>
            <w:lang w:val="en-IE"/>
          </w:rPr>
          <w:t>SWD(2023) 79 final</w:t>
        </w:r>
      </w:hyperlink>
      <w:r w:rsidR="000063E3">
        <w:rPr>
          <w:lang w:val="en-IE"/>
        </w:rPr>
        <w:t>.</w:t>
      </w:r>
    </w:p>
  </w:footnote>
  <w:footnote w:id="36">
    <w:p w14:paraId="742360DB" w14:textId="77777777" w:rsidR="0086721E" w:rsidRDefault="0086721E" w:rsidP="005D6ABA">
      <w:pPr>
        <w:pStyle w:val="FootnoteText"/>
        <w:jc w:val="both"/>
      </w:pPr>
      <w:r w:rsidRPr="00E57C3A">
        <w:rPr>
          <w:rStyle w:val="FootnoteReference"/>
          <w:rFonts w:cs="Arial"/>
          <w:szCs w:val="18"/>
        </w:rPr>
        <w:footnoteRef/>
      </w:r>
      <w:r w:rsidRPr="00E57C3A">
        <w:rPr>
          <w:rFonts w:cs="Arial"/>
          <w:szCs w:val="18"/>
        </w:rPr>
        <w:t xml:space="preserve"> It is not fixed by law.</w:t>
      </w:r>
    </w:p>
  </w:footnote>
  <w:footnote w:id="37">
    <w:p w14:paraId="0C47B1EA" w14:textId="6F4821CE" w:rsidR="0086721E" w:rsidRPr="00E57C3A" w:rsidRDefault="0086721E" w:rsidP="005D6ABA">
      <w:pPr>
        <w:pStyle w:val="FootnoteText"/>
        <w:jc w:val="both"/>
        <w:rPr>
          <w:rFonts w:cs="Arial"/>
          <w:szCs w:val="18"/>
        </w:rPr>
      </w:pPr>
      <w:r w:rsidRPr="00E57C3A">
        <w:rPr>
          <w:rStyle w:val="FootnoteReference"/>
          <w:rFonts w:cs="Arial"/>
          <w:szCs w:val="18"/>
        </w:rPr>
        <w:footnoteRef/>
      </w:r>
      <w:r w:rsidRPr="00E57C3A">
        <w:rPr>
          <w:rFonts w:cs="Arial"/>
          <w:szCs w:val="18"/>
        </w:rPr>
        <w:t xml:space="preserve"> </w:t>
      </w:r>
      <w:r w:rsidR="002F3215">
        <w:rPr>
          <w:rFonts w:cs="Arial"/>
          <w:szCs w:val="18"/>
        </w:rPr>
        <w:t>Delaware Division of Corporations</w:t>
      </w:r>
      <w:r w:rsidR="0043462E">
        <w:rPr>
          <w:rFonts w:cs="Arial"/>
          <w:szCs w:val="18"/>
        </w:rPr>
        <w:t>,</w:t>
      </w:r>
      <w:r>
        <w:rPr>
          <w:rFonts w:cs="Arial"/>
          <w:szCs w:val="18"/>
        </w:rPr>
        <w:t xml:space="preserve"> </w:t>
      </w:r>
      <w:hyperlink r:id="rId17" w:history="1">
        <w:r w:rsidRPr="00E57C3A">
          <w:rPr>
            <w:rStyle w:val="Hyperlink"/>
            <w:rFonts w:cs="Arial"/>
            <w:szCs w:val="18"/>
          </w:rPr>
          <w:t>Certification M</w:t>
        </w:r>
        <w:bookmarkStart w:id="65" w:name="_Hlt219296124"/>
        <w:bookmarkStart w:id="66" w:name="_Hlt219296125"/>
        <w:r w:rsidRPr="00E57C3A">
          <w:rPr>
            <w:rStyle w:val="Hyperlink"/>
            <w:rFonts w:cs="Arial"/>
            <w:szCs w:val="18"/>
          </w:rPr>
          <w:t>e</w:t>
        </w:r>
        <w:bookmarkEnd w:id="65"/>
        <w:bookmarkEnd w:id="66"/>
        <w:r w:rsidRPr="00E57C3A">
          <w:rPr>
            <w:rStyle w:val="Hyperlink"/>
            <w:rFonts w:cs="Arial"/>
            <w:szCs w:val="18"/>
          </w:rPr>
          <w:t>mo</w:t>
        </w:r>
      </w:hyperlink>
      <w:r w:rsidRPr="00E57C3A">
        <w:rPr>
          <w:rFonts w:cs="Arial"/>
          <w:szCs w:val="18"/>
        </w:rPr>
        <w:t>.</w:t>
      </w:r>
    </w:p>
  </w:footnote>
  <w:footnote w:id="38">
    <w:p w14:paraId="55E167E5" w14:textId="0648D237" w:rsidR="00BC0902" w:rsidRPr="00E57C3A" w:rsidRDefault="00BC0902" w:rsidP="005D6ABA">
      <w:pPr>
        <w:pStyle w:val="FootnoteText"/>
        <w:jc w:val="both"/>
        <w:rPr>
          <w:rFonts w:cs="Arial"/>
          <w:szCs w:val="18"/>
        </w:rPr>
      </w:pPr>
      <w:r w:rsidRPr="00E57C3A">
        <w:rPr>
          <w:rStyle w:val="FootnoteReference"/>
          <w:rFonts w:cs="Arial"/>
          <w:szCs w:val="18"/>
        </w:rPr>
        <w:footnoteRef/>
      </w:r>
      <w:r w:rsidRPr="00E57C3A">
        <w:rPr>
          <w:rFonts w:cs="Arial"/>
          <w:szCs w:val="18"/>
        </w:rPr>
        <w:t xml:space="preserve"> </w:t>
      </w:r>
      <w:r w:rsidR="00BB2199">
        <w:rPr>
          <w:rFonts w:cs="Arial"/>
          <w:szCs w:val="18"/>
        </w:rPr>
        <w:t xml:space="preserve">Delaware Division of </w:t>
      </w:r>
      <w:r w:rsidR="009C4B17">
        <w:rPr>
          <w:rFonts w:cs="Arial"/>
          <w:szCs w:val="18"/>
        </w:rPr>
        <w:t xml:space="preserve">Corporations, </w:t>
      </w:r>
      <w:hyperlink r:id="rId18" w:history="1">
        <w:r w:rsidRPr="00E57C3A">
          <w:rPr>
            <w:rStyle w:val="Hyperlink"/>
            <w:rFonts w:cs="Arial"/>
            <w:szCs w:val="18"/>
          </w:rPr>
          <w:t>Certificate Type</w:t>
        </w:r>
      </w:hyperlink>
      <w:r w:rsidR="0081017C">
        <w:t>, August 2024</w:t>
      </w:r>
      <w:r w:rsidRPr="00E57C3A">
        <w:rPr>
          <w:rFonts w:cs="Arial"/>
          <w:szCs w:val="18"/>
        </w:rPr>
        <w:t>.</w:t>
      </w:r>
    </w:p>
  </w:footnote>
  <w:footnote w:id="39">
    <w:p w14:paraId="435B9DE6" w14:textId="01636225" w:rsidR="00BC0902" w:rsidRPr="00057DF3" w:rsidRDefault="00BC0902" w:rsidP="005D6ABA">
      <w:pPr>
        <w:pStyle w:val="FootnoteText"/>
        <w:jc w:val="both"/>
        <w:rPr>
          <w:rFonts w:cs="Arial"/>
          <w:szCs w:val="18"/>
        </w:rPr>
      </w:pPr>
      <w:r w:rsidRPr="00E57C3A">
        <w:rPr>
          <w:rStyle w:val="FootnoteReference"/>
          <w:rFonts w:cs="Arial"/>
          <w:szCs w:val="18"/>
        </w:rPr>
        <w:footnoteRef/>
      </w:r>
      <w:r w:rsidRPr="00E57C3A">
        <w:rPr>
          <w:rFonts w:cs="Arial"/>
          <w:szCs w:val="18"/>
        </w:rPr>
        <w:t xml:space="preserve"> The amount depends on the number of shares issued</w:t>
      </w:r>
      <w:r w:rsidR="00541F8C">
        <w:rPr>
          <w:rFonts w:cs="Arial"/>
          <w:szCs w:val="18"/>
        </w:rPr>
        <w:t>.</w:t>
      </w:r>
    </w:p>
  </w:footnote>
  <w:footnote w:id="40">
    <w:p w14:paraId="3432683E" w14:textId="448136C5" w:rsidR="00B20F49" w:rsidRPr="00B20F49" w:rsidRDefault="00B20F49" w:rsidP="005D6ABA">
      <w:pPr>
        <w:pStyle w:val="FootnoteText"/>
        <w:jc w:val="both"/>
        <w:rPr>
          <w:lang w:val="en-IE"/>
        </w:rPr>
      </w:pPr>
      <w:r>
        <w:rPr>
          <w:rStyle w:val="FootnoteReference"/>
        </w:rPr>
        <w:footnoteRef/>
      </w:r>
      <w:r>
        <w:t xml:space="preserve"> </w:t>
      </w:r>
      <w:r w:rsidR="00A70EB0">
        <w:t>S</w:t>
      </w:r>
      <w:r w:rsidRPr="00B20F49">
        <w:t>urvey conducted by the EIA contractor</w:t>
      </w:r>
      <w:r w:rsidR="005D6ABA">
        <w:t>.</w:t>
      </w:r>
    </w:p>
  </w:footnote>
  <w:footnote w:id="41">
    <w:p w14:paraId="19161E85" w14:textId="4ED10A33" w:rsidR="00671F58" w:rsidRPr="00EB5D05" w:rsidRDefault="00671F58" w:rsidP="005D6ABA">
      <w:pPr>
        <w:pStyle w:val="FootnoteText"/>
        <w:jc w:val="both"/>
        <w:rPr>
          <w:lang w:val="de-DE"/>
        </w:rPr>
      </w:pPr>
      <w:r>
        <w:rPr>
          <w:rStyle w:val="FootnoteReference"/>
        </w:rPr>
        <w:footnoteRef/>
      </w:r>
      <w:r w:rsidRPr="00E857C9">
        <w:rPr>
          <w:lang w:val="de-DE"/>
        </w:rPr>
        <w:t xml:space="preserve"> </w:t>
      </w:r>
      <w:r w:rsidR="00F174A9" w:rsidRPr="00E857C9">
        <w:rPr>
          <w:lang w:val="de-DE"/>
        </w:rPr>
        <w:t>Kraakman/Renier</w:t>
      </w:r>
      <w:r w:rsidR="00505212" w:rsidRPr="00E857C9">
        <w:rPr>
          <w:lang w:val="de-DE"/>
        </w:rPr>
        <w:t xml:space="preserve"> et al.,</w:t>
      </w:r>
      <w:r w:rsidR="00505212" w:rsidRPr="00E857C9" w:rsidDel="00505212">
        <w:rPr>
          <w:lang w:val="de-DE"/>
        </w:rPr>
        <w:t xml:space="preserve"> </w:t>
      </w:r>
      <w:r w:rsidR="002E4FFF">
        <w:rPr>
          <w:lang w:val="de-DE"/>
        </w:rPr>
        <w:t>T</w:t>
      </w:r>
      <w:r w:rsidR="002E4FFF" w:rsidRPr="00AE7EB8">
        <w:rPr>
          <w:lang w:val="de-DE"/>
        </w:rPr>
        <w:t>he Anatomy of Corporate Law</w:t>
      </w:r>
      <w:r w:rsidR="00FE5209" w:rsidRPr="00E857C9">
        <w:rPr>
          <w:lang w:val="de-DE"/>
        </w:rPr>
        <w:t xml:space="preserve">, </w:t>
      </w:r>
      <w:r w:rsidR="005D6ABA">
        <w:rPr>
          <w:lang w:val="de-DE"/>
        </w:rPr>
        <w:t xml:space="preserve">a comparative and functional approach, </w:t>
      </w:r>
      <w:r w:rsidR="00FE5209" w:rsidRPr="00E857C9">
        <w:rPr>
          <w:lang w:val="de-DE"/>
        </w:rPr>
        <w:t>23 Mar</w:t>
      </w:r>
      <w:r w:rsidR="004D0D75" w:rsidRPr="00E857C9">
        <w:rPr>
          <w:lang w:val="de-DE"/>
        </w:rPr>
        <w:t>ch</w:t>
      </w:r>
      <w:r w:rsidR="00FE5209" w:rsidRPr="00E857C9">
        <w:rPr>
          <w:lang w:val="de-DE"/>
        </w:rPr>
        <w:t xml:space="preserve"> 2017</w:t>
      </w:r>
      <w:r w:rsidR="00E7007E" w:rsidRPr="00E857C9">
        <w:rPr>
          <w:lang w:val="de-DE"/>
        </w:rPr>
        <w:t xml:space="preserve">, section </w:t>
      </w:r>
      <w:r w:rsidR="00506AD8" w:rsidRPr="00E857C9">
        <w:rPr>
          <w:lang w:val="de-DE"/>
        </w:rPr>
        <w:t>5.2.2.1</w:t>
      </w:r>
      <w:r w:rsidR="00D52EA9" w:rsidRPr="00E857C9">
        <w:rPr>
          <w:lang w:val="de-DE"/>
        </w:rPr>
        <w:t>;</w:t>
      </w:r>
      <w:r w:rsidR="00455941" w:rsidRPr="00E857C9">
        <w:rPr>
          <w:lang w:val="de-DE"/>
        </w:rPr>
        <w:t xml:space="preserve"> Bachmann</w:t>
      </w:r>
      <w:r w:rsidR="00F847BC" w:rsidRPr="00E857C9">
        <w:rPr>
          <w:lang w:val="de-DE"/>
        </w:rPr>
        <w:t>/</w:t>
      </w:r>
      <w:r w:rsidR="00455941" w:rsidRPr="00E857C9">
        <w:rPr>
          <w:lang w:val="de-DE"/>
        </w:rPr>
        <w:t>Eidenmüller</w:t>
      </w:r>
      <w:r w:rsidR="0033600D" w:rsidRPr="00E857C9">
        <w:rPr>
          <w:lang w:val="de-DE"/>
        </w:rPr>
        <w:t xml:space="preserve"> et al.,</w:t>
      </w:r>
      <w:r w:rsidR="0033600D" w:rsidRPr="00E857C9" w:rsidDel="0033600D">
        <w:rPr>
          <w:lang w:val="de-DE"/>
        </w:rPr>
        <w:t xml:space="preserve"> </w:t>
      </w:r>
      <w:r w:rsidR="00455941" w:rsidRPr="00E857C9">
        <w:rPr>
          <w:lang w:val="de-DE"/>
        </w:rPr>
        <w:t xml:space="preserve">Rechtsregeln für die geschlossene Kapitalgesellschaft, </w:t>
      </w:r>
      <w:r w:rsidR="00336742" w:rsidRPr="00E857C9">
        <w:rPr>
          <w:lang w:val="de-DE"/>
        </w:rPr>
        <w:t>ZGR-Sonderheft 18</w:t>
      </w:r>
      <w:r w:rsidR="00455941" w:rsidRPr="00E857C9">
        <w:rPr>
          <w:lang w:val="de-DE"/>
        </w:rPr>
        <w:t>, 2012, p.</w:t>
      </w:r>
      <w:r w:rsidR="00D50B9C" w:rsidRPr="00E857C9">
        <w:rPr>
          <w:lang w:val="de-DE"/>
        </w:rPr>
        <w:t> 156.</w:t>
      </w:r>
      <w:r w:rsidR="005F10B0" w:rsidRPr="00E857C9">
        <w:rPr>
          <w:lang w:val="de-DE"/>
        </w:rPr>
        <w:t xml:space="preserve"> </w:t>
      </w:r>
    </w:p>
  </w:footnote>
  <w:footnote w:id="42">
    <w:p w14:paraId="0BE1B9E0" w14:textId="77777777" w:rsidR="00786D91" w:rsidRPr="00EB5D05" w:rsidRDefault="00786D91" w:rsidP="005D6ABA">
      <w:pPr>
        <w:pStyle w:val="FootnoteText"/>
        <w:jc w:val="both"/>
        <w:rPr>
          <w:rFonts w:cs="Arial"/>
          <w:szCs w:val="18"/>
        </w:rPr>
      </w:pPr>
      <w:r w:rsidRPr="00EB5D05">
        <w:rPr>
          <w:rStyle w:val="FootnoteReference"/>
          <w:rFonts w:cs="Arial"/>
          <w:szCs w:val="18"/>
        </w:rPr>
        <w:footnoteRef/>
      </w:r>
      <w:r w:rsidRPr="00EB5D05">
        <w:rPr>
          <w:rFonts w:cs="Arial"/>
          <w:szCs w:val="18"/>
        </w:rPr>
        <w:t xml:space="preserve"> </w:t>
      </w:r>
      <w:r w:rsidRPr="00EB5D05">
        <w:rPr>
          <w:rFonts w:cs="Arial"/>
          <w:szCs w:val="18"/>
          <w:lang w:val="en-IE"/>
        </w:rPr>
        <w:t>This option would not apply to those cases where the TIN is also the VAT identification number.</w:t>
      </w:r>
    </w:p>
  </w:footnote>
  <w:footnote w:id="43">
    <w:p w14:paraId="7B87FBDA" w14:textId="7CDD19F4" w:rsidR="000B28C4" w:rsidRPr="00C918E7" w:rsidRDefault="000B28C4" w:rsidP="005D6ABA">
      <w:pPr>
        <w:pStyle w:val="FootnoteText"/>
        <w:spacing w:before="0" w:after="0"/>
        <w:jc w:val="both"/>
        <w:rPr>
          <w:lang w:val="en-IE"/>
        </w:rPr>
      </w:pPr>
      <w:r>
        <w:rPr>
          <w:rStyle w:val="FootnoteReference"/>
        </w:rPr>
        <w:footnoteRef/>
      </w:r>
      <w:r>
        <w:t xml:space="preserve"> </w:t>
      </w:r>
      <w:r w:rsidR="002449FC">
        <w:t xml:space="preserve">Report on the evaluation </w:t>
      </w:r>
      <w:r w:rsidR="004531A9">
        <w:t>of</w:t>
      </w:r>
      <w:r w:rsidR="00EE35F0">
        <w:t xml:space="preserve"> </w:t>
      </w:r>
      <w:r w:rsidR="00EE35F0" w:rsidRPr="00EE35F0">
        <w:t>Council Directive 2011/16/EU on administrative cooperation in the field of taxation</w:t>
      </w:r>
      <w:r w:rsidR="001D0382">
        <w:t xml:space="preserve">, </w:t>
      </w:r>
      <w:hyperlink r:id="rId19" w:history="1">
        <w:r w:rsidR="001D0382" w:rsidRPr="001D0382">
          <w:rPr>
            <w:rStyle w:val="Hyperlink"/>
          </w:rPr>
          <w:t>COM(2025) 695 final</w:t>
        </w:r>
      </w:hyperlink>
      <w:r w:rsidR="001D0382">
        <w:t>.</w:t>
      </w:r>
    </w:p>
  </w:footnote>
  <w:footnote w:id="44">
    <w:p w14:paraId="1322237A" w14:textId="4939A757" w:rsidR="0015353D" w:rsidRPr="002C4368" w:rsidRDefault="0015353D" w:rsidP="005D6ABA">
      <w:pPr>
        <w:pStyle w:val="FootnoteText"/>
        <w:spacing w:before="0" w:after="0"/>
        <w:jc w:val="both"/>
        <w:rPr>
          <w:lang w:val="en-IE"/>
        </w:rPr>
      </w:pPr>
      <w:r>
        <w:rPr>
          <w:rStyle w:val="FootnoteReference"/>
        </w:rPr>
        <w:footnoteRef/>
      </w:r>
      <w:r>
        <w:t xml:space="preserve"> </w:t>
      </w:r>
      <w:r w:rsidR="0047480A">
        <w:t xml:space="preserve">COM, </w:t>
      </w:r>
      <w:hyperlink r:id="rId20" w:history="1">
        <w:r w:rsidR="00FB207F" w:rsidRPr="00F354C1">
          <w:rPr>
            <w:rStyle w:val="Hyperlink"/>
          </w:rPr>
          <w:t>State of the Digital Decade 2025 Report</w:t>
        </w:r>
      </w:hyperlink>
      <w:r w:rsidR="00FB207F">
        <w:t>,</w:t>
      </w:r>
      <w:r w:rsidR="00466B57">
        <w:t xml:space="preserve"> </w:t>
      </w:r>
      <w:r w:rsidR="0047480A">
        <w:t>June 2025</w:t>
      </w:r>
      <w:r w:rsidR="001225BA">
        <w:t>, COM(2025</w:t>
      </w:r>
      <w:r w:rsidR="00F936C1">
        <w:t>) 290 final</w:t>
      </w:r>
      <w:r w:rsidR="0047480A">
        <w:t>.</w:t>
      </w:r>
    </w:p>
  </w:footnote>
  <w:footnote w:id="45">
    <w:p w14:paraId="1362FFE1" w14:textId="08FBBFB4" w:rsidR="00570A60" w:rsidRPr="00570A60" w:rsidRDefault="00570A60" w:rsidP="005D6ABA">
      <w:pPr>
        <w:pStyle w:val="FootnoteText"/>
        <w:spacing w:before="0" w:after="0"/>
        <w:jc w:val="both"/>
        <w:rPr>
          <w:lang w:val="en-IE"/>
        </w:rPr>
      </w:pPr>
      <w:r>
        <w:rPr>
          <w:rStyle w:val="FootnoteReference"/>
        </w:rPr>
        <w:footnoteRef/>
      </w:r>
      <w:r>
        <w:t xml:space="preserve"> </w:t>
      </w:r>
      <w:hyperlink r:id="rId21" w:history="1">
        <w:r w:rsidR="00136DC3" w:rsidRPr="00B115E2">
          <w:rPr>
            <w:rStyle w:val="Hyperlink"/>
          </w:rPr>
          <w:t>Directive (EU) 2024/1640</w:t>
        </w:r>
      </w:hyperlink>
      <w:r w:rsidR="00136DC3" w:rsidRPr="00136DC3">
        <w:t xml:space="preserve"> on the mechanisms to be put in place by Member States for the prevention of the use of the financial system for the purposes of money laundering or terrorist financing</w:t>
      </w:r>
      <w:r w:rsidR="008860D2">
        <w:t>.</w:t>
      </w:r>
    </w:p>
  </w:footnote>
  <w:footnote w:id="46">
    <w:p w14:paraId="1C4F2287" w14:textId="1751B1E8" w:rsidR="00AD7A48" w:rsidRPr="00940813" w:rsidRDefault="00AD7A48" w:rsidP="005D6ABA">
      <w:pPr>
        <w:pStyle w:val="FootnoteText"/>
        <w:jc w:val="both"/>
      </w:pPr>
      <w:r>
        <w:rPr>
          <w:rStyle w:val="FootnoteReference"/>
        </w:rPr>
        <w:footnoteRef/>
      </w:r>
      <w:r>
        <w:t xml:space="preserve"> </w:t>
      </w:r>
      <w:hyperlink r:id="rId22" w:history="1">
        <w:r w:rsidR="00AC6A12" w:rsidRPr="00C87C16">
          <w:rPr>
            <w:rStyle w:val="Hyperlink"/>
          </w:rPr>
          <w:t>COM(2022</w:t>
        </w:r>
        <w:r w:rsidR="00B91A27" w:rsidRPr="00C87C16">
          <w:rPr>
            <w:rStyle w:val="Hyperlink"/>
          </w:rPr>
          <w:t>)</w:t>
        </w:r>
        <w:r w:rsidR="00C87C16" w:rsidRPr="00C87C16">
          <w:rPr>
            <w:rStyle w:val="Hyperlink"/>
          </w:rPr>
          <w:t xml:space="preserve"> 702 final</w:t>
        </w:r>
      </w:hyperlink>
      <w:r w:rsidR="00C87C16">
        <w:t>.</w:t>
      </w:r>
    </w:p>
  </w:footnote>
  <w:footnote w:id="47">
    <w:p w14:paraId="0AB4A276" w14:textId="0A542931" w:rsidR="0092611E" w:rsidRPr="0092611E" w:rsidRDefault="0092611E" w:rsidP="005D6ABA">
      <w:pPr>
        <w:pStyle w:val="FootnoteText"/>
        <w:jc w:val="both"/>
        <w:rPr>
          <w:lang w:val="en-US"/>
        </w:rPr>
      </w:pPr>
      <w:r>
        <w:rPr>
          <w:rStyle w:val="FootnoteReference"/>
        </w:rPr>
        <w:footnoteRef/>
      </w:r>
      <w:r>
        <w:t xml:space="preserve"> </w:t>
      </w:r>
      <w:r>
        <w:rPr>
          <w:lang w:val="en-US"/>
        </w:rPr>
        <w:t>Please refer to Annex 8</w:t>
      </w:r>
      <w:r w:rsidR="005F3E4C">
        <w:rPr>
          <w:lang w:val="en-US"/>
        </w:rPr>
        <w:t>:</w:t>
      </w:r>
      <w:r>
        <w:rPr>
          <w:lang w:val="en-US"/>
        </w:rPr>
        <w:t xml:space="preserve"> Number of companies for the detailed </w:t>
      </w:r>
      <w:r w:rsidR="0067038D">
        <w:rPr>
          <w:lang w:val="en-US"/>
        </w:rPr>
        <w:t>model</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D9461" w14:textId="77777777" w:rsidR="00D96D6A" w:rsidRPr="00D96D6A" w:rsidRDefault="00D96D6A" w:rsidP="00D96D6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08CF4" w14:textId="77777777" w:rsidR="00D96D6A" w:rsidRPr="00D96D6A" w:rsidRDefault="00D96D6A" w:rsidP="00D96D6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78C58" w14:textId="77777777" w:rsidR="00D96D6A" w:rsidRPr="00D96D6A" w:rsidRDefault="00D96D6A" w:rsidP="00D96D6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4E774" w14:textId="77777777" w:rsidR="00187DA6" w:rsidRDefault="00187D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right w:val="none" w:sz="0" w:space="0" w:color="auto"/>
      </w:tblBorders>
      <w:tblCellMar>
        <w:left w:w="0" w:type="dxa"/>
        <w:right w:w="0" w:type="dxa"/>
      </w:tblCellMar>
      <w:tblLook w:val="04A0" w:firstRow="1" w:lastRow="0" w:firstColumn="1" w:lastColumn="0" w:noHBand="0" w:noVBand="1"/>
    </w:tblPr>
    <w:tblGrid>
      <w:gridCol w:w="8788"/>
    </w:tblGrid>
    <w:tr w:rsidR="00187DA6" w14:paraId="3B8CDE51" w14:textId="77777777" w:rsidTr="00D25AEE">
      <w:trPr>
        <w:cantSplit/>
      </w:trPr>
      <w:tc>
        <w:tcPr>
          <w:tcW w:w="5000" w:type="pct"/>
        </w:tcPr>
        <w:p w14:paraId="3E7F7A8A" w14:textId="77777777" w:rsidR="00187DA6" w:rsidRDefault="00187DA6" w:rsidP="00894905">
          <w:pPr>
            <w:pStyle w:val="Header"/>
          </w:pPr>
        </w:p>
      </w:tc>
    </w:tr>
  </w:tbl>
  <w:p w14:paraId="2639AFA1" w14:textId="77777777" w:rsidR="00187DA6" w:rsidRDefault="00187D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48048" w14:textId="77777777" w:rsidR="00187DA6" w:rsidRDefault="00187DA6" w:rsidP="00650A89">
    <w:pPr>
      <w:pStyle w:val="Header"/>
      <w:tabs>
        <w:tab w:val="left" w:pos="7275"/>
      </w:tabs>
    </w:pPr>
    <w:r w:rsidRPr="004A7F9D">
      <w:rPr>
        <w:noProof/>
        <w:lang w:eastAsia="en-GB"/>
      </w:rPr>
      <w:drawing>
        <wp:inline distT="0" distB="0" distL="0" distR="0" wp14:anchorId="00AA26EC" wp14:editId="1AA3DA44">
          <wp:extent cx="1972800" cy="1364400"/>
          <wp:effectExtent l="0" t="0" r="8890" b="7620"/>
          <wp:docPr id="1514701370" name="Picture 151470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Commission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2800" cy="1364400"/>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right w:val="none" w:sz="0" w:space="0" w:color="auto"/>
      </w:tblBorders>
      <w:tblCellMar>
        <w:left w:w="0" w:type="dxa"/>
        <w:right w:w="0" w:type="dxa"/>
      </w:tblCellMar>
      <w:tblLook w:val="04A0" w:firstRow="1" w:lastRow="0" w:firstColumn="1" w:lastColumn="0" w:noHBand="0" w:noVBand="1"/>
    </w:tblPr>
    <w:tblGrid>
      <w:gridCol w:w="14002"/>
    </w:tblGrid>
    <w:tr w:rsidR="00187DA6" w14:paraId="56320063" w14:textId="77777777" w:rsidTr="00D25AEE">
      <w:trPr>
        <w:cantSplit/>
      </w:trPr>
      <w:tc>
        <w:tcPr>
          <w:tcW w:w="5000" w:type="pct"/>
        </w:tcPr>
        <w:p w14:paraId="1495E9AB" w14:textId="77777777" w:rsidR="00187DA6" w:rsidRDefault="00187DA6" w:rsidP="00894905">
          <w:pPr>
            <w:pStyle w:val="Header"/>
          </w:pPr>
        </w:p>
      </w:tc>
    </w:tr>
  </w:tbl>
  <w:p w14:paraId="5745C9CE" w14:textId="77777777" w:rsidR="00187DA6" w:rsidRDefault="00187DA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right w:val="none" w:sz="0" w:space="0" w:color="auto"/>
      </w:tblBorders>
      <w:tblCellMar>
        <w:left w:w="0" w:type="dxa"/>
        <w:right w:w="0" w:type="dxa"/>
      </w:tblCellMar>
      <w:tblLook w:val="04A0" w:firstRow="1" w:lastRow="0" w:firstColumn="1" w:lastColumn="0" w:noHBand="0" w:noVBand="1"/>
    </w:tblPr>
    <w:tblGrid>
      <w:gridCol w:w="9072"/>
    </w:tblGrid>
    <w:tr w:rsidR="00187DA6" w14:paraId="11E589DB" w14:textId="77777777" w:rsidTr="00D25AEE">
      <w:trPr>
        <w:cantSplit/>
      </w:trPr>
      <w:tc>
        <w:tcPr>
          <w:tcW w:w="5000" w:type="pct"/>
        </w:tcPr>
        <w:p w14:paraId="449E8F20" w14:textId="77777777" w:rsidR="00187DA6" w:rsidRDefault="00187DA6" w:rsidP="00894905">
          <w:pPr>
            <w:pStyle w:val="Header"/>
          </w:pPr>
        </w:p>
      </w:tc>
    </w:tr>
  </w:tbl>
  <w:p w14:paraId="2DE6581F" w14:textId="77777777" w:rsidR="00187DA6" w:rsidRDefault="00187DA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right w:val="none" w:sz="0" w:space="0" w:color="auto"/>
      </w:tblBorders>
      <w:tblCellMar>
        <w:left w:w="0" w:type="dxa"/>
        <w:right w:w="0" w:type="dxa"/>
      </w:tblCellMar>
      <w:tblLook w:val="04A0" w:firstRow="1" w:lastRow="0" w:firstColumn="1" w:lastColumn="0" w:noHBand="0" w:noVBand="1"/>
    </w:tblPr>
    <w:tblGrid>
      <w:gridCol w:w="9072"/>
    </w:tblGrid>
    <w:tr w:rsidR="00187DA6" w14:paraId="651F804E" w14:textId="77777777" w:rsidTr="00D25AEE">
      <w:trPr>
        <w:cantSplit/>
      </w:trPr>
      <w:tc>
        <w:tcPr>
          <w:tcW w:w="5000" w:type="pct"/>
        </w:tcPr>
        <w:p w14:paraId="6A8AAD19" w14:textId="77777777" w:rsidR="00187DA6" w:rsidRDefault="00187DA6" w:rsidP="00894905">
          <w:pPr>
            <w:pStyle w:val="Header"/>
          </w:pPr>
        </w:p>
      </w:tc>
    </w:tr>
  </w:tbl>
  <w:p w14:paraId="048A2394" w14:textId="77777777" w:rsidR="00187DA6" w:rsidRDefault="00187D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right w:val="none" w:sz="0" w:space="0" w:color="auto"/>
      </w:tblBorders>
      <w:tblCellMar>
        <w:left w:w="0" w:type="dxa"/>
        <w:right w:w="0" w:type="dxa"/>
      </w:tblCellMar>
      <w:tblLook w:val="04A0" w:firstRow="1" w:lastRow="0" w:firstColumn="1" w:lastColumn="0" w:noHBand="0" w:noVBand="1"/>
    </w:tblPr>
    <w:tblGrid>
      <w:gridCol w:w="9072"/>
    </w:tblGrid>
    <w:tr w:rsidR="00187DA6" w14:paraId="6C93AD68" w14:textId="77777777" w:rsidTr="00D25AEE">
      <w:trPr>
        <w:cantSplit/>
      </w:trPr>
      <w:tc>
        <w:tcPr>
          <w:tcW w:w="5000" w:type="pct"/>
        </w:tcPr>
        <w:p w14:paraId="311ACF69" w14:textId="77777777" w:rsidR="00187DA6" w:rsidRDefault="00187DA6" w:rsidP="00894905">
          <w:pPr>
            <w:pStyle w:val="Header"/>
          </w:pPr>
        </w:p>
      </w:tc>
    </w:tr>
  </w:tbl>
  <w:p w14:paraId="78706CCF" w14:textId="77777777" w:rsidR="00187DA6" w:rsidRDefault="00187DA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right w:val="none" w:sz="0" w:space="0" w:color="auto"/>
      </w:tblBorders>
      <w:tblCellMar>
        <w:left w:w="0" w:type="dxa"/>
        <w:right w:w="0" w:type="dxa"/>
      </w:tblCellMar>
      <w:tblLook w:val="04A0" w:firstRow="1" w:lastRow="0" w:firstColumn="1" w:lastColumn="0" w:noHBand="0" w:noVBand="1"/>
    </w:tblPr>
    <w:tblGrid>
      <w:gridCol w:w="9072"/>
    </w:tblGrid>
    <w:tr w:rsidR="00187DA6" w14:paraId="50DC988D" w14:textId="77777777" w:rsidTr="00D25AEE">
      <w:trPr>
        <w:cantSplit/>
      </w:trPr>
      <w:tc>
        <w:tcPr>
          <w:tcW w:w="5000" w:type="pct"/>
        </w:tcPr>
        <w:p w14:paraId="068253FC" w14:textId="77777777" w:rsidR="00187DA6" w:rsidRDefault="00187DA6" w:rsidP="00894905">
          <w:pPr>
            <w:pStyle w:val="Header"/>
          </w:pPr>
        </w:p>
      </w:tc>
    </w:tr>
  </w:tbl>
  <w:p w14:paraId="39D5474B" w14:textId="77777777" w:rsidR="00187DA6" w:rsidRDefault="00187DA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right w:val="none" w:sz="0" w:space="0" w:color="auto"/>
      </w:tblBorders>
      <w:tblCellMar>
        <w:left w:w="0" w:type="dxa"/>
        <w:right w:w="0" w:type="dxa"/>
      </w:tblCellMar>
      <w:tblLook w:val="04A0" w:firstRow="1" w:lastRow="0" w:firstColumn="1" w:lastColumn="0" w:noHBand="0" w:noVBand="1"/>
    </w:tblPr>
    <w:tblGrid>
      <w:gridCol w:w="9072"/>
    </w:tblGrid>
    <w:tr w:rsidR="00187DA6" w14:paraId="1365F6E5" w14:textId="77777777" w:rsidTr="00D25AEE">
      <w:trPr>
        <w:cantSplit/>
      </w:trPr>
      <w:tc>
        <w:tcPr>
          <w:tcW w:w="5000" w:type="pct"/>
        </w:tcPr>
        <w:p w14:paraId="604D5FED" w14:textId="77777777" w:rsidR="00187DA6" w:rsidRDefault="00187DA6" w:rsidP="00894905">
          <w:pPr>
            <w:pStyle w:val="Header"/>
          </w:pPr>
        </w:p>
      </w:tc>
    </w:tr>
  </w:tbl>
  <w:p w14:paraId="49BD62F7" w14:textId="77777777" w:rsidR="00187DA6" w:rsidRDefault="00187D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CC8AB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F5006"/>
    <w:multiLevelType w:val="multilevel"/>
    <w:tmpl w:val="8F320F56"/>
    <w:styleLink w:val="NumblistTables"/>
    <w:lvl w:ilvl="0">
      <w:start w:val="1"/>
      <w:numFmt w:val="decimal"/>
      <w:pStyle w:val="TableTitle"/>
      <w:lvlText w:val="Table %1."/>
      <w:lvlJc w:val="left"/>
      <w:pPr>
        <w:tabs>
          <w:tab w:val="num" w:pos="1503"/>
        </w:tabs>
        <w:ind w:left="1503" w:hanging="1077"/>
      </w:pPr>
      <w:rPr>
        <w:rFonts w:hint="default"/>
      </w:rPr>
    </w:lvl>
    <w:lvl w:ilvl="1">
      <w:start w:val="1"/>
      <w:numFmt w:val="none"/>
      <w:lvlRestart w:val="0"/>
      <w:lvlText w:val=""/>
      <w:lvlJc w:val="left"/>
      <w:pPr>
        <w:tabs>
          <w:tab w:val="num" w:pos="0"/>
        </w:tabs>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04AA2FAE"/>
    <w:multiLevelType w:val="hybridMultilevel"/>
    <w:tmpl w:val="EA5200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DC503E5"/>
    <w:multiLevelType w:val="hybridMultilevel"/>
    <w:tmpl w:val="43B6FDF2"/>
    <w:lvl w:ilvl="0" w:tplc="E3E085BE">
      <w:start w:val="1"/>
      <w:numFmt w:val="decimal"/>
      <w:lvlText w:val="%1)"/>
      <w:lvlJc w:val="left"/>
      <w:pPr>
        <w:ind w:left="2424" w:hanging="360"/>
      </w:pPr>
      <w:rPr>
        <w:rFonts w:hint="default"/>
      </w:rPr>
    </w:lvl>
    <w:lvl w:ilvl="1" w:tplc="83246A0C">
      <w:start w:val="1"/>
      <w:numFmt w:val="lowerLetter"/>
      <w:lvlText w:val="%2."/>
      <w:lvlJc w:val="left"/>
      <w:pPr>
        <w:ind w:left="3144" w:hanging="360"/>
      </w:pPr>
      <w:rPr>
        <w:color w:val="auto"/>
      </w:rPr>
    </w:lvl>
    <w:lvl w:ilvl="2" w:tplc="0809001B">
      <w:start w:val="1"/>
      <w:numFmt w:val="lowerRoman"/>
      <w:lvlText w:val="%3."/>
      <w:lvlJc w:val="right"/>
      <w:pPr>
        <w:ind w:left="3443" w:hanging="180"/>
      </w:pPr>
    </w:lvl>
    <w:lvl w:ilvl="3" w:tplc="0809000F">
      <w:start w:val="1"/>
      <w:numFmt w:val="decimal"/>
      <w:lvlText w:val="%4."/>
      <w:lvlJc w:val="left"/>
      <w:pPr>
        <w:ind w:left="4584" w:hanging="360"/>
      </w:pPr>
    </w:lvl>
    <w:lvl w:ilvl="4" w:tplc="08090019">
      <w:start w:val="1"/>
      <w:numFmt w:val="lowerLetter"/>
      <w:lvlText w:val="%5."/>
      <w:lvlJc w:val="left"/>
      <w:pPr>
        <w:ind w:left="5304" w:hanging="360"/>
      </w:pPr>
    </w:lvl>
    <w:lvl w:ilvl="5" w:tplc="0809001B">
      <w:start w:val="1"/>
      <w:numFmt w:val="lowerRoman"/>
      <w:lvlText w:val="%6."/>
      <w:lvlJc w:val="right"/>
      <w:pPr>
        <w:ind w:left="6024" w:hanging="180"/>
      </w:pPr>
    </w:lvl>
    <w:lvl w:ilvl="6" w:tplc="0809000F">
      <w:start w:val="1"/>
      <w:numFmt w:val="decimal"/>
      <w:lvlText w:val="%7."/>
      <w:lvlJc w:val="left"/>
      <w:pPr>
        <w:ind w:left="6744" w:hanging="360"/>
      </w:pPr>
    </w:lvl>
    <w:lvl w:ilvl="7" w:tplc="08090019">
      <w:start w:val="1"/>
      <w:numFmt w:val="lowerLetter"/>
      <w:lvlText w:val="%8."/>
      <w:lvlJc w:val="left"/>
      <w:pPr>
        <w:ind w:left="7464" w:hanging="360"/>
      </w:pPr>
    </w:lvl>
    <w:lvl w:ilvl="8" w:tplc="0809001B">
      <w:start w:val="1"/>
      <w:numFmt w:val="lowerRoman"/>
      <w:lvlText w:val="%9."/>
      <w:lvlJc w:val="right"/>
      <w:pPr>
        <w:ind w:left="8184" w:hanging="180"/>
      </w:pPr>
    </w:lvl>
  </w:abstractNum>
  <w:abstractNum w:abstractNumId="4" w15:restartNumberingAfterBreak="0">
    <w:nsid w:val="11C323BA"/>
    <w:multiLevelType w:val="hybridMultilevel"/>
    <w:tmpl w:val="A616047C"/>
    <w:lvl w:ilvl="0" w:tplc="18090001">
      <w:start w:val="1"/>
      <w:numFmt w:val="bullet"/>
      <w:lvlText w:val=""/>
      <w:lvlJc w:val="left"/>
      <w:pPr>
        <w:ind w:left="1060" w:hanging="360"/>
      </w:pPr>
      <w:rPr>
        <w:rFonts w:ascii="Symbol" w:hAnsi="Symbol" w:hint="default"/>
      </w:rPr>
    </w:lvl>
    <w:lvl w:ilvl="1" w:tplc="18090003" w:tentative="1">
      <w:start w:val="1"/>
      <w:numFmt w:val="bullet"/>
      <w:lvlText w:val="o"/>
      <w:lvlJc w:val="left"/>
      <w:pPr>
        <w:ind w:left="1780" w:hanging="360"/>
      </w:pPr>
      <w:rPr>
        <w:rFonts w:ascii="Courier New" w:hAnsi="Courier New" w:cs="Courier New" w:hint="default"/>
      </w:rPr>
    </w:lvl>
    <w:lvl w:ilvl="2" w:tplc="18090005" w:tentative="1">
      <w:start w:val="1"/>
      <w:numFmt w:val="bullet"/>
      <w:lvlText w:val=""/>
      <w:lvlJc w:val="left"/>
      <w:pPr>
        <w:ind w:left="2500" w:hanging="360"/>
      </w:pPr>
      <w:rPr>
        <w:rFonts w:ascii="Wingdings" w:hAnsi="Wingdings" w:hint="default"/>
      </w:rPr>
    </w:lvl>
    <w:lvl w:ilvl="3" w:tplc="18090001" w:tentative="1">
      <w:start w:val="1"/>
      <w:numFmt w:val="bullet"/>
      <w:lvlText w:val=""/>
      <w:lvlJc w:val="left"/>
      <w:pPr>
        <w:ind w:left="3220" w:hanging="360"/>
      </w:pPr>
      <w:rPr>
        <w:rFonts w:ascii="Symbol" w:hAnsi="Symbol" w:hint="default"/>
      </w:rPr>
    </w:lvl>
    <w:lvl w:ilvl="4" w:tplc="18090003" w:tentative="1">
      <w:start w:val="1"/>
      <w:numFmt w:val="bullet"/>
      <w:lvlText w:val="o"/>
      <w:lvlJc w:val="left"/>
      <w:pPr>
        <w:ind w:left="3940" w:hanging="360"/>
      </w:pPr>
      <w:rPr>
        <w:rFonts w:ascii="Courier New" w:hAnsi="Courier New" w:cs="Courier New" w:hint="default"/>
      </w:rPr>
    </w:lvl>
    <w:lvl w:ilvl="5" w:tplc="18090005" w:tentative="1">
      <w:start w:val="1"/>
      <w:numFmt w:val="bullet"/>
      <w:lvlText w:val=""/>
      <w:lvlJc w:val="left"/>
      <w:pPr>
        <w:ind w:left="4660" w:hanging="360"/>
      </w:pPr>
      <w:rPr>
        <w:rFonts w:ascii="Wingdings" w:hAnsi="Wingdings" w:hint="default"/>
      </w:rPr>
    </w:lvl>
    <w:lvl w:ilvl="6" w:tplc="18090001" w:tentative="1">
      <w:start w:val="1"/>
      <w:numFmt w:val="bullet"/>
      <w:lvlText w:val=""/>
      <w:lvlJc w:val="left"/>
      <w:pPr>
        <w:ind w:left="5380" w:hanging="360"/>
      </w:pPr>
      <w:rPr>
        <w:rFonts w:ascii="Symbol" w:hAnsi="Symbol" w:hint="default"/>
      </w:rPr>
    </w:lvl>
    <w:lvl w:ilvl="7" w:tplc="18090003" w:tentative="1">
      <w:start w:val="1"/>
      <w:numFmt w:val="bullet"/>
      <w:lvlText w:val="o"/>
      <w:lvlJc w:val="left"/>
      <w:pPr>
        <w:ind w:left="6100" w:hanging="360"/>
      </w:pPr>
      <w:rPr>
        <w:rFonts w:ascii="Courier New" w:hAnsi="Courier New" w:cs="Courier New" w:hint="default"/>
      </w:rPr>
    </w:lvl>
    <w:lvl w:ilvl="8" w:tplc="18090005" w:tentative="1">
      <w:start w:val="1"/>
      <w:numFmt w:val="bullet"/>
      <w:lvlText w:val=""/>
      <w:lvlJc w:val="left"/>
      <w:pPr>
        <w:ind w:left="6820" w:hanging="360"/>
      </w:pPr>
      <w:rPr>
        <w:rFonts w:ascii="Wingdings" w:hAnsi="Wingdings" w:hint="default"/>
      </w:rPr>
    </w:lvl>
  </w:abstractNum>
  <w:abstractNum w:abstractNumId="5" w15:restartNumberingAfterBreak="0">
    <w:nsid w:val="12475B39"/>
    <w:multiLevelType w:val="hybridMultilevel"/>
    <w:tmpl w:val="E6D07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808CB"/>
    <w:multiLevelType w:val="multilevel"/>
    <w:tmpl w:val="9B0ED194"/>
    <w:styleLink w:val="NumbListFigures"/>
    <w:lvl w:ilvl="0">
      <w:start w:val="1"/>
      <w:numFmt w:val="decimal"/>
      <w:pStyle w:val="FigureTitle"/>
      <w:lvlText w:val="Figure %1."/>
      <w:lvlJc w:val="left"/>
      <w:pPr>
        <w:tabs>
          <w:tab w:val="num" w:pos="1077"/>
        </w:tabs>
        <w:ind w:left="1077" w:hanging="1077"/>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185F9CC6"/>
    <w:multiLevelType w:val="hybridMultilevel"/>
    <w:tmpl w:val="FFFFFFFF"/>
    <w:lvl w:ilvl="0" w:tplc="6854DF66">
      <w:start w:val="1"/>
      <w:numFmt w:val="bullet"/>
      <w:lvlText w:val=""/>
      <w:lvlJc w:val="left"/>
      <w:pPr>
        <w:ind w:left="360" w:hanging="360"/>
      </w:pPr>
      <w:rPr>
        <w:rFonts w:ascii="Symbol" w:hAnsi="Symbol" w:hint="default"/>
      </w:rPr>
    </w:lvl>
    <w:lvl w:ilvl="1" w:tplc="E61A30BE">
      <w:start w:val="1"/>
      <w:numFmt w:val="bullet"/>
      <w:lvlText w:val="o"/>
      <w:lvlJc w:val="left"/>
      <w:pPr>
        <w:ind w:left="786" w:hanging="360"/>
      </w:pPr>
      <w:rPr>
        <w:rFonts w:ascii="Courier New" w:hAnsi="Courier New" w:hint="default"/>
      </w:rPr>
    </w:lvl>
    <w:lvl w:ilvl="2" w:tplc="520CE8BC">
      <w:start w:val="1"/>
      <w:numFmt w:val="bullet"/>
      <w:lvlText w:val=""/>
      <w:lvlJc w:val="left"/>
      <w:pPr>
        <w:ind w:left="1210" w:hanging="360"/>
      </w:pPr>
      <w:rPr>
        <w:rFonts w:ascii="Wingdings" w:hAnsi="Wingdings" w:hint="default"/>
      </w:rPr>
    </w:lvl>
    <w:lvl w:ilvl="3" w:tplc="2BFE1ABA">
      <w:start w:val="1"/>
      <w:numFmt w:val="bullet"/>
      <w:lvlText w:val=""/>
      <w:lvlJc w:val="left"/>
      <w:pPr>
        <w:ind w:left="2880" w:hanging="360"/>
      </w:pPr>
      <w:rPr>
        <w:rFonts w:ascii="Symbol" w:hAnsi="Symbol" w:hint="default"/>
      </w:rPr>
    </w:lvl>
    <w:lvl w:ilvl="4" w:tplc="DC424A34">
      <w:start w:val="1"/>
      <w:numFmt w:val="bullet"/>
      <w:lvlText w:val="o"/>
      <w:lvlJc w:val="left"/>
      <w:pPr>
        <w:ind w:left="3600" w:hanging="360"/>
      </w:pPr>
      <w:rPr>
        <w:rFonts w:ascii="Courier New" w:hAnsi="Courier New" w:hint="default"/>
      </w:rPr>
    </w:lvl>
    <w:lvl w:ilvl="5" w:tplc="FE268038">
      <w:start w:val="1"/>
      <w:numFmt w:val="bullet"/>
      <w:lvlText w:val=""/>
      <w:lvlJc w:val="left"/>
      <w:pPr>
        <w:ind w:left="4320" w:hanging="360"/>
      </w:pPr>
      <w:rPr>
        <w:rFonts w:ascii="Wingdings" w:hAnsi="Wingdings" w:hint="default"/>
      </w:rPr>
    </w:lvl>
    <w:lvl w:ilvl="6" w:tplc="89CA8540">
      <w:start w:val="1"/>
      <w:numFmt w:val="bullet"/>
      <w:lvlText w:val=""/>
      <w:lvlJc w:val="left"/>
      <w:pPr>
        <w:ind w:left="5040" w:hanging="360"/>
      </w:pPr>
      <w:rPr>
        <w:rFonts w:ascii="Symbol" w:hAnsi="Symbol" w:hint="default"/>
      </w:rPr>
    </w:lvl>
    <w:lvl w:ilvl="7" w:tplc="78EC77C0">
      <w:start w:val="1"/>
      <w:numFmt w:val="bullet"/>
      <w:lvlText w:val="o"/>
      <w:lvlJc w:val="left"/>
      <w:pPr>
        <w:ind w:left="5760" w:hanging="360"/>
      </w:pPr>
      <w:rPr>
        <w:rFonts w:ascii="Courier New" w:hAnsi="Courier New" w:hint="default"/>
      </w:rPr>
    </w:lvl>
    <w:lvl w:ilvl="8" w:tplc="923EF8BC">
      <w:start w:val="1"/>
      <w:numFmt w:val="bullet"/>
      <w:lvlText w:val=""/>
      <w:lvlJc w:val="left"/>
      <w:pPr>
        <w:ind w:left="6480" w:hanging="360"/>
      </w:pPr>
      <w:rPr>
        <w:rFonts w:ascii="Wingdings" w:hAnsi="Wingdings" w:hint="default"/>
      </w:rPr>
    </w:lvl>
  </w:abstractNum>
  <w:abstractNum w:abstractNumId="8" w15:restartNumberingAfterBreak="0">
    <w:nsid w:val="19865AE1"/>
    <w:multiLevelType w:val="multilevel"/>
    <w:tmpl w:val="816EC836"/>
    <w:numStyleLink w:val="NumbListNumb"/>
  </w:abstractNum>
  <w:abstractNum w:abstractNumId="9" w15:restartNumberingAfterBreak="0">
    <w:nsid w:val="1AD80DFB"/>
    <w:multiLevelType w:val="multilevel"/>
    <w:tmpl w:val="0809001D"/>
    <w:styleLink w:val="NumbListFigur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CAC23F2"/>
    <w:multiLevelType w:val="multilevel"/>
    <w:tmpl w:val="344A5F34"/>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7117AF"/>
    <w:multiLevelType w:val="multilevel"/>
    <w:tmpl w:val="DE26E144"/>
    <w:styleLink w:val="NumbLstTable"/>
    <w:lvl w:ilvl="0">
      <w:start w:val="1"/>
      <w:numFmt w:val="decimal"/>
      <w:pStyle w:val="TableNumbList1"/>
      <w:lvlText w:val="%1."/>
      <w:lvlJc w:val="left"/>
      <w:pPr>
        <w:tabs>
          <w:tab w:val="num" w:pos="454"/>
        </w:tabs>
        <w:ind w:left="454" w:hanging="341"/>
      </w:pPr>
      <w:rPr>
        <w:rFonts w:hint="default"/>
      </w:rPr>
    </w:lvl>
    <w:lvl w:ilvl="1">
      <w:start w:val="1"/>
      <w:numFmt w:val="bullet"/>
      <w:pStyle w:val="TableBullet1"/>
      <w:lvlText w:val=""/>
      <w:lvlJc w:val="left"/>
      <w:pPr>
        <w:tabs>
          <w:tab w:val="num" w:pos="454"/>
        </w:tabs>
        <w:ind w:left="454" w:hanging="341"/>
      </w:pPr>
      <w:rPr>
        <w:rFonts w:ascii="Wingdings" w:hAnsi="Wingdings" w:hint="default"/>
        <w:color w:val="002395"/>
      </w:rPr>
    </w:lvl>
    <w:lvl w:ilvl="2">
      <w:start w:val="1"/>
      <w:numFmt w:val="lowerLetter"/>
      <w:pStyle w:val="TableNumbList2"/>
      <w:lvlText w:val="%3)"/>
      <w:lvlJc w:val="left"/>
      <w:pPr>
        <w:tabs>
          <w:tab w:val="num" w:pos="794"/>
        </w:tabs>
        <w:ind w:left="794" w:hanging="340"/>
      </w:pPr>
      <w:rPr>
        <w:rFonts w:hint="default"/>
      </w:rPr>
    </w:lvl>
    <w:lvl w:ilvl="3">
      <w:start w:val="1"/>
      <w:numFmt w:val="bullet"/>
      <w:pStyle w:val="TableBullet2"/>
      <w:lvlText w:val="–"/>
      <w:lvlJc w:val="left"/>
      <w:pPr>
        <w:tabs>
          <w:tab w:val="num" w:pos="794"/>
        </w:tabs>
        <w:ind w:left="794" w:hanging="340"/>
      </w:pPr>
      <w:rPr>
        <w:rFonts w:ascii="Arial" w:hAnsi="Arial" w:hint="default"/>
        <w:color w:val="0067AC"/>
      </w:rPr>
    </w:lvl>
    <w:lvl w:ilvl="4">
      <w:start w:val="1"/>
      <w:numFmt w:val="lowerRoman"/>
      <w:pStyle w:val="TableNumbList3"/>
      <w:lvlText w:val="%5."/>
      <w:lvlJc w:val="left"/>
      <w:pPr>
        <w:tabs>
          <w:tab w:val="num" w:pos="1134"/>
        </w:tabs>
        <w:ind w:left="1134" w:hanging="340"/>
      </w:pPr>
      <w:rPr>
        <w:rFonts w:hint="default"/>
      </w:rPr>
    </w:lvl>
    <w:lvl w:ilvl="5">
      <w:start w:val="1"/>
      <w:numFmt w:val="bullet"/>
      <w:pStyle w:val="TableBullet3"/>
      <w:lvlText w:val="○"/>
      <w:lvlJc w:val="left"/>
      <w:pPr>
        <w:tabs>
          <w:tab w:val="num" w:pos="1134"/>
        </w:tabs>
        <w:ind w:left="1134" w:hanging="340"/>
      </w:pPr>
      <w:rPr>
        <w:rFonts w:ascii="Arial" w:hAnsi="Arial" w:hint="default"/>
        <w:color w:val="0067AC"/>
      </w:rPr>
    </w:lvl>
    <w:lvl w:ilvl="6">
      <w:start w:val="1"/>
      <w:numFmt w:val="none"/>
      <w:lvlText w:val=""/>
      <w:lvlJc w:val="left"/>
      <w:pPr>
        <w:tabs>
          <w:tab w:val="num" w:pos="1134"/>
        </w:tabs>
        <w:ind w:left="1134" w:firstLine="0"/>
      </w:pPr>
      <w:rPr>
        <w:rFonts w:hint="default"/>
      </w:rPr>
    </w:lvl>
    <w:lvl w:ilvl="7">
      <w:start w:val="1"/>
      <w:numFmt w:val="none"/>
      <w:lvlText w:val=""/>
      <w:lvlJc w:val="left"/>
      <w:pPr>
        <w:tabs>
          <w:tab w:val="num" w:pos="1134"/>
        </w:tabs>
        <w:ind w:left="1134" w:firstLine="0"/>
      </w:pPr>
      <w:rPr>
        <w:rFonts w:hint="default"/>
      </w:rPr>
    </w:lvl>
    <w:lvl w:ilvl="8">
      <w:start w:val="1"/>
      <w:numFmt w:val="none"/>
      <w:lvlText w:val=""/>
      <w:lvlJc w:val="left"/>
      <w:pPr>
        <w:tabs>
          <w:tab w:val="num" w:pos="1134"/>
        </w:tabs>
        <w:ind w:left="1134" w:firstLine="0"/>
      </w:pPr>
      <w:rPr>
        <w:rFonts w:hint="default"/>
      </w:rPr>
    </w:lvl>
  </w:abstractNum>
  <w:abstractNum w:abstractNumId="12" w15:restartNumberingAfterBreak="0">
    <w:nsid w:val="212F301E"/>
    <w:multiLevelType w:val="multilevel"/>
    <w:tmpl w:val="49AC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175035"/>
    <w:multiLevelType w:val="multilevel"/>
    <w:tmpl w:val="8550AC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65489C"/>
    <w:multiLevelType w:val="hybridMultilevel"/>
    <w:tmpl w:val="838292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3242490"/>
    <w:multiLevelType w:val="hybridMultilevel"/>
    <w:tmpl w:val="E0E8AD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37C4F08"/>
    <w:multiLevelType w:val="multilevel"/>
    <w:tmpl w:val="A962C8BE"/>
    <w:lvl w:ilvl="0">
      <w:start w:val="1"/>
      <w:numFmt w:val="decimal"/>
      <w:pStyle w:val="Heading1"/>
      <w:isLgl/>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851"/>
        </w:tabs>
        <w:ind w:left="851" w:hanging="851"/>
      </w:pPr>
      <w:rPr>
        <w:rFonts w:hint="default"/>
        <w:spacing w:val="-20"/>
      </w:rPr>
    </w:lvl>
    <w:lvl w:ilvl="4">
      <w:start w:val="1"/>
      <w:numFmt w:val="none"/>
      <w:lvlText w:val=""/>
      <w:lvlJc w:val="left"/>
      <w:pPr>
        <w:tabs>
          <w:tab w:val="num" w:pos="680"/>
        </w:tabs>
        <w:ind w:left="680" w:firstLine="0"/>
      </w:pPr>
      <w:rPr>
        <w:rFonts w:hint="default"/>
      </w:rPr>
    </w:lvl>
    <w:lvl w:ilvl="5">
      <w:start w:val="1"/>
      <w:numFmt w:val="none"/>
      <w:lvlText w:val=""/>
      <w:lvlJc w:val="left"/>
      <w:pPr>
        <w:tabs>
          <w:tab w:val="num" w:pos="680"/>
        </w:tabs>
        <w:ind w:left="680" w:firstLine="0"/>
      </w:pPr>
      <w:rPr>
        <w:rFonts w:hint="default"/>
      </w:rPr>
    </w:lvl>
    <w:lvl w:ilvl="6">
      <w:start w:val="1"/>
      <w:numFmt w:val="none"/>
      <w:lvlText w:val=""/>
      <w:lvlJc w:val="left"/>
      <w:pPr>
        <w:tabs>
          <w:tab w:val="num" w:pos="680"/>
        </w:tabs>
        <w:ind w:left="680" w:firstLine="0"/>
      </w:pPr>
      <w:rPr>
        <w:rFonts w:hint="default"/>
      </w:rPr>
    </w:lvl>
    <w:lvl w:ilvl="7">
      <w:start w:val="1"/>
      <w:numFmt w:val="none"/>
      <w:lvlText w:val=""/>
      <w:lvlJc w:val="left"/>
      <w:pPr>
        <w:tabs>
          <w:tab w:val="num" w:pos="680"/>
        </w:tabs>
        <w:ind w:left="680" w:firstLine="0"/>
      </w:pPr>
      <w:rPr>
        <w:rFonts w:hint="default"/>
      </w:rPr>
    </w:lvl>
    <w:lvl w:ilvl="8">
      <w:start w:val="1"/>
      <w:numFmt w:val="none"/>
      <w:lvlText w:val=""/>
      <w:lvlJc w:val="left"/>
      <w:pPr>
        <w:tabs>
          <w:tab w:val="num" w:pos="680"/>
        </w:tabs>
        <w:ind w:left="680" w:firstLine="0"/>
      </w:pPr>
      <w:rPr>
        <w:rFonts w:hint="default"/>
      </w:rPr>
    </w:lvl>
  </w:abstractNum>
  <w:abstractNum w:abstractNumId="17" w15:restartNumberingAfterBreak="0">
    <w:nsid w:val="34C65847"/>
    <w:multiLevelType w:val="multilevel"/>
    <w:tmpl w:val="688C2EF2"/>
    <w:styleLink w:val="NumbListHeading"/>
    <w:lvl w:ilvl="0">
      <w:start w:val="1"/>
      <w:numFmt w:val="decimal"/>
      <w:isLg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spacing w:val="-20"/>
      </w:rPr>
    </w:lvl>
    <w:lvl w:ilvl="4">
      <w:start w:val="1"/>
      <w:numFmt w:val="none"/>
      <w:lvlText w:val=""/>
      <w:lvlJc w:val="left"/>
      <w:pPr>
        <w:tabs>
          <w:tab w:val="num" w:pos="680"/>
        </w:tabs>
        <w:ind w:left="680" w:firstLine="0"/>
      </w:pPr>
      <w:rPr>
        <w:rFonts w:hint="default"/>
      </w:rPr>
    </w:lvl>
    <w:lvl w:ilvl="5">
      <w:start w:val="1"/>
      <w:numFmt w:val="none"/>
      <w:lvlText w:val=""/>
      <w:lvlJc w:val="left"/>
      <w:pPr>
        <w:tabs>
          <w:tab w:val="num" w:pos="680"/>
        </w:tabs>
        <w:ind w:left="680" w:firstLine="0"/>
      </w:pPr>
      <w:rPr>
        <w:rFonts w:hint="default"/>
      </w:rPr>
    </w:lvl>
    <w:lvl w:ilvl="6">
      <w:start w:val="1"/>
      <w:numFmt w:val="none"/>
      <w:lvlText w:val=""/>
      <w:lvlJc w:val="left"/>
      <w:pPr>
        <w:tabs>
          <w:tab w:val="num" w:pos="680"/>
        </w:tabs>
        <w:ind w:left="680" w:firstLine="0"/>
      </w:pPr>
      <w:rPr>
        <w:rFonts w:hint="default"/>
      </w:rPr>
    </w:lvl>
    <w:lvl w:ilvl="7">
      <w:start w:val="1"/>
      <w:numFmt w:val="none"/>
      <w:lvlText w:val=""/>
      <w:lvlJc w:val="left"/>
      <w:pPr>
        <w:tabs>
          <w:tab w:val="num" w:pos="680"/>
        </w:tabs>
        <w:ind w:left="680" w:firstLine="0"/>
      </w:pPr>
      <w:rPr>
        <w:rFonts w:hint="default"/>
      </w:rPr>
    </w:lvl>
    <w:lvl w:ilvl="8">
      <w:start w:val="1"/>
      <w:numFmt w:val="none"/>
      <w:lvlText w:val=""/>
      <w:lvlJc w:val="left"/>
      <w:pPr>
        <w:tabs>
          <w:tab w:val="num" w:pos="680"/>
        </w:tabs>
        <w:ind w:left="680" w:firstLine="0"/>
      </w:pPr>
      <w:rPr>
        <w:rFonts w:hint="default"/>
      </w:rPr>
    </w:lvl>
  </w:abstractNum>
  <w:abstractNum w:abstractNumId="18" w15:restartNumberingAfterBreak="0">
    <w:nsid w:val="366C0073"/>
    <w:multiLevelType w:val="multilevel"/>
    <w:tmpl w:val="816EC836"/>
    <w:styleLink w:val="NumbListNumb"/>
    <w:lvl w:ilvl="0">
      <w:start w:val="1"/>
      <w:numFmt w:val="decimal"/>
      <w:pStyle w:val="NumbList1"/>
      <w:lvlText w:val="%1."/>
      <w:lvlJc w:val="left"/>
      <w:pPr>
        <w:tabs>
          <w:tab w:val="num" w:pos="680"/>
        </w:tabs>
        <w:ind w:left="680" w:hanging="340"/>
      </w:pPr>
      <w:rPr>
        <w:rFonts w:hint="default"/>
        <w:color w:val="auto"/>
      </w:rPr>
    </w:lvl>
    <w:lvl w:ilvl="1">
      <w:start w:val="1"/>
      <w:numFmt w:val="lowerLetter"/>
      <w:pStyle w:val="NumbList2"/>
      <w:lvlText w:val="%2)"/>
      <w:lvlJc w:val="left"/>
      <w:pPr>
        <w:tabs>
          <w:tab w:val="num" w:pos="1021"/>
        </w:tabs>
        <w:ind w:left="1021" w:hanging="341"/>
      </w:pPr>
      <w:rPr>
        <w:rFonts w:hint="default"/>
      </w:rPr>
    </w:lvl>
    <w:lvl w:ilvl="2">
      <w:start w:val="1"/>
      <w:numFmt w:val="lowerRoman"/>
      <w:pStyle w:val="NumbList3"/>
      <w:lvlText w:val="%3."/>
      <w:lvlJc w:val="left"/>
      <w:pPr>
        <w:tabs>
          <w:tab w:val="num" w:pos="1361"/>
        </w:tabs>
        <w:ind w:left="1361" w:hanging="340"/>
      </w:pPr>
      <w:rPr>
        <w:rFonts w:hint="default"/>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19" w15:restartNumberingAfterBreak="0">
    <w:nsid w:val="3DB92A87"/>
    <w:multiLevelType w:val="multilevel"/>
    <w:tmpl w:val="D2D8303A"/>
    <w:styleLink w:val="Bullets"/>
    <w:lvl w:ilvl="0">
      <w:start w:val="1"/>
      <w:numFmt w:val="bullet"/>
      <w:pStyle w:val="Bullet1"/>
      <w:lvlText w:val=""/>
      <w:lvlJc w:val="left"/>
      <w:pPr>
        <w:tabs>
          <w:tab w:val="num" w:pos="680"/>
        </w:tabs>
        <w:ind w:left="680" w:hanging="340"/>
      </w:pPr>
      <w:rPr>
        <w:rFonts w:ascii="Wingdings" w:hAnsi="Wingdings" w:hint="default"/>
        <w:color w:val="002395"/>
        <w:sz w:val="24"/>
      </w:rPr>
    </w:lvl>
    <w:lvl w:ilvl="1">
      <w:start w:val="1"/>
      <w:numFmt w:val="bullet"/>
      <w:pStyle w:val="Bullet2"/>
      <w:lvlText w:val="-"/>
      <w:lvlJc w:val="left"/>
      <w:pPr>
        <w:tabs>
          <w:tab w:val="num" w:pos="1021"/>
        </w:tabs>
        <w:ind w:left="1021" w:hanging="341"/>
      </w:pPr>
      <w:rPr>
        <w:rFonts w:ascii="Arial" w:hAnsi="Arial" w:hint="default"/>
        <w:color w:val="auto"/>
        <w:sz w:val="24"/>
      </w:rPr>
    </w:lvl>
    <w:lvl w:ilvl="2">
      <w:start w:val="1"/>
      <w:numFmt w:val="bullet"/>
      <w:pStyle w:val="Bullet3"/>
      <w:lvlText w:val="◦"/>
      <w:lvlJc w:val="left"/>
      <w:pPr>
        <w:tabs>
          <w:tab w:val="num" w:pos="1361"/>
        </w:tabs>
        <w:ind w:left="1361" w:hanging="340"/>
      </w:pPr>
      <w:rPr>
        <w:rFonts w:ascii="Arial" w:hAnsi="Arial" w:hint="default"/>
        <w:color w:val="1F497D" w:themeColor="text2"/>
        <w:sz w:val="28"/>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20" w15:restartNumberingAfterBreak="0">
    <w:nsid w:val="3FB70F17"/>
    <w:multiLevelType w:val="multilevel"/>
    <w:tmpl w:val="3858E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1802AE"/>
    <w:multiLevelType w:val="multilevel"/>
    <w:tmpl w:val="59628A24"/>
    <w:styleLink w:val="NumblistTablesFigures"/>
    <w:lvl w:ilvl="0">
      <w:start w:val="1"/>
      <w:numFmt w:val="decimal"/>
      <w:lvlText w:val="Table %1."/>
      <w:lvlJc w:val="left"/>
      <w:pPr>
        <w:tabs>
          <w:tab w:val="num" w:pos="1077"/>
        </w:tabs>
        <w:ind w:left="1077" w:hanging="1077"/>
      </w:pPr>
      <w:rPr>
        <w:rFonts w:hint="default"/>
      </w:rPr>
    </w:lvl>
    <w:lvl w:ilvl="1">
      <w:start w:val="1"/>
      <w:numFmt w:val="decimal"/>
      <w:lvlRestart w:val="0"/>
      <w:lvlText w:val="Figure %2."/>
      <w:lvlJc w:val="left"/>
      <w:pPr>
        <w:tabs>
          <w:tab w:val="num" w:pos="1077"/>
        </w:tabs>
        <w:ind w:left="1077" w:hanging="1077"/>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46E33F33"/>
    <w:multiLevelType w:val="hybridMultilevel"/>
    <w:tmpl w:val="9384DB3E"/>
    <w:lvl w:ilvl="0" w:tplc="5A20D69C">
      <w:start w:val="1"/>
      <w:numFmt w:val="bullet"/>
      <w:lvlText w:val=""/>
      <w:lvlJc w:val="left"/>
      <w:pPr>
        <w:ind w:left="720" w:hanging="360"/>
      </w:pPr>
      <w:rPr>
        <w:rFonts w:ascii="Symbol" w:hAnsi="Symbol"/>
      </w:rPr>
    </w:lvl>
    <w:lvl w:ilvl="1" w:tplc="B3AC4950">
      <w:start w:val="1"/>
      <w:numFmt w:val="bullet"/>
      <w:lvlText w:val=""/>
      <w:lvlJc w:val="left"/>
      <w:pPr>
        <w:ind w:left="720" w:hanging="360"/>
      </w:pPr>
      <w:rPr>
        <w:rFonts w:ascii="Symbol" w:hAnsi="Symbol"/>
      </w:rPr>
    </w:lvl>
    <w:lvl w:ilvl="2" w:tplc="053E946A">
      <w:start w:val="1"/>
      <w:numFmt w:val="bullet"/>
      <w:lvlText w:val=""/>
      <w:lvlJc w:val="left"/>
      <w:pPr>
        <w:ind w:left="720" w:hanging="360"/>
      </w:pPr>
      <w:rPr>
        <w:rFonts w:ascii="Symbol" w:hAnsi="Symbol"/>
      </w:rPr>
    </w:lvl>
    <w:lvl w:ilvl="3" w:tplc="54B63054">
      <w:start w:val="1"/>
      <w:numFmt w:val="bullet"/>
      <w:lvlText w:val=""/>
      <w:lvlJc w:val="left"/>
      <w:pPr>
        <w:ind w:left="720" w:hanging="360"/>
      </w:pPr>
      <w:rPr>
        <w:rFonts w:ascii="Symbol" w:hAnsi="Symbol"/>
      </w:rPr>
    </w:lvl>
    <w:lvl w:ilvl="4" w:tplc="77A4631A">
      <w:start w:val="1"/>
      <w:numFmt w:val="bullet"/>
      <w:lvlText w:val=""/>
      <w:lvlJc w:val="left"/>
      <w:pPr>
        <w:ind w:left="720" w:hanging="360"/>
      </w:pPr>
      <w:rPr>
        <w:rFonts w:ascii="Symbol" w:hAnsi="Symbol"/>
      </w:rPr>
    </w:lvl>
    <w:lvl w:ilvl="5" w:tplc="79A8BB02">
      <w:start w:val="1"/>
      <w:numFmt w:val="bullet"/>
      <w:lvlText w:val=""/>
      <w:lvlJc w:val="left"/>
      <w:pPr>
        <w:ind w:left="720" w:hanging="360"/>
      </w:pPr>
      <w:rPr>
        <w:rFonts w:ascii="Symbol" w:hAnsi="Symbol"/>
      </w:rPr>
    </w:lvl>
    <w:lvl w:ilvl="6" w:tplc="CE10E264">
      <w:start w:val="1"/>
      <w:numFmt w:val="bullet"/>
      <w:lvlText w:val=""/>
      <w:lvlJc w:val="left"/>
      <w:pPr>
        <w:ind w:left="720" w:hanging="360"/>
      </w:pPr>
      <w:rPr>
        <w:rFonts w:ascii="Symbol" w:hAnsi="Symbol"/>
      </w:rPr>
    </w:lvl>
    <w:lvl w:ilvl="7" w:tplc="AAEEFF2E">
      <w:start w:val="1"/>
      <w:numFmt w:val="bullet"/>
      <w:lvlText w:val=""/>
      <w:lvlJc w:val="left"/>
      <w:pPr>
        <w:ind w:left="720" w:hanging="360"/>
      </w:pPr>
      <w:rPr>
        <w:rFonts w:ascii="Symbol" w:hAnsi="Symbol"/>
      </w:rPr>
    </w:lvl>
    <w:lvl w:ilvl="8" w:tplc="4ED25EA2">
      <w:start w:val="1"/>
      <w:numFmt w:val="bullet"/>
      <w:lvlText w:val=""/>
      <w:lvlJc w:val="left"/>
      <w:pPr>
        <w:ind w:left="720" w:hanging="360"/>
      </w:pPr>
      <w:rPr>
        <w:rFonts w:ascii="Symbol" w:hAnsi="Symbol"/>
      </w:rPr>
    </w:lvl>
  </w:abstractNum>
  <w:abstractNum w:abstractNumId="23" w15:restartNumberingAfterBreak="0">
    <w:nsid w:val="51A16419"/>
    <w:multiLevelType w:val="hybridMultilevel"/>
    <w:tmpl w:val="D2C43B18"/>
    <w:lvl w:ilvl="0" w:tplc="83246A0C">
      <w:start w:val="1"/>
      <w:numFmt w:val="lowerLetter"/>
      <w:lvlText w:val="%1."/>
      <w:lvlJc w:val="left"/>
      <w:pPr>
        <w:ind w:left="144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1E6319D"/>
    <w:multiLevelType w:val="hybridMultilevel"/>
    <w:tmpl w:val="10107F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2A21F2D"/>
    <w:multiLevelType w:val="hybridMultilevel"/>
    <w:tmpl w:val="5FE0AC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45C6C58"/>
    <w:multiLevelType w:val="multilevel"/>
    <w:tmpl w:val="8C1E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AE1BA4"/>
    <w:multiLevelType w:val="multilevel"/>
    <w:tmpl w:val="DE26E144"/>
    <w:numStyleLink w:val="NumbLstTable"/>
  </w:abstractNum>
  <w:abstractNum w:abstractNumId="28" w15:restartNumberingAfterBreak="0">
    <w:nsid w:val="6DF64628"/>
    <w:multiLevelType w:val="multilevel"/>
    <w:tmpl w:val="3F3413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CB28C1"/>
    <w:multiLevelType w:val="multilevel"/>
    <w:tmpl w:val="5364B4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932A1E"/>
    <w:multiLevelType w:val="multilevel"/>
    <w:tmpl w:val="EEF2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0"/>
  </w:num>
  <w:num w:numId="3">
    <w:abstractNumId w:val="18"/>
  </w:num>
  <w:num w:numId="4">
    <w:abstractNumId w:val="17"/>
  </w:num>
  <w:num w:numId="5">
    <w:abstractNumId w:val="11"/>
  </w:num>
  <w:num w:numId="6">
    <w:abstractNumId w:val="27"/>
  </w:num>
  <w:num w:numId="7">
    <w:abstractNumId w:val="21"/>
  </w:num>
  <w:num w:numId="8">
    <w:abstractNumId w:val="8"/>
  </w:num>
  <w:num w:numId="9">
    <w:abstractNumId w:val="16"/>
  </w:num>
  <w:num w:numId="10">
    <w:abstractNumId w:val="9"/>
  </w:num>
  <w:num w:numId="11">
    <w:abstractNumId w:val="1"/>
  </w:num>
  <w:num w:numId="12">
    <w:abstractNumId w:val="6"/>
  </w:num>
  <w:num w:numId="13">
    <w:abstractNumId w:val="4"/>
  </w:num>
  <w:num w:numId="14">
    <w:abstractNumId w:val="10"/>
  </w:num>
  <w:num w:numId="15">
    <w:abstractNumId w:val="5"/>
  </w:num>
  <w:num w:numId="16">
    <w:abstractNumId w:val="30"/>
  </w:num>
  <w:num w:numId="17">
    <w:abstractNumId w:val="2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5"/>
  </w:num>
  <w:num w:numId="21">
    <w:abstractNumId w:val="14"/>
  </w:num>
  <w:num w:numId="22">
    <w:abstractNumId w:val="3"/>
  </w:num>
  <w:num w:numId="23">
    <w:abstractNumId w:val="23"/>
  </w:num>
  <w:num w:numId="24">
    <w:abstractNumId w:val="7"/>
  </w:num>
  <w:num w:numId="25">
    <w:abstractNumId w:val="20"/>
  </w:num>
  <w:num w:numId="26">
    <w:abstractNumId w:val="28"/>
  </w:num>
  <w:num w:numId="27">
    <w:abstractNumId w:val="13"/>
  </w:num>
  <w:num w:numId="28">
    <w:abstractNumId w:val="26"/>
  </w:num>
  <w:num w:numId="29">
    <w:abstractNumId w:val="2"/>
  </w:num>
  <w:num w:numId="30">
    <w:abstractNumId w:val="22"/>
  </w:num>
  <w:num w:numId="31">
    <w:abstractNumId w:val="29"/>
  </w:num>
  <w:num w:numId="32">
    <w:abstractNumId w:val="12"/>
  </w:num>
  <w:num w:numId="33">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ntentsPageTOCType" w:val="2"/>
    <w:docVar w:name="CurrentTemplateName" w:val="ICF EU Report.dotm"/>
    <w:docVar w:name="CurrentTemplateVersion" w:val="1.10"/>
    <w:docVar w:name="DocStatus" w:val="Green"/>
    <w:docVar w:name="DocTemplateName" w:val="ICF EU Report.dotm"/>
    <w:docVar w:name="FooterDocNo" w:val="Annex - IA06112020  AJ.docx"/>
    <w:docVar w:name="InitialTemplateName" w:val="ICF EU Report.dotm"/>
    <w:docVar w:name="InitialTemplateVersion" w:val="1.10"/>
    <w:docVar w:name="LW_ACCOMPAGNANT.CP" w:val="Accompanying the document"/>
    <w:docVar w:name="LW_CORRIGENDUM" w:val="&lt;UNUSED&gt;"/>
    <w:docVar w:name="LW_COVERPAGE_EXISTS" w:val="True"/>
    <w:docVar w:name="LW_COVERPAGE_GUID" w:val="8D0969C7-5B57-44E7-B6D9-A07ABBB5B6CE"/>
    <w:docVar w:name="LW_COVERPAGE_TYPE" w:val="1"/>
    <w:docVar w:name="LW_CROSSREFERENCE" w:val="{COM(2026) 321 final} - {SEC(2026) 321 final} - {SWD(2026) 322 final}"/>
    <w:docVar w:name="LW_DocType" w:val="ICF EU REPORT"/>
    <w:docVar w:name="LW_EMISSION" w:val="18.3.2026"/>
    <w:docVar w:name="LW_EMISSION_ISODATE" w:val="2026-03-18"/>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THE 28TH REGIME CORPORATE LEGAL FRAMEWORK - 'EU INC'"/>
    <w:docVar w:name="LW_PART_NBR" w:val="3"/>
    <w:docVar w:name="LW_PART_NBR_TOTAL" w:val="3"/>
    <w:docVar w:name="LW_REF.INST.NEW" w:val="SWD"/>
    <w:docVar w:name="LW_REF.INST.NEW_ADOPTED" w:val="final"/>
    <w:docVar w:name="LW_REF.INST.NEW_TEXT" w:val="(2026) 3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nexes"/>
    <w:docVar w:name="LW_TYPE.DOC.CP" w:val="COMMISSION STAFF WORKING DOCUMENT_x000b__x000b_IMPACT ASSESSMENT REPORT_x000b_"/>
    <w:docVar w:name="LW_TYPEACTEPRINCIPAL.CP" w:val="Proposal for a REGULATION OF THE EUROPEAN PARLIAMENT AND OF THE COUNCIL"/>
    <w:docVar w:name="LwApiVersions" w:val="LW4CoDe 1.24.5.0; LW 9.2, Build 20251112"/>
    <w:docVar w:name="NewDoc" w:val="False"/>
    <w:docVar w:name="ribbon" w:val="93549212"/>
    <w:docVar w:name="TitlePage" w:val="True"/>
  </w:docVars>
  <w:rsids>
    <w:rsidRoot w:val="00254747"/>
    <w:rsid w:val="000001A4"/>
    <w:rsid w:val="000001F6"/>
    <w:rsid w:val="000002A8"/>
    <w:rsid w:val="000002F2"/>
    <w:rsid w:val="00000389"/>
    <w:rsid w:val="00000439"/>
    <w:rsid w:val="0000043B"/>
    <w:rsid w:val="000004D6"/>
    <w:rsid w:val="00000522"/>
    <w:rsid w:val="00000535"/>
    <w:rsid w:val="000005FC"/>
    <w:rsid w:val="00000650"/>
    <w:rsid w:val="0000065C"/>
    <w:rsid w:val="000006DC"/>
    <w:rsid w:val="0000074A"/>
    <w:rsid w:val="00000861"/>
    <w:rsid w:val="00000867"/>
    <w:rsid w:val="00000902"/>
    <w:rsid w:val="00000983"/>
    <w:rsid w:val="00000A47"/>
    <w:rsid w:val="00000AD2"/>
    <w:rsid w:val="00000AD3"/>
    <w:rsid w:val="00000AF2"/>
    <w:rsid w:val="00000B50"/>
    <w:rsid w:val="00000BC8"/>
    <w:rsid w:val="00000C06"/>
    <w:rsid w:val="00000CD5"/>
    <w:rsid w:val="00000D5A"/>
    <w:rsid w:val="00000D64"/>
    <w:rsid w:val="00000D94"/>
    <w:rsid w:val="00000E41"/>
    <w:rsid w:val="00000E72"/>
    <w:rsid w:val="00000F0A"/>
    <w:rsid w:val="00000F38"/>
    <w:rsid w:val="00000FDA"/>
    <w:rsid w:val="00000FEC"/>
    <w:rsid w:val="000011E1"/>
    <w:rsid w:val="00001260"/>
    <w:rsid w:val="000012F8"/>
    <w:rsid w:val="00001318"/>
    <w:rsid w:val="0000132B"/>
    <w:rsid w:val="0000139C"/>
    <w:rsid w:val="0000139F"/>
    <w:rsid w:val="000013AC"/>
    <w:rsid w:val="000013C8"/>
    <w:rsid w:val="0000153A"/>
    <w:rsid w:val="000015A7"/>
    <w:rsid w:val="00001659"/>
    <w:rsid w:val="00001779"/>
    <w:rsid w:val="00001824"/>
    <w:rsid w:val="00001863"/>
    <w:rsid w:val="0000190F"/>
    <w:rsid w:val="0000191E"/>
    <w:rsid w:val="00001971"/>
    <w:rsid w:val="00001989"/>
    <w:rsid w:val="000019FA"/>
    <w:rsid w:val="00001A54"/>
    <w:rsid w:val="00001A83"/>
    <w:rsid w:val="00001AC9"/>
    <w:rsid w:val="00001ADE"/>
    <w:rsid w:val="00001B3E"/>
    <w:rsid w:val="00001C61"/>
    <w:rsid w:val="00001CC4"/>
    <w:rsid w:val="00001D72"/>
    <w:rsid w:val="00001DDF"/>
    <w:rsid w:val="00001DFC"/>
    <w:rsid w:val="00001F37"/>
    <w:rsid w:val="00001FB3"/>
    <w:rsid w:val="00001FFA"/>
    <w:rsid w:val="000020EB"/>
    <w:rsid w:val="0000213D"/>
    <w:rsid w:val="000022C0"/>
    <w:rsid w:val="000022FF"/>
    <w:rsid w:val="0000233E"/>
    <w:rsid w:val="00002392"/>
    <w:rsid w:val="0000244D"/>
    <w:rsid w:val="00002464"/>
    <w:rsid w:val="000024B1"/>
    <w:rsid w:val="00002511"/>
    <w:rsid w:val="00002514"/>
    <w:rsid w:val="0000255E"/>
    <w:rsid w:val="000025A4"/>
    <w:rsid w:val="000025D5"/>
    <w:rsid w:val="00002651"/>
    <w:rsid w:val="00002694"/>
    <w:rsid w:val="000027AC"/>
    <w:rsid w:val="00002868"/>
    <w:rsid w:val="0000290D"/>
    <w:rsid w:val="00002953"/>
    <w:rsid w:val="00002A02"/>
    <w:rsid w:val="00002A1C"/>
    <w:rsid w:val="00002A43"/>
    <w:rsid w:val="00002A59"/>
    <w:rsid w:val="00002A7A"/>
    <w:rsid w:val="00002AEB"/>
    <w:rsid w:val="00002BE6"/>
    <w:rsid w:val="00002BF1"/>
    <w:rsid w:val="00002C24"/>
    <w:rsid w:val="00002C62"/>
    <w:rsid w:val="00002D38"/>
    <w:rsid w:val="00002D53"/>
    <w:rsid w:val="00002D83"/>
    <w:rsid w:val="00002DC6"/>
    <w:rsid w:val="00002E02"/>
    <w:rsid w:val="00002E32"/>
    <w:rsid w:val="00002F11"/>
    <w:rsid w:val="00002F78"/>
    <w:rsid w:val="00002F92"/>
    <w:rsid w:val="00002FE7"/>
    <w:rsid w:val="00003006"/>
    <w:rsid w:val="00003016"/>
    <w:rsid w:val="00003019"/>
    <w:rsid w:val="00003142"/>
    <w:rsid w:val="0000328A"/>
    <w:rsid w:val="00003310"/>
    <w:rsid w:val="00003402"/>
    <w:rsid w:val="00003415"/>
    <w:rsid w:val="000034C7"/>
    <w:rsid w:val="000037B8"/>
    <w:rsid w:val="00003866"/>
    <w:rsid w:val="0000391F"/>
    <w:rsid w:val="00003939"/>
    <w:rsid w:val="00003997"/>
    <w:rsid w:val="00003A74"/>
    <w:rsid w:val="00003AD7"/>
    <w:rsid w:val="00003B39"/>
    <w:rsid w:val="00003B82"/>
    <w:rsid w:val="00003C45"/>
    <w:rsid w:val="00003D40"/>
    <w:rsid w:val="00003D5D"/>
    <w:rsid w:val="00003D70"/>
    <w:rsid w:val="00003DE1"/>
    <w:rsid w:val="00003DF0"/>
    <w:rsid w:val="00003F2F"/>
    <w:rsid w:val="00003F64"/>
    <w:rsid w:val="00004018"/>
    <w:rsid w:val="0000409C"/>
    <w:rsid w:val="000040EB"/>
    <w:rsid w:val="000040F5"/>
    <w:rsid w:val="00004135"/>
    <w:rsid w:val="00004181"/>
    <w:rsid w:val="0000426F"/>
    <w:rsid w:val="000042A7"/>
    <w:rsid w:val="000042C9"/>
    <w:rsid w:val="000042FC"/>
    <w:rsid w:val="000043A3"/>
    <w:rsid w:val="0000453B"/>
    <w:rsid w:val="000045F8"/>
    <w:rsid w:val="00004666"/>
    <w:rsid w:val="000046AD"/>
    <w:rsid w:val="00004785"/>
    <w:rsid w:val="000048D5"/>
    <w:rsid w:val="0000498B"/>
    <w:rsid w:val="000049A1"/>
    <w:rsid w:val="00004AA2"/>
    <w:rsid w:val="00004AF6"/>
    <w:rsid w:val="00004B7D"/>
    <w:rsid w:val="00004B84"/>
    <w:rsid w:val="00004C90"/>
    <w:rsid w:val="00004CA4"/>
    <w:rsid w:val="00004D17"/>
    <w:rsid w:val="00004DA7"/>
    <w:rsid w:val="00004E0E"/>
    <w:rsid w:val="00004E11"/>
    <w:rsid w:val="00004E25"/>
    <w:rsid w:val="00004E49"/>
    <w:rsid w:val="00004F57"/>
    <w:rsid w:val="00004F6A"/>
    <w:rsid w:val="00004F86"/>
    <w:rsid w:val="0000502F"/>
    <w:rsid w:val="000050A3"/>
    <w:rsid w:val="000050F1"/>
    <w:rsid w:val="0000516B"/>
    <w:rsid w:val="000052E0"/>
    <w:rsid w:val="000052E5"/>
    <w:rsid w:val="00005347"/>
    <w:rsid w:val="00005393"/>
    <w:rsid w:val="0000543A"/>
    <w:rsid w:val="000054C2"/>
    <w:rsid w:val="000054D3"/>
    <w:rsid w:val="00005546"/>
    <w:rsid w:val="00005557"/>
    <w:rsid w:val="00005569"/>
    <w:rsid w:val="000055BF"/>
    <w:rsid w:val="00005665"/>
    <w:rsid w:val="0000569D"/>
    <w:rsid w:val="000056F0"/>
    <w:rsid w:val="0000572A"/>
    <w:rsid w:val="00005730"/>
    <w:rsid w:val="000057CA"/>
    <w:rsid w:val="0000582C"/>
    <w:rsid w:val="000058AD"/>
    <w:rsid w:val="000058B3"/>
    <w:rsid w:val="0000595A"/>
    <w:rsid w:val="00005A0B"/>
    <w:rsid w:val="00005A61"/>
    <w:rsid w:val="00005B1E"/>
    <w:rsid w:val="00005B69"/>
    <w:rsid w:val="00005B77"/>
    <w:rsid w:val="00005C56"/>
    <w:rsid w:val="00005D4C"/>
    <w:rsid w:val="00005D7A"/>
    <w:rsid w:val="00005D8D"/>
    <w:rsid w:val="00005DD4"/>
    <w:rsid w:val="00005DE7"/>
    <w:rsid w:val="00005E88"/>
    <w:rsid w:val="00005E8D"/>
    <w:rsid w:val="00005EAD"/>
    <w:rsid w:val="00005ECD"/>
    <w:rsid w:val="00005EDB"/>
    <w:rsid w:val="00005F8F"/>
    <w:rsid w:val="00006042"/>
    <w:rsid w:val="00006115"/>
    <w:rsid w:val="0000614D"/>
    <w:rsid w:val="0000619F"/>
    <w:rsid w:val="0000630D"/>
    <w:rsid w:val="00006319"/>
    <w:rsid w:val="0000633B"/>
    <w:rsid w:val="00006344"/>
    <w:rsid w:val="000063AA"/>
    <w:rsid w:val="000063E3"/>
    <w:rsid w:val="00006542"/>
    <w:rsid w:val="00006558"/>
    <w:rsid w:val="00006576"/>
    <w:rsid w:val="00006666"/>
    <w:rsid w:val="00006685"/>
    <w:rsid w:val="000066AC"/>
    <w:rsid w:val="00006773"/>
    <w:rsid w:val="000068B8"/>
    <w:rsid w:val="000068C1"/>
    <w:rsid w:val="000068CC"/>
    <w:rsid w:val="00006903"/>
    <w:rsid w:val="0000690B"/>
    <w:rsid w:val="00006929"/>
    <w:rsid w:val="00006996"/>
    <w:rsid w:val="0000699D"/>
    <w:rsid w:val="000069D2"/>
    <w:rsid w:val="00006B69"/>
    <w:rsid w:val="00006C46"/>
    <w:rsid w:val="00006C7A"/>
    <w:rsid w:val="00006CC5"/>
    <w:rsid w:val="00006D6A"/>
    <w:rsid w:val="00006ED8"/>
    <w:rsid w:val="00006F46"/>
    <w:rsid w:val="00006F77"/>
    <w:rsid w:val="00006F9C"/>
    <w:rsid w:val="00006FFA"/>
    <w:rsid w:val="00007014"/>
    <w:rsid w:val="000070E2"/>
    <w:rsid w:val="00007132"/>
    <w:rsid w:val="000072D9"/>
    <w:rsid w:val="0000733C"/>
    <w:rsid w:val="000074B5"/>
    <w:rsid w:val="0000751F"/>
    <w:rsid w:val="000075DE"/>
    <w:rsid w:val="000077A0"/>
    <w:rsid w:val="000077D7"/>
    <w:rsid w:val="00007815"/>
    <w:rsid w:val="0000782D"/>
    <w:rsid w:val="00007874"/>
    <w:rsid w:val="000078AF"/>
    <w:rsid w:val="00007A9A"/>
    <w:rsid w:val="00007BAC"/>
    <w:rsid w:val="00007CF7"/>
    <w:rsid w:val="00007D0C"/>
    <w:rsid w:val="00007D49"/>
    <w:rsid w:val="00007E61"/>
    <w:rsid w:val="00007E81"/>
    <w:rsid w:val="00007EB7"/>
    <w:rsid w:val="00007EDD"/>
    <w:rsid w:val="00007EF7"/>
    <w:rsid w:val="00007F2E"/>
    <w:rsid w:val="00007F6B"/>
    <w:rsid w:val="00007FA2"/>
    <w:rsid w:val="00007FED"/>
    <w:rsid w:val="0001001C"/>
    <w:rsid w:val="0001006D"/>
    <w:rsid w:val="00010074"/>
    <w:rsid w:val="0001007B"/>
    <w:rsid w:val="000100F5"/>
    <w:rsid w:val="00010278"/>
    <w:rsid w:val="000102E6"/>
    <w:rsid w:val="00010441"/>
    <w:rsid w:val="0001058D"/>
    <w:rsid w:val="00010607"/>
    <w:rsid w:val="000106C8"/>
    <w:rsid w:val="000106E5"/>
    <w:rsid w:val="0001078F"/>
    <w:rsid w:val="00010823"/>
    <w:rsid w:val="00010827"/>
    <w:rsid w:val="0001082C"/>
    <w:rsid w:val="00010856"/>
    <w:rsid w:val="000108FA"/>
    <w:rsid w:val="00010A12"/>
    <w:rsid w:val="00010A2D"/>
    <w:rsid w:val="00010B0E"/>
    <w:rsid w:val="00010B1B"/>
    <w:rsid w:val="00010BAD"/>
    <w:rsid w:val="00010C21"/>
    <w:rsid w:val="00010C34"/>
    <w:rsid w:val="00010C48"/>
    <w:rsid w:val="00010D32"/>
    <w:rsid w:val="00010DCF"/>
    <w:rsid w:val="00010E57"/>
    <w:rsid w:val="00010E7E"/>
    <w:rsid w:val="00010E9C"/>
    <w:rsid w:val="00010FF1"/>
    <w:rsid w:val="00011079"/>
    <w:rsid w:val="000110DA"/>
    <w:rsid w:val="00011126"/>
    <w:rsid w:val="0001118D"/>
    <w:rsid w:val="000111A6"/>
    <w:rsid w:val="000111F7"/>
    <w:rsid w:val="0001125B"/>
    <w:rsid w:val="000112EF"/>
    <w:rsid w:val="000113B1"/>
    <w:rsid w:val="000113DF"/>
    <w:rsid w:val="00011449"/>
    <w:rsid w:val="0001147C"/>
    <w:rsid w:val="000114DD"/>
    <w:rsid w:val="00011501"/>
    <w:rsid w:val="00011504"/>
    <w:rsid w:val="000116B5"/>
    <w:rsid w:val="000116DF"/>
    <w:rsid w:val="000116FE"/>
    <w:rsid w:val="00011732"/>
    <w:rsid w:val="00011734"/>
    <w:rsid w:val="00011742"/>
    <w:rsid w:val="00011948"/>
    <w:rsid w:val="0001195C"/>
    <w:rsid w:val="00011A2E"/>
    <w:rsid w:val="00011A44"/>
    <w:rsid w:val="00011A92"/>
    <w:rsid w:val="00011AE2"/>
    <w:rsid w:val="00011BBC"/>
    <w:rsid w:val="00011BE9"/>
    <w:rsid w:val="00011C6A"/>
    <w:rsid w:val="00011CB4"/>
    <w:rsid w:val="00011D85"/>
    <w:rsid w:val="00011DC8"/>
    <w:rsid w:val="00011E38"/>
    <w:rsid w:val="00011E57"/>
    <w:rsid w:val="00011E60"/>
    <w:rsid w:val="00011E6B"/>
    <w:rsid w:val="00011EDD"/>
    <w:rsid w:val="00011EDF"/>
    <w:rsid w:val="00011F11"/>
    <w:rsid w:val="00011F51"/>
    <w:rsid w:val="00011FC4"/>
    <w:rsid w:val="00011FD6"/>
    <w:rsid w:val="0001201F"/>
    <w:rsid w:val="00012063"/>
    <w:rsid w:val="000120FE"/>
    <w:rsid w:val="00012108"/>
    <w:rsid w:val="00012109"/>
    <w:rsid w:val="00012154"/>
    <w:rsid w:val="00012158"/>
    <w:rsid w:val="000121D1"/>
    <w:rsid w:val="00012230"/>
    <w:rsid w:val="000122E0"/>
    <w:rsid w:val="00012405"/>
    <w:rsid w:val="0001245D"/>
    <w:rsid w:val="0001257E"/>
    <w:rsid w:val="0001258E"/>
    <w:rsid w:val="000125FF"/>
    <w:rsid w:val="00012671"/>
    <w:rsid w:val="00012685"/>
    <w:rsid w:val="000126A2"/>
    <w:rsid w:val="000127D4"/>
    <w:rsid w:val="000128FF"/>
    <w:rsid w:val="0001291C"/>
    <w:rsid w:val="0001292D"/>
    <w:rsid w:val="00012A2B"/>
    <w:rsid w:val="00012A48"/>
    <w:rsid w:val="00012A60"/>
    <w:rsid w:val="00012AC0"/>
    <w:rsid w:val="00012CC0"/>
    <w:rsid w:val="00012CF9"/>
    <w:rsid w:val="00012DDA"/>
    <w:rsid w:val="00012DE6"/>
    <w:rsid w:val="00012E18"/>
    <w:rsid w:val="00012E9B"/>
    <w:rsid w:val="00012EB7"/>
    <w:rsid w:val="000130B1"/>
    <w:rsid w:val="000130BD"/>
    <w:rsid w:val="000130C0"/>
    <w:rsid w:val="000130C4"/>
    <w:rsid w:val="00013127"/>
    <w:rsid w:val="000131BF"/>
    <w:rsid w:val="0001323D"/>
    <w:rsid w:val="000132B0"/>
    <w:rsid w:val="00013403"/>
    <w:rsid w:val="000134A5"/>
    <w:rsid w:val="000136B4"/>
    <w:rsid w:val="0001372C"/>
    <w:rsid w:val="00013785"/>
    <w:rsid w:val="000138C0"/>
    <w:rsid w:val="0001392A"/>
    <w:rsid w:val="00013944"/>
    <w:rsid w:val="000139D1"/>
    <w:rsid w:val="000139E3"/>
    <w:rsid w:val="00013A73"/>
    <w:rsid w:val="00013AD6"/>
    <w:rsid w:val="00013AF1"/>
    <w:rsid w:val="00013B14"/>
    <w:rsid w:val="00013B40"/>
    <w:rsid w:val="00013B45"/>
    <w:rsid w:val="00013B57"/>
    <w:rsid w:val="00013B7B"/>
    <w:rsid w:val="00013B7F"/>
    <w:rsid w:val="00013BB7"/>
    <w:rsid w:val="00013BD9"/>
    <w:rsid w:val="00013BF5"/>
    <w:rsid w:val="00013C34"/>
    <w:rsid w:val="00013C4F"/>
    <w:rsid w:val="00013C6F"/>
    <w:rsid w:val="00013D57"/>
    <w:rsid w:val="00013D70"/>
    <w:rsid w:val="00013E46"/>
    <w:rsid w:val="00013E52"/>
    <w:rsid w:val="00013ED6"/>
    <w:rsid w:val="00013F24"/>
    <w:rsid w:val="00013F63"/>
    <w:rsid w:val="00013F6E"/>
    <w:rsid w:val="00014089"/>
    <w:rsid w:val="000140E2"/>
    <w:rsid w:val="0001423A"/>
    <w:rsid w:val="0001435A"/>
    <w:rsid w:val="00014382"/>
    <w:rsid w:val="000143C2"/>
    <w:rsid w:val="000143E4"/>
    <w:rsid w:val="000143E8"/>
    <w:rsid w:val="000143FB"/>
    <w:rsid w:val="000144C9"/>
    <w:rsid w:val="00014517"/>
    <w:rsid w:val="0001453F"/>
    <w:rsid w:val="00014794"/>
    <w:rsid w:val="0001483E"/>
    <w:rsid w:val="00014871"/>
    <w:rsid w:val="00014887"/>
    <w:rsid w:val="000148E6"/>
    <w:rsid w:val="000148F9"/>
    <w:rsid w:val="00014914"/>
    <w:rsid w:val="00014982"/>
    <w:rsid w:val="00014A36"/>
    <w:rsid w:val="00014A52"/>
    <w:rsid w:val="00014B29"/>
    <w:rsid w:val="00014B5F"/>
    <w:rsid w:val="00014B77"/>
    <w:rsid w:val="00014BE3"/>
    <w:rsid w:val="00014C0E"/>
    <w:rsid w:val="00014C11"/>
    <w:rsid w:val="00014C2A"/>
    <w:rsid w:val="00014C70"/>
    <w:rsid w:val="00014D82"/>
    <w:rsid w:val="00014E35"/>
    <w:rsid w:val="00014E9D"/>
    <w:rsid w:val="00014FDB"/>
    <w:rsid w:val="00015005"/>
    <w:rsid w:val="0001502E"/>
    <w:rsid w:val="00015037"/>
    <w:rsid w:val="0001511C"/>
    <w:rsid w:val="00015206"/>
    <w:rsid w:val="000152C2"/>
    <w:rsid w:val="00015380"/>
    <w:rsid w:val="000153A6"/>
    <w:rsid w:val="0001545B"/>
    <w:rsid w:val="000154CC"/>
    <w:rsid w:val="000154E9"/>
    <w:rsid w:val="00015527"/>
    <w:rsid w:val="0001555C"/>
    <w:rsid w:val="0001568E"/>
    <w:rsid w:val="0001569A"/>
    <w:rsid w:val="000156EF"/>
    <w:rsid w:val="0001582B"/>
    <w:rsid w:val="00015870"/>
    <w:rsid w:val="00015908"/>
    <w:rsid w:val="0001590E"/>
    <w:rsid w:val="00015939"/>
    <w:rsid w:val="00015949"/>
    <w:rsid w:val="00015A52"/>
    <w:rsid w:val="00015A58"/>
    <w:rsid w:val="00015ADA"/>
    <w:rsid w:val="00015B30"/>
    <w:rsid w:val="00015BEC"/>
    <w:rsid w:val="00015CA3"/>
    <w:rsid w:val="00015E4C"/>
    <w:rsid w:val="00015E90"/>
    <w:rsid w:val="00015EA1"/>
    <w:rsid w:val="00015EF4"/>
    <w:rsid w:val="00015F1A"/>
    <w:rsid w:val="00015FB7"/>
    <w:rsid w:val="00015FC1"/>
    <w:rsid w:val="00015FC4"/>
    <w:rsid w:val="000160C2"/>
    <w:rsid w:val="0001613D"/>
    <w:rsid w:val="000161EE"/>
    <w:rsid w:val="00016266"/>
    <w:rsid w:val="00016277"/>
    <w:rsid w:val="0001627C"/>
    <w:rsid w:val="00016288"/>
    <w:rsid w:val="00016307"/>
    <w:rsid w:val="0001638E"/>
    <w:rsid w:val="0001646D"/>
    <w:rsid w:val="00016643"/>
    <w:rsid w:val="000166AF"/>
    <w:rsid w:val="0001675B"/>
    <w:rsid w:val="000167B8"/>
    <w:rsid w:val="000167BE"/>
    <w:rsid w:val="000168FB"/>
    <w:rsid w:val="0001694D"/>
    <w:rsid w:val="00016A29"/>
    <w:rsid w:val="00016A63"/>
    <w:rsid w:val="00016B3C"/>
    <w:rsid w:val="00016B47"/>
    <w:rsid w:val="00016B67"/>
    <w:rsid w:val="00016C23"/>
    <w:rsid w:val="00016C68"/>
    <w:rsid w:val="00016CA6"/>
    <w:rsid w:val="00016CB5"/>
    <w:rsid w:val="00016D0F"/>
    <w:rsid w:val="00016DE2"/>
    <w:rsid w:val="00016E03"/>
    <w:rsid w:val="00016E25"/>
    <w:rsid w:val="00016EB5"/>
    <w:rsid w:val="00016EFC"/>
    <w:rsid w:val="00016F7A"/>
    <w:rsid w:val="00016FEF"/>
    <w:rsid w:val="00017171"/>
    <w:rsid w:val="000171B4"/>
    <w:rsid w:val="00017255"/>
    <w:rsid w:val="000172F3"/>
    <w:rsid w:val="000173AB"/>
    <w:rsid w:val="00017446"/>
    <w:rsid w:val="00017594"/>
    <w:rsid w:val="000175C2"/>
    <w:rsid w:val="000175F2"/>
    <w:rsid w:val="0001762C"/>
    <w:rsid w:val="00017742"/>
    <w:rsid w:val="00017746"/>
    <w:rsid w:val="00017780"/>
    <w:rsid w:val="000177CA"/>
    <w:rsid w:val="00017959"/>
    <w:rsid w:val="00017988"/>
    <w:rsid w:val="00017998"/>
    <w:rsid w:val="00017B19"/>
    <w:rsid w:val="00017B3F"/>
    <w:rsid w:val="00017CF5"/>
    <w:rsid w:val="00017D56"/>
    <w:rsid w:val="00017D8A"/>
    <w:rsid w:val="00017F10"/>
    <w:rsid w:val="00017F7C"/>
    <w:rsid w:val="00017FBE"/>
    <w:rsid w:val="000200A5"/>
    <w:rsid w:val="000200B8"/>
    <w:rsid w:val="00020141"/>
    <w:rsid w:val="00020165"/>
    <w:rsid w:val="00020182"/>
    <w:rsid w:val="00020216"/>
    <w:rsid w:val="0002021B"/>
    <w:rsid w:val="00020252"/>
    <w:rsid w:val="0002031B"/>
    <w:rsid w:val="00020347"/>
    <w:rsid w:val="000203E1"/>
    <w:rsid w:val="000203E8"/>
    <w:rsid w:val="00020431"/>
    <w:rsid w:val="00020448"/>
    <w:rsid w:val="0002048C"/>
    <w:rsid w:val="000204DA"/>
    <w:rsid w:val="00020504"/>
    <w:rsid w:val="00020562"/>
    <w:rsid w:val="0002058D"/>
    <w:rsid w:val="000205E1"/>
    <w:rsid w:val="00020648"/>
    <w:rsid w:val="00020664"/>
    <w:rsid w:val="00020680"/>
    <w:rsid w:val="000206F0"/>
    <w:rsid w:val="0002078F"/>
    <w:rsid w:val="000207FE"/>
    <w:rsid w:val="00020816"/>
    <w:rsid w:val="00020853"/>
    <w:rsid w:val="00020907"/>
    <w:rsid w:val="000209BF"/>
    <w:rsid w:val="00020A3D"/>
    <w:rsid w:val="00020B1E"/>
    <w:rsid w:val="00020B77"/>
    <w:rsid w:val="00020B9A"/>
    <w:rsid w:val="00020C3C"/>
    <w:rsid w:val="00020DE2"/>
    <w:rsid w:val="00020EC0"/>
    <w:rsid w:val="00020F01"/>
    <w:rsid w:val="00020F6D"/>
    <w:rsid w:val="00020FAD"/>
    <w:rsid w:val="00021155"/>
    <w:rsid w:val="000211B6"/>
    <w:rsid w:val="000212D7"/>
    <w:rsid w:val="00021383"/>
    <w:rsid w:val="0002139F"/>
    <w:rsid w:val="0002141A"/>
    <w:rsid w:val="000215C6"/>
    <w:rsid w:val="000216E6"/>
    <w:rsid w:val="000218E7"/>
    <w:rsid w:val="000219AD"/>
    <w:rsid w:val="00021A46"/>
    <w:rsid w:val="00021A7D"/>
    <w:rsid w:val="00021A91"/>
    <w:rsid w:val="00021ACA"/>
    <w:rsid w:val="00021B43"/>
    <w:rsid w:val="00021C3A"/>
    <w:rsid w:val="00021C54"/>
    <w:rsid w:val="00021C72"/>
    <w:rsid w:val="00021C82"/>
    <w:rsid w:val="00021C8F"/>
    <w:rsid w:val="00021CC6"/>
    <w:rsid w:val="00021CDF"/>
    <w:rsid w:val="00021E0C"/>
    <w:rsid w:val="00021E41"/>
    <w:rsid w:val="00021E9A"/>
    <w:rsid w:val="00022090"/>
    <w:rsid w:val="000220FB"/>
    <w:rsid w:val="00022117"/>
    <w:rsid w:val="00022213"/>
    <w:rsid w:val="00022230"/>
    <w:rsid w:val="00022245"/>
    <w:rsid w:val="0002225E"/>
    <w:rsid w:val="00022403"/>
    <w:rsid w:val="0002240A"/>
    <w:rsid w:val="000224AC"/>
    <w:rsid w:val="000224E7"/>
    <w:rsid w:val="000224F4"/>
    <w:rsid w:val="00022509"/>
    <w:rsid w:val="00022538"/>
    <w:rsid w:val="000225A9"/>
    <w:rsid w:val="000225B2"/>
    <w:rsid w:val="0002276B"/>
    <w:rsid w:val="00022791"/>
    <w:rsid w:val="00022797"/>
    <w:rsid w:val="000227CE"/>
    <w:rsid w:val="0002287D"/>
    <w:rsid w:val="000228A4"/>
    <w:rsid w:val="000228D7"/>
    <w:rsid w:val="0002293C"/>
    <w:rsid w:val="00022AA3"/>
    <w:rsid w:val="00022AF6"/>
    <w:rsid w:val="00022D5F"/>
    <w:rsid w:val="00022D75"/>
    <w:rsid w:val="00022D78"/>
    <w:rsid w:val="00022DD6"/>
    <w:rsid w:val="00022DF8"/>
    <w:rsid w:val="00022E18"/>
    <w:rsid w:val="00022E1F"/>
    <w:rsid w:val="00022E4D"/>
    <w:rsid w:val="00022E9D"/>
    <w:rsid w:val="000230ED"/>
    <w:rsid w:val="00023319"/>
    <w:rsid w:val="000233BE"/>
    <w:rsid w:val="000233F8"/>
    <w:rsid w:val="000233FE"/>
    <w:rsid w:val="00023444"/>
    <w:rsid w:val="0002347E"/>
    <w:rsid w:val="000234C5"/>
    <w:rsid w:val="00023559"/>
    <w:rsid w:val="000235AC"/>
    <w:rsid w:val="00023626"/>
    <w:rsid w:val="0002364F"/>
    <w:rsid w:val="00023692"/>
    <w:rsid w:val="000236C3"/>
    <w:rsid w:val="000236E4"/>
    <w:rsid w:val="00023804"/>
    <w:rsid w:val="00023853"/>
    <w:rsid w:val="00023892"/>
    <w:rsid w:val="000238B5"/>
    <w:rsid w:val="00023B1D"/>
    <w:rsid w:val="00023B2D"/>
    <w:rsid w:val="00023B61"/>
    <w:rsid w:val="00023B95"/>
    <w:rsid w:val="00023BAC"/>
    <w:rsid w:val="00023BB1"/>
    <w:rsid w:val="00023C17"/>
    <w:rsid w:val="00023C39"/>
    <w:rsid w:val="00023C6D"/>
    <w:rsid w:val="00023CCC"/>
    <w:rsid w:val="00023D8A"/>
    <w:rsid w:val="00023DCB"/>
    <w:rsid w:val="00023E73"/>
    <w:rsid w:val="00023ED7"/>
    <w:rsid w:val="00023F73"/>
    <w:rsid w:val="00023F75"/>
    <w:rsid w:val="00023F8C"/>
    <w:rsid w:val="00023FCB"/>
    <w:rsid w:val="00023FD3"/>
    <w:rsid w:val="00024060"/>
    <w:rsid w:val="0002418E"/>
    <w:rsid w:val="000241B7"/>
    <w:rsid w:val="0002420D"/>
    <w:rsid w:val="0002422A"/>
    <w:rsid w:val="00024344"/>
    <w:rsid w:val="000243AE"/>
    <w:rsid w:val="0002450C"/>
    <w:rsid w:val="00024533"/>
    <w:rsid w:val="00024590"/>
    <w:rsid w:val="000245AF"/>
    <w:rsid w:val="000246CE"/>
    <w:rsid w:val="000246E7"/>
    <w:rsid w:val="00024789"/>
    <w:rsid w:val="000247C0"/>
    <w:rsid w:val="00024823"/>
    <w:rsid w:val="00024856"/>
    <w:rsid w:val="0002485A"/>
    <w:rsid w:val="000248D4"/>
    <w:rsid w:val="000248E1"/>
    <w:rsid w:val="0002493D"/>
    <w:rsid w:val="00024968"/>
    <w:rsid w:val="00024979"/>
    <w:rsid w:val="00024A11"/>
    <w:rsid w:val="00024ABA"/>
    <w:rsid w:val="00024B51"/>
    <w:rsid w:val="00024BA7"/>
    <w:rsid w:val="00024CA0"/>
    <w:rsid w:val="00024CDA"/>
    <w:rsid w:val="00024D52"/>
    <w:rsid w:val="00024D68"/>
    <w:rsid w:val="00024E34"/>
    <w:rsid w:val="00024EA3"/>
    <w:rsid w:val="00024F08"/>
    <w:rsid w:val="00024F4C"/>
    <w:rsid w:val="00024F55"/>
    <w:rsid w:val="00024F78"/>
    <w:rsid w:val="00024F96"/>
    <w:rsid w:val="0002504F"/>
    <w:rsid w:val="000250D9"/>
    <w:rsid w:val="00025118"/>
    <w:rsid w:val="000251A3"/>
    <w:rsid w:val="000251CA"/>
    <w:rsid w:val="000251F0"/>
    <w:rsid w:val="00025205"/>
    <w:rsid w:val="00025238"/>
    <w:rsid w:val="00025274"/>
    <w:rsid w:val="0002527D"/>
    <w:rsid w:val="00025285"/>
    <w:rsid w:val="000252B9"/>
    <w:rsid w:val="0002539C"/>
    <w:rsid w:val="000254E3"/>
    <w:rsid w:val="00025528"/>
    <w:rsid w:val="000255C8"/>
    <w:rsid w:val="0002567A"/>
    <w:rsid w:val="000256E8"/>
    <w:rsid w:val="00025733"/>
    <w:rsid w:val="00025793"/>
    <w:rsid w:val="000257B6"/>
    <w:rsid w:val="00025820"/>
    <w:rsid w:val="00025884"/>
    <w:rsid w:val="00025969"/>
    <w:rsid w:val="00025995"/>
    <w:rsid w:val="00025997"/>
    <w:rsid w:val="000259ED"/>
    <w:rsid w:val="00025A42"/>
    <w:rsid w:val="00025ADB"/>
    <w:rsid w:val="00025B44"/>
    <w:rsid w:val="00025B66"/>
    <w:rsid w:val="00025C51"/>
    <w:rsid w:val="00025C9D"/>
    <w:rsid w:val="00025D24"/>
    <w:rsid w:val="00025D6C"/>
    <w:rsid w:val="00025DA2"/>
    <w:rsid w:val="00025EAA"/>
    <w:rsid w:val="00025EFD"/>
    <w:rsid w:val="00025F00"/>
    <w:rsid w:val="00025F35"/>
    <w:rsid w:val="00025F82"/>
    <w:rsid w:val="0002605D"/>
    <w:rsid w:val="00026079"/>
    <w:rsid w:val="00026135"/>
    <w:rsid w:val="00026246"/>
    <w:rsid w:val="000262F0"/>
    <w:rsid w:val="000263A6"/>
    <w:rsid w:val="000263D2"/>
    <w:rsid w:val="00026413"/>
    <w:rsid w:val="00026504"/>
    <w:rsid w:val="000265C2"/>
    <w:rsid w:val="000266B0"/>
    <w:rsid w:val="000266BC"/>
    <w:rsid w:val="000266C4"/>
    <w:rsid w:val="00026741"/>
    <w:rsid w:val="00026757"/>
    <w:rsid w:val="00026782"/>
    <w:rsid w:val="000268F4"/>
    <w:rsid w:val="00026959"/>
    <w:rsid w:val="000269B8"/>
    <w:rsid w:val="00026A3F"/>
    <w:rsid w:val="00026A9B"/>
    <w:rsid w:val="00026AD5"/>
    <w:rsid w:val="00026B64"/>
    <w:rsid w:val="00026CD6"/>
    <w:rsid w:val="00026D05"/>
    <w:rsid w:val="00026D0C"/>
    <w:rsid w:val="00026D1E"/>
    <w:rsid w:val="00026E00"/>
    <w:rsid w:val="00026E64"/>
    <w:rsid w:val="00026F8A"/>
    <w:rsid w:val="0002703D"/>
    <w:rsid w:val="00027043"/>
    <w:rsid w:val="000270D0"/>
    <w:rsid w:val="00027192"/>
    <w:rsid w:val="0002720A"/>
    <w:rsid w:val="00027319"/>
    <w:rsid w:val="000273C2"/>
    <w:rsid w:val="0002753F"/>
    <w:rsid w:val="00027541"/>
    <w:rsid w:val="00027562"/>
    <w:rsid w:val="00027703"/>
    <w:rsid w:val="0002770B"/>
    <w:rsid w:val="00027763"/>
    <w:rsid w:val="0002778F"/>
    <w:rsid w:val="000277CC"/>
    <w:rsid w:val="000277F1"/>
    <w:rsid w:val="00027817"/>
    <w:rsid w:val="0002781B"/>
    <w:rsid w:val="000278A2"/>
    <w:rsid w:val="000278A4"/>
    <w:rsid w:val="00027940"/>
    <w:rsid w:val="00027A2A"/>
    <w:rsid w:val="00027A5C"/>
    <w:rsid w:val="00027A6D"/>
    <w:rsid w:val="00027B93"/>
    <w:rsid w:val="00027C9B"/>
    <w:rsid w:val="00027CA3"/>
    <w:rsid w:val="00027CF4"/>
    <w:rsid w:val="00027D14"/>
    <w:rsid w:val="00027DA7"/>
    <w:rsid w:val="00027DBF"/>
    <w:rsid w:val="00027EA8"/>
    <w:rsid w:val="00027EDE"/>
    <w:rsid w:val="0003001D"/>
    <w:rsid w:val="00030059"/>
    <w:rsid w:val="000300C2"/>
    <w:rsid w:val="00030139"/>
    <w:rsid w:val="00030191"/>
    <w:rsid w:val="000301BC"/>
    <w:rsid w:val="000301C7"/>
    <w:rsid w:val="000302BD"/>
    <w:rsid w:val="000302E3"/>
    <w:rsid w:val="00030322"/>
    <w:rsid w:val="0003032D"/>
    <w:rsid w:val="00030345"/>
    <w:rsid w:val="0003037E"/>
    <w:rsid w:val="000303CE"/>
    <w:rsid w:val="0003048C"/>
    <w:rsid w:val="000305D2"/>
    <w:rsid w:val="00030687"/>
    <w:rsid w:val="0003070C"/>
    <w:rsid w:val="00030738"/>
    <w:rsid w:val="00030794"/>
    <w:rsid w:val="000307B5"/>
    <w:rsid w:val="0003080D"/>
    <w:rsid w:val="00030815"/>
    <w:rsid w:val="0003086D"/>
    <w:rsid w:val="000308B3"/>
    <w:rsid w:val="000308E0"/>
    <w:rsid w:val="000308E7"/>
    <w:rsid w:val="000309D2"/>
    <w:rsid w:val="000309DB"/>
    <w:rsid w:val="00030A38"/>
    <w:rsid w:val="00030A72"/>
    <w:rsid w:val="00030BE5"/>
    <w:rsid w:val="00030C16"/>
    <w:rsid w:val="00030C45"/>
    <w:rsid w:val="00030C79"/>
    <w:rsid w:val="00030D4B"/>
    <w:rsid w:val="00030DE0"/>
    <w:rsid w:val="00030E76"/>
    <w:rsid w:val="00030EAF"/>
    <w:rsid w:val="00030EC7"/>
    <w:rsid w:val="00030F57"/>
    <w:rsid w:val="00030F67"/>
    <w:rsid w:val="00030FB6"/>
    <w:rsid w:val="00030FC8"/>
    <w:rsid w:val="00030FF1"/>
    <w:rsid w:val="00031033"/>
    <w:rsid w:val="000310B0"/>
    <w:rsid w:val="000310EC"/>
    <w:rsid w:val="00031174"/>
    <w:rsid w:val="00031179"/>
    <w:rsid w:val="00031268"/>
    <w:rsid w:val="000312FD"/>
    <w:rsid w:val="0003134D"/>
    <w:rsid w:val="00031355"/>
    <w:rsid w:val="000313AF"/>
    <w:rsid w:val="00031484"/>
    <w:rsid w:val="00031548"/>
    <w:rsid w:val="00031552"/>
    <w:rsid w:val="00031570"/>
    <w:rsid w:val="00031574"/>
    <w:rsid w:val="00031579"/>
    <w:rsid w:val="000315A2"/>
    <w:rsid w:val="00031614"/>
    <w:rsid w:val="00031622"/>
    <w:rsid w:val="000316A6"/>
    <w:rsid w:val="000316F2"/>
    <w:rsid w:val="00031734"/>
    <w:rsid w:val="0003173C"/>
    <w:rsid w:val="00031755"/>
    <w:rsid w:val="000317E7"/>
    <w:rsid w:val="000317FD"/>
    <w:rsid w:val="00031892"/>
    <w:rsid w:val="000318B1"/>
    <w:rsid w:val="000319A1"/>
    <w:rsid w:val="00031B43"/>
    <w:rsid w:val="00031B97"/>
    <w:rsid w:val="00031BF1"/>
    <w:rsid w:val="00031BF7"/>
    <w:rsid w:val="00031CC1"/>
    <w:rsid w:val="00031CC7"/>
    <w:rsid w:val="00031D4A"/>
    <w:rsid w:val="00031DB4"/>
    <w:rsid w:val="00031DD0"/>
    <w:rsid w:val="00031DFC"/>
    <w:rsid w:val="00031E39"/>
    <w:rsid w:val="00031E3E"/>
    <w:rsid w:val="00031E93"/>
    <w:rsid w:val="00031EC1"/>
    <w:rsid w:val="00031EFF"/>
    <w:rsid w:val="00031F36"/>
    <w:rsid w:val="00031F64"/>
    <w:rsid w:val="00031FE9"/>
    <w:rsid w:val="00032020"/>
    <w:rsid w:val="0003209F"/>
    <w:rsid w:val="000320C7"/>
    <w:rsid w:val="0003212E"/>
    <w:rsid w:val="00032174"/>
    <w:rsid w:val="0003227D"/>
    <w:rsid w:val="000322B0"/>
    <w:rsid w:val="0003236F"/>
    <w:rsid w:val="000323BF"/>
    <w:rsid w:val="000323FD"/>
    <w:rsid w:val="00032564"/>
    <w:rsid w:val="000325FB"/>
    <w:rsid w:val="0003261A"/>
    <w:rsid w:val="0003262E"/>
    <w:rsid w:val="0003263D"/>
    <w:rsid w:val="0003269E"/>
    <w:rsid w:val="00032728"/>
    <w:rsid w:val="00032774"/>
    <w:rsid w:val="000329BF"/>
    <w:rsid w:val="000329CD"/>
    <w:rsid w:val="00032A1B"/>
    <w:rsid w:val="00032A7F"/>
    <w:rsid w:val="00032A9B"/>
    <w:rsid w:val="00032B06"/>
    <w:rsid w:val="00032B80"/>
    <w:rsid w:val="00032B9E"/>
    <w:rsid w:val="00032C4B"/>
    <w:rsid w:val="00032C6D"/>
    <w:rsid w:val="00032C76"/>
    <w:rsid w:val="00032CAC"/>
    <w:rsid w:val="00032CD4"/>
    <w:rsid w:val="00032DE7"/>
    <w:rsid w:val="00032EB2"/>
    <w:rsid w:val="00032EC6"/>
    <w:rsid w:val="00032F5D"/>
    <w:rsid w:val="00032F66"/>
    <w:rsid w:val="00032F71"/>
    <w:rsid w:val="00032F77"/>
    <w:rsid w:val="000330A2"/>
    <w:rsid w:val="000330D4"/>
    <w:rsid w:val="000330D7"/>
    <w:rsid w:val="0003314E"/>
    <w:rsid w:val="000331A0"/>
    <w:rsid w:val="000332A9"/>
    <w:rsid w:val="00033301"/>
    <w:rsid w:val="0003330F"/>
    <w:rsid w:val="00033350"/>
    <w:rsid w:val="00033362"/>
    <w:rsid w:val="00033505"/>
    <w:rsid w:val="000335B0"/>
    <w:rsid w:val="000335F5"/>
    <w:rsid w:val="000335F8"/>
    <w:rsid w:val="00033624"/>
    <w:rsid w:val="0003372A"/>
    <w:rsid w:val="00033757"/>
    <w:rsid w:val="00033761"/>
    <w:rsid w:val="00033780"/>
    <w:rsid w:val="000337AB"/>
    <w:rsid w:val="000337C2"/>
    <w:rsid w:val="00033826"/>
    <w:rsid w:val="0003384F"/>
    <w:rsid w:val="000338E3"/>
    <w:rsid w:val="0003390F"/>
    <w:rsid w:val="00033951"/>
    <w:rsid w:val="00033B23"/>
    <w:rsid w:val="00033B2C"/>
    <w:rsid w:val="00033BD1"/>
    <w:rsid w:val="00033BFA"/>
    <w:rsid w:val="00033CF8"/>
    <w:rsid w:val="00033D0F"/>
    <w:rsid w:val="00033D9E"/>
    <w:rsid w:val="00033DFC"/>
    <w:rsid w:val="00033E8E"/>
    <w:rsid w:val="00033E9C"/>
    <w:rsid w:val="00033F7A"/>
    <w:rsid w:val="00034041"/>
    <w:rsid w:val="00034099"/>
    <w:rsid w:val="0003409E"/>
    <w:rsid w:val="000340F6"/>
    <w:rsid w:val="00034157"/>
    <w:rsid w:val="000342D2"/>
    <w:rsid w:val="000342F1"/>
    <w:rsid w:val="00034340"/>
    <w:rsid w:val="000343C0"/>
    <w:rsid w:val="0003440E"/>
    <w:rsid w:val="0003441A"/>
    <w:rsid w:val="0003443D"/>
    <w:rsid w:val="0003448A"/>
    <w:rsid w:val="000344A5"/>
    <w:rsid w:val="000344F4"/>
    <w:rsid w:val="00034510"/>
    <w:rsid w:val="00034515"/>
    <w:rsid w:val="00034557"/>
    <w:rsid w:val="00034567"/>
    <w:rsid w:val="0003463D"/>
    <w:rsid w:val="00034654"/>
    <w:rsid w:val="000346A4"/>
    <w:rsid w:val="0003472C"/>
    <w:rsid w:val="00034754"/>
    <w:rsid w:val="0003478D"/>
    <w:rsid w:val="000347A8"/>
    <w:rsid w:val="000347F4"/>
    <w:rsid w:val="00034841"/>
    <w:rsid w:val="000348F1"/>
    <w:rsid w:val="00034916"/>
    <w:rsid w:val="00034942"/>
    <w:rsid w:val="00034A31"/>
    <w:rsid w:val="00034A70"/>
    <w:rsid w:val="00034AD0"/>
    <w:rsid w:val="00034B7E"/>
    <w:rsid w:val="00034BE0"/>
    <w:rsid w:val="00034BF5"/>
    <w:rsid w:val="00034C09"/>
    <w:rsid w:val="00034C1E"/>
    <w:rsid w:val="00034C22"/>
    <w:rsid w:val="00034C23"/>
    <w:rsid w:val="00034C83"/>
    <w:rsid w:val="00034CA9"/>
    <w:rsid w:val="00034D33"/>
    <w:rsid w:val="00034E14"/>
    <w:rsid w:val="00034E37"/>
    <w:rsid w:val="00034E45"/>
    <w:rsid w:val="00034EEF"/>
    <w:rsid w:val="00034F25"/>
    <w:rsid w:val="00034F47"/>
    <w:rsid w:val="00034FC8"/>
    <w:rsid w:val="0003502E"/>
    <w:rsid w:val="00035047"/>
    <w:rsid w:val="00035124"/>
    <w:rsid w:val="00035165"/>
    <w:rsid w:val="000352AA"/>
    <w:rsid w:val="000352FB"/>
    <w:rsid w:val="0003531C"/>
    <w:rsid w:val="000353C8"/>
    <w:rsid w:val="0003540C"/>
    <w:rsid w:val="000354E6"/>
    <w:rsid w:val="00035524"/>
    <w:rsid w:val="0003554E"/>
    <w:rsid w:val="0003554F"/>
    <w:rsid w:val="00035778"/>
    <w:rsid w:val="00035809"/>
    <w:rsid w:val="0003585F"/>
    <w:rsid w:val="0003588C"/>
    <w:rsid w:val="00035952"/>
    <w:rsid w:val="00035953"/>
    <w:rsid w:val="00035961"/>
    <w:rsid w:val="00035984"/>
    <w:rsid w:val="00035AF4"/>
    <w:rsid w:val="00035B06"/>
    <w:rsid w:val="00035C4E"/>
    <w:rsid w:val="00035C5E"/>
    <w:rsid w:val="00035E02"/>
    <w:rsid w:val="00035E76"/>
    <w:rsid w:val="00035EB1"/>
    <w:rsid w:val="00035EE6"/>
    <w:rsid w:val="00035F8A"/>
    <w:rsid w:val="00035FD1"/>
    <w:rsid w:val="000360C9"/>
    <w:rsid w:val="00036109"/>
    <w:rsid w:val="00036133"/>
    <w:rsid w:val="00036141"/>
    <w:rsid w:val="00036161"/>
    <w:rsid w:val="00036283"/>
    <w:rsid w:val="00036379"/>
    <w:rsid w:val="00036391"/>
    <w:rsid w:val="00036462"/>
    <w:rsid w:val="00036476"/>
    <w:rsid w:val="000364B7"/>
    <w:rsid w:val="00036592"/>
    <w:rsid w:val="000366A5"/>
    <w:rsid w:val="000366AD"/>
    <w:rsid w:val="000366C0"/>
    <w:rsid w:val="00036714"/>
    <w:rsid w:val="00036764"/>
    <w:rsid w:val="000367B0"/>
    <w:rsid w:val="0003683B"/>
    <w:rsid w:val="00036948"/>
    <w:rsid w:val="0003695D"/>
    <w:rsid w:val="0003696D"/>
    <w:rsid w:val="000369B2"/>
    <w:rsid w:val="000369E2"/>
    <w:rsid w:val="00036A3C"/>
    <w:rsid w:val="00036ABD"/>
    <w:rsid w:val="00036ABE"/>
    <w:rsid w:val="00036B7E"/>
    <w:rsid w:val="00036BB4"/>
    <w:rsid w:val="00036BF7"/>
    <w:rsid w:val="00036C05"/>
    <w:rsid w:val="00036C14"/>
    <w:rsid w:val="00036C43"/>
    <w:rsid w:val="00036C65"/>
    <w:rsid w:val="00036D20"/>
    <w:rsid w:val="00036EA9"/>
    <w:rsid w:val="00036F31"/>
    <w:rsid w:val="0003702B"/>
    <w:rsid w:val="00037043"/>
    <w:rsid w:val="00037067"/>
    <w:rsid w:val="000370D2"/>
    <w:rsid w:val="00037111"/>
    <w:rsid w:val="00037172"/>
    <w:rsid w:val="000371FA"/>
    <w:rsid w:val="00037241"/>
    <w:rsid w:val="00037308"/>
    <w:rsid w:val="0003733F"/>
    <w:rsid w:val="00037374"/>
    <w:rsid w:val="00037461"/>
    <w:rsid w:val="000374F8"/>
    <w:rsid w:val="00037810"/>
    <w:rsid w:val="00037930"/>
    <w:rsid w:val="000379BC"/>
    <w:rsid w:val="000379F7"/>
    <w:rsid w:val="00037AA5"/>
    <w:rsid w:val="00037BB2"/>
    <w:rsid w:val="00037BB5"/>
    <w:rsid w:val="00037C02"/>
    <w:rsid w:val="00037CBB"/>
    <w:rsid w:val="00037CF5"/>
    <w:rsid w:val="00037CF6"/>
    <w:rsid w:val="00037DD4"/>
    <w:rsid w:val="00037E30"/>
    <w:rsid w:val="00037E42"/>
    <w:rsid w:val="00037FB8"/>
    <w:rsid w:val="00037FD7"/>
    <w:rsid w:val="00037FF1"/>
    <w:rsid w:val="00040024"/>
    <w:rsid w:val="0004002D"/>
    <w:rsid w:val="00040082"/>
    <w:rsid w:val="000400AD"/>
    <w:rsid w:val="000401AF"/>
    <w:rsid w:val="000401B1"/>
    <w:rsid w:val="0004023E"/>
    <w:rsid w:val="00040312"/>
    <w:rsid w:val="0004031D"/>
    <w:rsid w:val="0004033A"/>
    <w:rsid w:val="00040369"/>
    <w:rsid w:val="0004036E"/>
    <w:rsid w:val="00040387"/>
    <w:rsid w:val="0004046B"/>
    <w:rsid w:val="00040477"/>
    <w:rsid w:val="00040571"/>
    <w:rsid w:val="0004058F"/>
    <w:rsid w:val="000405A4"/>
    <w:rsid w:val="00040682"/>
    <w:rsid w:val="000406B2"/>
    <w:rsid w:val="0004076A"/>
    <w:rsid w:val="000407DA"/>
    <w:rsid w:val="000407E3"/>
    <w:rsid w:val="00040811"/>
    <w:rsid w:val="0004081A"/>
    <w:rsid w:val="00040841"/>
    <w:rsid w:val="000408A8"/>
    <w:rsid w:val="000408B0"/>
    <w:rsid w:val="000408BE"/>
    <w:rsid w:val="000409D1"/>
    <w:rsid w:val="00040A76"/>
    <w:rsid w:val="00040BBB"/>
    <w:rsid w:val="00040BC0"/>
    <w:rsid w:val="00040C62"/>
    <w:rsid w:val="00040CFF"/>
    <w:rsid w:val="00040D65"/>
    <w:rsid w:val="00040DFB"/>
    <w:rsid w:val="00040E13"/>
    <w:rsid w:val="00040E83"/>
    <w:rsid w:val="00040E88"/>
    <w:rsid w:val="00040F4D"/>
    <w:rsid w:val="00040F9B"/>
    <w:rsid w:val="0004104A"/>
    <w:rsid w:val="000410E0"/>
    <w:rsid w:val="000410F4"/>
    <w:rsid w:val="0004112C"/>
    <w:rsid w:val="00041202"/>
    <w:rsid w:val="0004130B"/>
    <w:rsid w:val="00041387"/>
    <w:rsid w:val="000414BD"/>
    <w:rsid w:val="000414CE"/>
    <w:rsid w:val="00041504"/>
    <w:rsid w:val="0004152B"/>
    <w:rsid w:val="00041550"/>
    <w:rsid w:val="00041563"/>
    <w:rsid w:val="000415AA"/>
    <w:rsid w:val="00041664"/>
    <w:rsid w:val="000416AA"/>
    <w:rsid w:val="000416D4"/>
    <w:rsid w:val="000417C6"/>
    <w:rsid w:val="000417D4"/>
    <w:rsid w:val="0004191B"/>
    <w:rsid w:val="0004192A"/>
    <w:rsid w:val="00041A32"/>
    <w:rsid w:val="00041A3C"/>
    <w:rsid w:val="00041B02"/>
    <w:rsid w:val="00041BFE"/>
    <w:rsid w:val="00041C71"/>
    <w:rsid w:val="00041CC0"/>
    <w:rsid w:val="00041CD6"/>
    <w:rsid w:val="00041D95"/>
    <w:rsid w:val="00041E32"/>
    <w:rsid w:val="00041EB5"/>
    <w:rsid w:val="00041FDD"/>
    <w:rsid w:val="00042025"/>
    <w:rsid w:val="00042026"/>
    <w:rsid w:val="0004202C"/>
    <w:rsid w:val="0004209E"/>
    <w:rsid w:val="000420A0"/>
    <w:rsid w:val="0004213F"/>
    <w:rsid w:val="00042175"/>
    <w:rsid w:val="0004219A"/>
    <w:rsid w:val="000421BB"/>
    <w:rsid w:val="000421EB"/>
    <w:rsid w:val="00042269"/>
    <w:rsid w:val="000422A1"/>
    <w:rsid w:val="000422D1"/>
    <w:rsid w:val="000422E7"/>
    <w:rsid w:val="0004234E"/>
    <w:rsid w:val="00042359"/>
    <w:rsid w:val="00042387"/>
    <w:rsid w:val="00042399"/>
    <w:rsid w:val="00042404"/>
    <w:rsid w:val="00042566"/>
    <w:rsid w:val="000425AE"/>
    <w:rsid w:val="0004260C"/>
    <w:rsid w:val="00042628"/>
    <w:rsid w:val="000426AB"/>
    <w:rsid w:val="00042709"/>
    <w:rsid w:val="0004272F"/>
    <w:rsid w:val="00042761"/>
    <w:rsid w:val="00042794"/>
    <w:rsid w:val="00042830"/>
    <w:rsid w:val="00042882"/>
    <w:rsid w:val="0004288D"/>
    <w:rsid w:val="0004289E"/>
    <w:rsid w:val="000428E1"/>
    <w:rsid w:val="00042911"/>
    <w:rsid w:val="0004292F"/>
    <w:rsid w:val="0004295D"/>
    <w:rsid w:val="000429C1"/>
    <w:rsid w:val="000429D3"/>
    <w:rsid w:val="00042A30"/>
    <w:rsid w:val="00042A67"/>
    <w:rsid w:val="00042AA8"/>
    <w:rsid w:val="00042BF2"/>
    <w:rsid w:val="00042C36"/>
    <w:rsid w:val="00042D20"/>
    <w:rsid w:val="00042D5B"/>
    <w:rsid w:val="00042D83"/>
    <w:rsid w:val="00042FAC"/>
    <w:rsid w:val="0004300D"/>
    <w:rsid w:val="00043079"/>
    <w:rsid w:val="00043104"/>
    <w:rsid w:val="0004310D"/>
    <w:rsid w:val="0004311A"/>
    <w:rsid w:val="0004317D"/>
    <w:rsid w:val="0004334C"/>
    <w:rsid w:val="0004336D"/>
    <w:rsid w:val="00043396"/>
    <w:rsid w:val="000434AD"/>
    <w:rsid w:val="00043580"/>
    <w:rsid w:val="00043647"/>
    <w:rsid w:val="00043718"/>
    <w:rsid w:val="00043786"/>
    <w:rsid w:val="000437B1"/>
    <w:rsid w:val="000437F2"/>
    <w:rsid w:val="00043887"/>
    <w:rsid w:val="000438F7"/>
    <w:rsid w:val="00043952"/>
    <w:rsid w:val="00043955"/>
    <w:rsid w:val="000439F1"/>
    <w:rsid w:val="00043A29"/>
    <w:rsid w:val="00043ACF"/>
    <w:rsid w:val="00043B79"/>
    <w:rsid w:val="00043C03"/>
    <w:rsid w:val="00043C90"/>
    <w:rsid w:val="00043CDB"/>
    <w:rsid w:val="00043D9C"/>
    <w:rsid w:val="00043E07"/>
    <w:rsid w:val="00043E2C"/>
    <w:rsid w:val="00043E37"/>
    <w:rsid w:val="00043EA5"/>
    <w:rsid w:val="00043EBF"/>
    <w:rsid w:val="00043F63"/>
    <w:rsid w:val="00043F67"/>
    <w:rsid w:val="00043F89"/>
    <w:rsid w:val="00043FC3"/>
    <w:rsid w:val="0004404F"/>
    <w:rsid w:val="000440BA"/>
    <w:rsid w:val="000440BC"/>
    <w:rsid w:val="000440CD"/>
    <w:rsid w:val="000440D6"/>
    <w:rsid w:val="00044141"/>
    <w:rsid w:val="0004421F"/>
    <w:rsid w:val="0004428B"/>
    <w:rsid w:val="0004429A"/>
    <w:rsid w:val="000442E4"/>
    <w:rsid w:val="000442F7"/>
    <w:rsid w:val="00044303"/>
    <w:rsid w:val="000443B2"/>
    <w:rsid w:val="000443C6"/>
    <w:rsid w:val="00044411"/>
    <w:rsid w:val="00044427"/>
    <w:rsid w:val="00044455"/>
    <w:rsid w:val="000444EA"/>
    <w:rsid w:val="0004450C"/>
    <w:rsid w:val="0004454A"/>
    <w:rsid w:val="00044675"/>
    <w:rsid w:val="000446B1"/>
    <w:rsid w:val="000446C1"/>
    <w:rsid w:val="000446D1"/>
    <w:rsid w:val="000447DD"/>
    <w:rsid w:val="0004480F"/>
    <w:rsid w:val="00044815"/>
    <w:rsid w:val="00044887"/>
    <w:rsid w:val="000448B1"/>
    <w:rsid w:val="000448BA"/>
    <w:rsid w:val="00044958"/>
    <w:rsid w:val="000449B3"/>
    <w:rsid w:val="00044A37"/>
    <w:rsid w:val="00044A48"/>
    <w:rsid w:val="00044A4C"/>
    <w:rsid w:val="00044A9A"/>
    <w:rsid w:val="00044A9B"/>
    <w:rsid w:val="00044AD1"/>
    <w:rsid w:val="00044C9D"/>
    <w:rsid w:val="00044D0E"/>
    <w:rsid w:val="00044D53"/>
    <w:rsid w:val="00044F49"/>
    <w:rsid w:val="00044F5B"/>
    <w:rsid w:val="00044FBA"/>
    <w:rsid w:val="00045020"/>
    <w:rsid w:val="0004503B"/>
    <w:rsid w:val="00045134"/>
    <w:rsid w:val="0004513A"/>
    <w:rsid w:val="00045241"/>
    <w:rsid w:val="000452C4"/>
    <w:rsid w:val="00045363"/>
    <w:rsid w:val="00045371"/>
    <w:rsid w:val="000453DA"/>
    <w:rsid w:val="000453DC"/>
    <w:rsid w:val="000455DC"/>
    <w:rsid w:val="00045619"/>
    <w:rsid w:val="00045657"/>
    <w:rsid w:val="000456BC"/>
    <w:rsid w:val="000456EA"/>
    <w:rsid w:val="00045725"/>
    <w:rsid w:val="00045737"/>
    <w:rsid w:val="0004579D"/>
    <w:rsid w:val="000457FB"/>
    <w:rsid w:val="00045824"/>
    <w:rsid w:val="00045846"/>
    <w:rsid w:val="00045945"/>
    <w:rsid w:val="00045960"/>
    <w:rsid w:val="00045998"/>
    <w:rsid w:val="00045A36"/>
    <w:rsid w:val="00045AB5"/>
    <w:rsid w:val="00045AE5"/>
    <w:rsid w:val="00045C04"/>
    <w:rsid w:val="00045C6F"/>
    <w:rsid w:val="00045D93"/>
    <w:rsid w:val="00045DD2"/>
    <w:rsid w:val="00045E19"/>
    <w:rsid w:val="00045E2F"/>
    <w:rsid w:val="00045E5E"/>
    <w:rsid w:val="00045F6C"/>
    <w:rsid w:val="00045FBC"/>
    <w:rsid w:val="00045FCF"/>
    <w:rsid w:val="00046034"/>
    <w:rsid w:val="00046048"/>
    <w:rsid w:val="000460E0"/>
    <w:rsid w:val="00046182"/>
    <w:rsid w:val="0004620A"/>
    <w:rsid w:val="0004623A"/>
    <w:rsid w:val="000462AC"/>
    <w:rsid w:val="00046357"/>
    <w:rsid w:val="000463D2"/>
    <w:rsid w:val="000464AF"/>
    <w:rsid w:val="000464D5"/>
    <w:rsid w:val="00046506"/>
    <w:rsid w:val="00046576"/>
    <w:rsid w:val="000465C5"/>
    <w:rsid w:val="000465D3"/>
    <w:rsid w:val="00046681"/>
    <w:rsid w:val="000466C3"/>
    <w:rsid w:val="000467CA"/>
    <w:rsid w:val="000467D4"/>
    <w:rsid w:val="00046857"/>
    <w:rsid w:val="0004688A"/>
    <w:rsid w:val="00046A3F"/>
    <w:rsid w:val="00046AE2"/>
    <w:rsid w:val="00046BA7"/>
    <w:rsid w:val="00046BC7"/>
    <w:rsid w:val="00046F58"/>
    <w:rsid w:val="00046F9A"/>
    <w:rsid w:val="00047015"/>
    <w:rsid w:val="0004701B"/>
    <w:rsid w:val="00047037"/>
    <w:rsid w:val="000470E6"/>
    <w:rsid w:val="000471B5"/>
    <w:rsid w:val="0004720A"/>
    <w:rsid w:val="00047386"/>
    <w:rsid w:val="000473D2"/>
    <w:rsid w:val="000474A0"/>
    <w:rsid w:val="00047516"/>
    <w:rsid w:val="0004760A"/>
    <w:rsid w:val="000476B4"/>
    <w:rsid w:val="000476F8"/>
    <w:rsid w:val="000476FD"/>
    <w:rsid w:val="0004770F"/>
    <w:rsid w:val="00047726"/>
    <w:rsid w:val="00047793"/>
    <w:rsid w:val="000477CF"/>
    <w:rsid w:val="0004782A"/>
    <w:rsid w:val="0004793F"/>
    <w:rsid w:val="0004797A"/>
    <w:rsid w:val="000479EC"/>
    <w:rsid w:val="00047A35"/>
    <w:rsid w:val="00047A3B"/>
    <w:rsid w:val="00047A78"/>
    <w:rsid w:val="00047B0B"/>
    <w:rsid w:val="00047B74"/>
    <w:rsid w:val="00047B79"/>
    <w:rsid w:val="00047B7F"/>
    <w:rsid w:val="00047BBC"/>
    <w:rsid w:val="00047D32"/>
    <w:rsid w:val="00047E68"/>
    <w:rsid w:val="00047E99"/>
    <w:rsid w:val="00047EC2"/>
    <w:rsid w:val="0005006C"/>
    <w:rsid w:val="00050084"/>
    <w:rsid w:val="00050138"/>
    <w:rsid w:val="00050193"/>
    <w:rsid w:val="00050194"/>
    <w:rsid w:val="000501AD"/>
    <w:rsid w:val="000501DC"/>
    <w:rsid w:val="0005021F"/>
    <w:rsid w:val="0005024A"/>
    <w:rsid w:val="00050251"/>
    <w:rsid w:val="000502C9"/>
    <w:rsid w:val="00050334"/>
    <w:rsid w:val="000503CD"/>
    <w:rsid w:val="000503F9"/>
    <w:rsid w:val="00050428"/>
    <w:rsid w:val="0005052A"/>
    <w:rsid w:val="00050531"/>
    <w:rsid w:val="0005055B"/>
    <w:rsid w:val="00050661"/>
    <w:rsid w:val="000506D0"/>
    <w:rsid w:val="000506D6"/>
    <w:rsid w:val="00050785"/>
    <w:rsid w:val="000507B2"/>
    <w:rsid w:val="00050849"/>
    <w:rsid w:val="00050864"/>
    <w:rsid w:val="0005088D"/>
    <w:rsid w:val="000508D9"/>
    <w:rsid w:val="0005092B"/>
    <w:rsid w:val="0005098D"/>
    <w:rsid w:val="00050A51"/>
    <w:rsid w:val="00050A9A"/>
    <w:rsid w:val="00050B3A"/>
    <w:rsid w:val="00050C14"/>
    <w:rsid w:val="00050D2D"/>
    <w:rsid w:val="00050D30"/>
    <w:rsid w:val="00050D9F"/>
    <w:rsid w:val="00050EA9"/>
    <w:rsid w:val="00050F34"/>
    <w:rsid w:val="00050FC3"/>
    <w:rsid w:val="00051067"/>
    <w:rsid w:val="000510B9"/>
    <w:rsid w:val="00051146"/>
    <w:rsid w:val="00051253"/>
    <w:rsid w:val="00051295"/>
    <w:rsid w:val="000512C3"/>
    <w:rsid w:val="0005133E"/>
    <w:rsid w:val="00051379"/>
    <w:rsid w:val="00051412"/>
    <w:rsid w:val="0005149D"/>
    <w:rsid w:val="000515F6"/>
    <w:rsid w:val="00051691"/>
    <w:rsid w:val="0005170B"/>
    <w:rsid w:val="00051771"/>
    <w:rsid w:val="00051789"/>
    <w:rsid w:val="0005186C"/>
    <w:rsid w:val="000518BC"/>
    <w:rsid w:val="000518CA"/>
    <w:rsid w:val="000518FA"/>
    <w:rsid w:val="000518FF"/>
    <w:rsid w:val="0005190A"/>
    <w:rsid w:val="000519AF"/>
    <w:rsid w:val="00051A13"/>
    <w:rsid w:val="00051B1C"/>
    <w:rsid w:val="00051B5E"/>
    <w:rsid w:val="00051CF1"/>
    <w:rsid w:val="00051CF3"/>
    <w:rsid w:val="00051D70"/>
    <w:rsid w:val="00051D95"/>
    <w:rsid w:val="00051E14"/>
    <w:rsid w:val="00051F5E"/>
    <w:rsid w:val="00051F83"/>
    <w:rsid w:val="0005207A"/>
    <w:rsid w:val="000520CB"/>
    <w:rsid w:val="000520D4"/>
    <w:rsid w:val="0005210E"/>
    <w:rsid w:val="00052119"/>
    <w:rsid w:val="0005211B"/>
    <w:rsid w:val="00052192"/>
    <w:rsid w:val="000521B4"/>
    <w:rsid w:val="00052262"/>
    <w:rsid w:val="00052284"/>
    <w:rsid w:val="000522CD"/>
    <w:rsid w:val="000522F0"/>
    <w:rsid w:val="00052351"/>
    <w:rsid w:val="00052371"/>
    <w:rsid w:val="00052374"/>
    <w:rsid w:val="0005242F"/>
    <w:rsid w:val="000524CA"/>
    <w:rsid w:val="0005254A"/>
    <w:rsid w:val="000525AE"/>
    <w:rsid w:val="0005260E"/>
    <w:rsid w:val="0005265D"/>
    <w:rsid w:val="000526FD"/>
    <w:rsid w:val="00052944"/>
    <w:rsid w:val="00052987"/>
    <w:rsid w:val="00052A24"/>
    <w:rsid w:val="00052A4C"/>
    <w:rsid w:val="00052B72"/>
    <w:rsid w:val="00052BD8"/>
    <w:rsid w:val="00052CC6"/>
    <w:rsid w:val="00052CFA"/>
    <w:rsid w:val="00052D4C"/>
    <w:rsid w:val="00052D7B"/>
    <w:rsid w:val="00052EEA"/>
    <w:rsid w:val="00052F47"/>
    <w:rsid w:val="00052FFE"/>
    <w:rsid w:val="00053058"/>
    <w:rsid w:val="000530A6"/>
    <w:rsid w:val="00053226"/>
    <w:rsid w:val="00053232"/>
    <w:rsid w:val="00053357"/>
    <w:rsid w:val="000533B6"/>
    <w:rsid w:val="000533DD"/>
    <w:rsid w:val="000533F9"/>
    <w:rsid w:val="000534EF"/>
    <w:rsid w:val="0005353D"/>
    <w:rsid w:val="00053548"/>
    <w:rsid w:val="00053564"/>
    <w:rsid w:val="00053666"/>
    <w:rsid w:val="0005373D"/>
    <w:rsid w:val="000537BD"/>
    <w:rsid w:val="000537E6"/>
    <w:rsid w:val="00053817"/>
    <w:rsid w:val="0005386B"/>
    <w:rsid w:val="000538C0"/>
    <w:rsid w:val="00053922"/>
    <w:rsid w:val="00053936"/>
    <w:rsid w:val="00053945"/>
    <w:rsid w:val="0005394D"/>
    <w:rsid w:val="00053BA6"/>
    <w:rsid w:val="00053C1E"/>
    <w:rsid w:val="00053C3D"/>
    <w:rsid w:val="00053C47"/>
    <w:rsid w:val="00053C58"/>
    <w:rsid w:val="00053C9A"/>
    <w:rsid w:val="00053DF0"/>
    <w:rsid w:val="00053F7C"/>
    <w:rsid w:val="00053FC8"/>
    <w:rsid w:val="0005404F"/>
    <w:rsid w:val="00054058"/>
    <w:rsid w:val="000540E6"/>
    <w:rsid w:val="000540F0"/>
    <w:rsid w:val="00054107"/>
    <w:rsid w:val="00054137"/>
    <w:rsid w:val="0005419B"/>
    <w:rsid w:val="00054225"/>
    <w:rsid w:val="000542D6"/>
    <w:rsid w:val="0005441D"/>
    <w:rsid w:val="00054457"/>
    <w:rsid w:val="000544D7"/>
    <w:rsid w:val="00054531"/>
    <w:rsid w:val="00054543"/>
    <w:rsid w:val="000545AC"/>
    <w:rsid w:val="00054676"/>
    <w:rsid w:val="00054687"/>
    <w:rsid w:val="000546DC"/>
    <w:rsid w:val="00054771"/>
    <w:rsid w:val="0005477C"/>
    <w:rsid w:val="0005478A"/>
    <w:rsid w:val="00054814"/>
    <w:rsid w:val="0005485D"/>
    <w:rsid w:val="00054865"/>
    <w:rsid w:val="000548BD"/>
    <w:rsid w:val="000548D7"/>
    <w:rsid w:val="000548DA"/>
    <w:rsid w:val="000548EC"/>
    <w:rsid w:val="00054905"/>
    <w:rsid w:val="00054926"/>
    <w:rsid w:val="00054929"/>
    <w:rsid w:val="00054992"/>
    <w:rsid w:val="000549FB"/>
    <w:rsid w:val="00054A69"/>
    <w:rsid w:val="00054ACA"/>
    <w:rsid w:val="00054AE9"/>
    <w:rsid w:val="00054B24"/>
    <w:rsid w:val="00054C07"/>
    <w:rsid w:val="00054C38"/>
    <w:rsid w:val="00054C56"/>
    <w:rsid w:val="00054C86"/>
    <w:rsid w:val="00054D2A"/>
    <w:rsid w:val="00054D35"/>
    <w:rsid w:val="00054D42"/>
    <w:rsid w:val="00054D95"/>
    <w:rsid w:val="00054DFF"/>
    <w:rsid w:val="00054FD4"/>
    <w:rsid w:val="000550B4"/>
    <w:rsid w:val="000550BE"/>
    <w:rsid w:val="00055124"/>
    <w:rsid w:val="0005514D"/>
    <w:rsid w:val="00055430"/>
    <w:rsid w:val="000554D9"/>
    <w:rsid w:val="00055528"/>
    <w:rsid w:val="000556AA"/>
    <w:rsid w:val="000556F1"/>
    <w:rsid w:val="00055721"/>
    <w:rsid w:val="0005573E"/>
    <w:rsid w:val="00055779"/>
    <w:rsid w:val="00055797"/>
    <w:rsid w:val="000557AB"/>
    <w:rsid w:val="00055821"/>
    <w:rsid w:val="00055825"/>
    <w:rsid w:val="0005588A"/>
    <w:rsid w:val="000558E9"/>
    <w:rsid w:val="00055AE2"/>
    <w:rsid w:val="00055B21"/>
    <w:rsid w:val="00055B7C"/>
    <w:rsid w:val="00055BA7"/>
    <w:rsid w:val="00055BCD"/>
    <w:rsid w:val="00055C3A"/>
    <w:rsid w:val="00055C54"/>
    <w:rsid w:val="00055CA4"/>
    <w:rsid w:val="00055CBC"/>
    <w:rsid w:val="00055CEE"/>
    <w:rsid w:val="00055E0E"/>
    <w:rsid w:val="00055E30"/>
    <w:rsid w:val="00055E40"/>
    <w:rsid w:val="00055ED0"/>
    <w:rsid w:val="00055F1E"/>
    <w:rsid w:val="00055F8C"/>
    <w:rsid w:val="00055F8E"/>
    <w:rsid w:val="00055FAE"/>
    <w:rsid w:val="00056031"/>
    <w:rsid w:val="0005603B"/>
    <w:rsid w:val="000560DC"/>
    <w:rsid w:val="000560FF"/>
    <w:rsid w:val="00056211"/>
    <w:rsid w:val="000562BE"/>
    <w:rsid w:val="000562E9"/>
    <w:rsid w:val="00056393"/>
    <w:rsid w:val="00056421"/>
    <w:rsid w:val="00056446"/>
    <w:rsid w:val="0005644C"/>
    <w:rsid w:val="00056475"/>
    <w:rsid w:val="00056555"/>
    <w:rsid w:val="000565B9"/>
    <w:rsid w:val="00056695"/>
    <w:rsid w:val="0005669E"/>
    <w:rsid w:val="000567F9"/>
    <w:rsid w:val="0005683B"/>
    <w:rsid w:val="000568F1"/>
    <w:rsid w:val="00056960"/>
    <w:rsid w:val="000569E4"/>
    <w:rsid w:val="00056A1A"/>
    <w:rsid w:val="00056A6D"/>
    <w:rsid w:val="00056A81"/>
    <w:rsid w:val="00056AE4"/>
    <w:rsid w:val="00056BC7"/>
    <w:rsid w:val="00056BDF"/>
    <w:rsid w:val="00056C6E"/>
    <w:rsid w:val="00056D12"/>
    <w:rsid w:val="00056DAA"/>
    <w:rsid w:val="00056E14"/>
    <w:rsid w:val="00056E1E"/>
    <w:rsid w:val="00056E9C"/>
    <w:rsid w:val="00056EDF"/>
    <w:rsid w:val="00056F4B"/>
    <w:rsid w:val="00056FAF"/>
    <w:rsid w:val="00056FB6"/>
    <w:rsid w:val="00056FC3"/>
    <w:rsid w:val="00057000"/>
    <w:rsid w:val="00057073"/>
    <w:rsid w:val="000570A5"/>
    <w:rsid w:val="0005713F"/>
    <w:rsid w:val="000571F1"/>
    <w:rsid w:val="00057215"/>
    <w:rsid w:val="00057226"/>
    <w:rsid w:val="000572AA"/>
    <w:rsid w:val="000572E1"/>
    <w:rsid w:val="00057302"/>
    <w:rsid w:val="00057313"/>
    <w:rsid w:val="000573B0"/>
    <w:rsid w:val="00057455"/>
    <w:rsid w:val="0005746D"/>
    <w:rsid w:val="0005756E"/>
    <w:rsid w:val="000575A6"/>
    <w:rsid w:val="000575B0"/>
    <w:rsid w:val="000575CB"/>
    <w:rsid w:val="0005763C"/>
    <w:rsid w:val="00057652"/>
    <w:rsid w:val="00057683"/>
    <w:rsid w:val="00057715"/>
    <w:rsid w:val="0005777D"/>
    <w:rsid w:val="000577EE"/>
    <w:rsid w:val="0005783F"/>
    <w:rsid w:val="000579C5"/>
    <w:rsid w:val="00057AD7"/>
    <w:rsid w:val="00057BF8"/>
    <w:rsid w:val="00057D09"/>
    <w:rsid w:val="00057D4A"/>
    <w:rsid w:val="00057DB3"/>
    <w:rsid w:val="00057DF3"/>
    <w:rsid w:val="00057E14"/>
    <w:rsid w:val="00057FA8"/>
    <w:rsid w:val="0006004F"/>
    <w:rsid w:val="000600C2"/>
    <w:rsid w:val="000600CB"/>
    <w:rsid w:val="000600E9"/>
    <w:rsid w:val="00060121"/>
    <w:rsid w:val="000601F4"/>
    <w:rsid w:val="00060220"/>
    <w:rsid w:val="00060262"/>
    <w:rsid w:val="000602AE"/>
    <w:rsid w:val="00060337"/>
    <w:rsid w:val="000603A9"/>
    <w:rsid w:val="00060427"/>
    <w:rsid w:val="00060453"/>
    <w:rsid w:val="000604B0"/>
    <w:rsid w:val="00060570"/>
    <w:rsid w:val="000605CD"/>
    <w:rsid w:val="000605D6"/>
    <w:rsid w:val="000605DC"/>
    <w:rsid w:val="000606AE"/>
    <w:rsid w:val="000606F9"/>
    <w:rsid w:val="0006073A"/>
    <w:rsid w:val="000607B0"/>
    <w:rsid w:val="000607C1"/>
    <w:rsid w:val="000607CC"/>
    <w:rsid w:val="00060867"/>
    <w:rsid w:val="0006088B"/>
    <w:rsid w:val="000608C7"/>
    <w:rsid w:val="000608E1"/>
    <w:rsid w:val="0006092E"/>
    <w:rsid w:val="000609C5"/>
    <w:rsid w:val="00060A0C"/>
    <w:rsid w:val="00060A3B"/>
    <w:rsid w:val="00060A4F"/>
    <w:rsid w:val="00060A87"/>
    <w:rsid w:val="00060C0B"/>
    <w:rsid w:val="00060C18"/>
    <w:rsid w:val="00060CDD"/>
    <w:rsid w:val="00060D58"/>
    <w:rsid w:val="00060DA3"/>
    <w:rsid w:val="00060E5C"/>
    <w:rsid w:val="00060E7E"/>
    <w:rsid w:val="00060E83"/>
    <w:rsid w:val="00060ECD"/>
    <w:rsid w:val="00060EFC"/>
    <w:rsid w:val="00060EFE"/>
    <w:rsid w:val="00060FDF"/>
    <w:rsid w:val="0006102A"/>
    <w:rsid w:val="0006108C"/>
    <w:rsid w:val="000610E5"/>
    <w:rsid w:val="00061104"/>
    <w:rsid w:val="0006111A"/>
    <w:rsid w:val="000611FC"/>
    <w:rsid w:val="00061215"/>
    <w:rsid w:val="0006130E"/>
    <w:rsid w:val="0006131D"/>
    <w:rsid w:val="00061366"/>
    <w:rsid w:val="00061378"/>
    <w:rsid w:val="0006143B"/>
    <w:rsid w:val="00061495"/>
    <w:rsid w:val="000614AC"/>
    <w:rsid w:val="000614B2"/>
    <w:rsid w:val="0006156B"/>
    <w:rsid w:val="000615D5"/>
    <w:rsid w:val="0006160B"/>
    <w:rsid w:val="00061610"/>
    <w:rsid w:val="00061623"/>
    <w:rsid w:val="00061883"/>
    <w:rsid w:val="000618B2"/>
    <w:rsid w:val="0006195B"/>
    <w:rsid w:val="00061A00"/>
    <w:rsid w:val="00061A9B"/>
    <w:rsid w:val="00061AED"/>
    <w:rsid w:val="00061AF1"/>
    <w:rsid w:val="00061B07"/>
    <w:rsid w:val="00061B96"/>
    <w:rsid w:val="00061BB6"/>
    <w:rsid w:val="00061BC2"/>
    <w:rsid w:val="00061CB5"/>
    <w:rsid w:val="00061D72"/>
    <w:rsid w:val="00061DAD"/>
    <w:rsid w:val="00061DE8"/>
    <w:rsid w:val="00061E1B"/>
    <w:rsid w:val="00061E72"/>
    <w:rsid w:val="00061E88"/>
    <w:rsid w:val="00061E92"/>
    <w:rsid w:val="00061E99"/>
    <w:rsid w:val="00062060"/>
    <w:rsid w:val="000620BA"/>
    <w:rsid w:val="00062156"/>
    <w:rsid w:val="0006216E"/>
    <w:rsid w:val="000621BB"/>
    <w:rsid w:val="000621E6"/>
    <w:rsid w:val="00062216"/>
    <w:rsid w:val="00062241"/>
    <w:rsid w:val="00062301"/>
    <w:rsid w:val="0006231C"/>
    <w:rsid w:val="0006238B"/>
    <w:rsid w:val="00062450"/>
    <w:rsid w:val="00062497"/>
    <w:rsid w:val="000624B5"/>
    <w:rsid w:val="0006251E"/>
    <w:rsid w:val="0006251F"/>
    <w:rsid w:val="00062556"/>
    <w:rsid w:val="00062590"/>
    <w:rsid w:val="000625B3"/>
    <w:rsid w:val="00062716"/>
    <w:rsid w:val="000627BD"/>
    <w:rsid w:val="000627E2"/>
    <w:rsid w:val="00062874"/>
    <w:rsid w:val="0006293D"/>
    <w:rsid w:val="000629DD"/>
    <w:rsid w:val="00062A07"/>
    <w:rsid w:val="00062A16"/>
    <w:rsid w:val="00062A22"/>
    <w:rsid w:val="00062C38"/>
    <w:rsid w:val="00062C3C"/>
    <w:rsid w:val="00062C77"/>
    <w:rsid w:val="00062CE1"/>
    <w:rsid w:val="00062E5C"/>
    <w:rsid w:val="00062E86"/>
    <w:rsid w:val="00062EC9"/>
    <w:rsid w:val="00062F15"/>
    <w:rsid w:val="00062F2A"/>
    <w:rsid w:val="00063027"/>
    <w:rsid w:val="0006309B"/>
    <w:rsid w:val="00063130"/>
    <w:rsid w:val="0006324B"/>
    <w:rsid w:val="000632C7"/>
    <w:rsid w:val="0006337B"/>
    <w:rsid w:val="000633FC"/>
    <w:rsid w:val="000634FE"/>
    <w:rsid w:val="00063511"/>
    <w:rsid w:val="0006351A"/>
    <w:rsid w:val="0006351B"/>
    <w:rsid w:val="00063581"/>
    <w:rsid w:val="00063623"/>
    <w:rsid w:val="00063643"/>
    <w:rsid w:val="0006366A"/>
    <w:rsid w:val="000636BD"/>
    <w:rsid w:val="000637DC"/>
    <w:rsid w:val="00063837"/>
    <w:rsid w:val="00063840"/>
    <w:rsid w:val="000638DD"/>
    <w:rsid w:val="0006392B"/>
    <w:rsid w:val="000639F3"/>
    <w:rsid w:val="00063A0C"/>
    <w:rsid w:val="00063A84"/>
    <w:rsid w:val="00063AC7"/>
    <w:rsid w:val="00063B08"/>
    <w:rsid w:val="00063C29"/>
    <w:rsid w:val="00063C8E"/>
    <w:rsid w:val="00063C9D"/>
    <w:rsid w:val="00063CA9"/>
    <w:rsid w:val="00063CD9"/>
    <w:rsid w:val="00063D69"/>
    <w:rsid w:val="00063D72"/>
    <w:rsid w:val="00063FAD"/>
    <w:rsid w:val="0006404A"/>
    <w:rsid w:val="000640C9"/>
    <w:rsid w:val="000641B3"/>
    <w:rsid w:val="000641CB"/>
    <w:rsid w:val="000641CE"/>
    <w:rsid w:val="0006423F"/>
    <w:rsid w:val="000643D8"/>
    <w:rsid w:val="00064459"/>
    <w:rsid w:val="0006449B"/>
    <w:rsid w:val="00064525"/>
    <w:rsid w:val="000645B4"/>
    <w:rsid w:val="000645B6"/>
    <w:rsid w:val="00064632"/>
    <w:rsid w:val="00064660"/>
    <w:rsid w:val="000646BC"/>
    <w:rsid w:val="000647F7"/>
    <w:rsid w:val="000647FA"/>
    <w:rsid w:val="00064900"/>
    <w:rsid w:val="000649DA"/>
    <w:rsid w:val="000649FD"/>
    <w:rsid w:val="00064A86"/>
    <w:rsid w:val="00064AEA"/>
    <w:rsid w:val="00064C04"/>
    <w:rsid w:val="00064CAE"/>
    <w:rsid w:val="00064D6B"/>
    <w:rsid w:val="00064DEE"/>
    <w:rsid w:val="00064E73"/>
    <w:rsid w:val="00064EA6"/>
    <w:rsid w:val="00064EAF"/>
    <w:rsid w:val="00064EEE"/>
    <w:rsid w:val="00064F82"/>
    <w:rsid w:val="00064F94"/>
    <w:rsid w:val="00065078"/>
    <w:rsid w:val="00065096"/>
    <w:rsid w:val="00065097"/>
    <w:rsid w:val="000651E7"/>
    <w:rsid w:val="0006550E"/>
    <w:rsid w:val="0006554B"/>
    <w:rsid w:val="00065581"/>
    <w:rsid w:val="0006573E"/>
    <w:rsid w:val="00065747"/>
    <w:rsid w:val="0006578F"/>
    <w:rsid w:val="0006588C"/>
    <w:rsid w:val="0006589E"/>
    <w:rsid w:val="000658BD"/>
    <w:rsid w:val="0006590B"/>
    <w:rsid w:val="0006594E"/>
    <w:rsid w:val="0006596F"/>
    <w:rsid w:val="00065A61"/>
    <w:rsid w:val="00065A9B"/>
    <w:rsid w:val="00065B54"/>
    <w:rsid w:val="00065C78"/>
    <w:rsid w:val="00065C8E"/>
    <w:rsid w:val="00065D8C"/>
    <w:rsid w:val="00065DF6"/>
    <w:rsid w:val="00065E37"/>
    <w:rsid w:val="00065F15"/>
    <w:rsid w:val="00065F39"/>
    <w:rsid w:val="00066050"/>
    <w:rsid w:val="0006617D"/>
    <w:rsid w:val="0006618A"/>
    <w:rsid w:val="0006626A"/>
    <w:rsid w:val="000662A2"/>
    <w:rsid w:val="000662BA"/>
    <w:rsid w:val="0006633C"/>
    <w:rsid w:val="00066343"/>
    <w:rsid w:val="00066398"/>
    <w:rsid w:val="000663E6"/>
    <w:rsid w:val="00066468"/>
    <w:rsid w:val="000664C1"/>
    <w:rsid w:val="000664C7"/>
    <w:rsid w:val="00066510"/>
    <w:rsid w:val="000665FB"/>
    <w:rsid w:val="00066624"/>
    <w:rsid w:val="0006668E"/>
    <w:rsid w:val="000666E1"/>
    <w:rsid w:val="00066704"/>
    <w:rsid w:val="0006683F"/>
    <w:rsid w:val="000668FC"/>
    <w:rsid w:val="000668FD"/>
    <w:rsid w:val="0006691E"/>
    <w:rsid w:val="00066977"/>
    <w:rsid w:val="00066A7E"/>
    <w:rsid w:val="00066A88"/>
    <w:rsid w:val="00066AF3"/>
    <w:rsid w:val="00066B34"/>
    <w:rsid w:val="00066B8A"/>
    <w:rsid w:val="00066B9C"/>
    <w:rsid w:val="00066BE9"/>
    <w:rsid w:val="00066BED"/>
    <w:rsid w:val="00066CAF"/>
    <w:rsid w:val="00066CC8"/>
    <w:rsid w:val="00066D0C"/>
    <w:rsid w:val="00066D6F"/>
    <w:rsid w:val="00066D88"/>
    <w:rsid w:val="00066E9F"/>
    <w:rsid w:val="00066EB3"/>
    <w:rsid w:val="00066F33"/>
    <w:rsid w:val="00066F5E"/>
    <w:rsid w:val="00067004"/>
    <w:rsid w:val="00067013"/>
    <w:rsid w:val="000670BD"/>
    <w:rsid w:val="00067501"/>
    <w:rsid w:val="00067568"/>
    <w:rsid w:val="000675FB"/>
    <w:rsid w:val="000676D3"/>
    <w:rsid w:val="00067746"/>
    <w:rsid w:val="0006777E"/>
    <w:rsid w:val="00067784"/>
    <w:rsid w:val="000677E4"/>
    <w:rsid w:val="00067817"/>
    <w:rsid w:val="0006785C"/>
    <w:rsid w:val="000678A4"/>
    <w:rsid w:val="000678BE"/>
    <w:rsid w:val="000679A0"/>
    <w:rsid w:val="000679C2"/>
    <w:rsid w:val="00067B16"/>
    <w:rsid w:val="00067BDA"/>
    <w:rsid w:val="00067C1B"/>
    <w:rsid w:val="00067CA8"/>
    <w:rsid w:val="00067CE2"/>
    <w:rsid w:val="00067D27"/>
    <w:rsid w:val="00067D83"/>
    <w:rsid w:val="00067E7C"/>
    <w:rsid w:val="00067E9C"/>
    <w:rsid w:val="00067F5E"/>
    <w:rsid w:val="00070013"/>
    <w:rsid w:val="00070059"/>
    <w:rsid w:val="00070158"/>
    <w:rsid w:val="00070236"/>
    <w:rsid w:val="000702B7"/>
    <w:rsid w:val="000702BB"/>
    <w:rsid w:val="00070302"/>
    <w:rsid w:val="00070398"/>
    <w:rsid w:val="00070487"/>
    <w:rsid w:val="00070521"/>
    <w:rsid w:val="000706D7"/>
    <w:rsid w:val="00070773"/>
    <w:rsid w:val="000707F3"/>
    <w:rsid w:val="000707FF"/>
    <w:rsid w:val="0007082C"/>
    <w:rsid w:val="00070860"/>
    <w:rsid w:val="000708AC"/>
    <w:rsid w:val="000708E4"/>
    <w:rsid w:val="00070948"/>
    <w:rsid w:val="000709E5"/>
    <w:rsid w:val="00070AAF"/>
    <w:rsid w:val="00070AB1"/>
    <w:rsid w:val="00070B7D"/>
    <w:rsid w:val="00070BEF"/>
    <w:rsid w:val="00070C98"/>
    <w:rsid w:val="00070CB3"/>
    <w:rsid w:val="00070D72"/>
    <w:rsid w:val="00070E3F"/>
    <w:rsid w:val="00070E6A"/>
    <w:rsid w:val="00070EE4"/>
    <w:rsid w:val="00070F19"/>
    <w:rsid w:val="00070F2D"/>
    <w:rsid w:val="00071033"/>
    <w:rsid w:val="000710EC"/>
    <w:rsid w:val="00071130"/>
    <w:rsid w:val="00071162"/>
    <w:rsid w:val="00071170"/>
    <w:rsid w:val="000711DD"/>
    <w:rsid w:val="000712C0"/>
    <w:rsid w:val="000712D0"/>
    <w:rsid w:val="000712EB"/>
    <w:rsid w:val="00071319"/>
    <w:rsid w:val="0007133E"/>
    <w:rsid w:val="00071441"/>
    <w:rsid w:val="0007146A"/>
    <w:rsid w:val="000714E3"/>
    <w:rsid w:val="0007150F"/>
    <w:rsid w:val="000715D9"/>
    <w:rsid w:val="00071641"/>
    <w:rsid w:val="00071648"/>
    <w:rsid w:val="000716A7"/>
    <w:rsid w:val="000716C7"/>
    <w:rsid w:val="00071716"/>
    <w:rsid w:val="00071852"/>
    <w:rsid w:val="00071913"/>
    <w:rsid w:val="00071A03"/>
    <w:rsid w:val="00071A59"/>
    <w:rsid w:val="00071A8C"/>
    <w:rsid w:val="00071AC7"/>
    <w:rsid w:val="00071B0A"/>
    <w:rsid w:val="00071B62"/>
    <w:rsid w:val="00071BCA"/>
    <w:rsid w:val="00071C1C"/>
    <w:rsid w:val="00071CCF"/>
    <w:rsid w:val="00071CF0"/>
    <w:rsid w:val="00071D0A"/>
    <w:rsid w:val="00071D27"/>
    <w:rsid w:val="00071D28"/>
    <w:rsid w:val="00071D97"/>
    <w:rsid w:val="00071E1D"/>
    <w:rsid w:val="00071E58"/>
    <w:rsid w:val="00071EF3"/>
    <w:rsid w:val="00071F1F"/>
    <w:rsid w:val="00072011"/>
    <w:rsid w:val="00072041"/>
    <w:rsid w:val="0007208D"/>
    <w:rsid w:val="000720D3"/>
    <w:rsid w:val="00072113"/>
    <w:rsid w:val="0007217F"/>
    <w:rsid w:val="0007220D"/>
    <w:rsid w:val="00072236"/>
    <w:rsid w:val="0007228A"/>
    <w:rsid w:val="00072298"/>
    <w:rsid w:val="000722CB"/>
    <w:rsid w:val="000723BA"/>
    <w:rsid w:val="00072439"/>
    <w:rsid w:val="0007245C"/>
    <w:rsid w:val="00072508"/>
    <w:rsid w:val="0007256C"/>
    <w:rsid w:val="00072571"/>
    <w:rsid w:val="000725D3"/>
    <w:rsid w:val="000726A6"/>
    <w:rsid w:val="000726C9"/>
    <w:rsid w:val="00072759"/>
    <w:rsid w:val="000727CA"/>
    <w:rsid w:val="0007282E"/>
    <w:rsid w:val="00072871"/>
    <w:rsid w:val="00072937"/>
    <w:rsid w:val="000729D0"/>
    <w:rsid w:val="00072AA7"/>
    <w:rsid w:val="00072BB5"/>
    <w:rsid w:val="00072C08"/>
    <w:rsid w:val="00072CF6"/>
    <w:rsid w:val="00072E0A"/>
    <w:rsid w:val="00072E18"/>
    <w:rsid w:val="00072E48"/>
    <w:rsid w:val="00072F94"/>
    <w:rsid w:val="00073045"/>
    <w:rsid w:val="00073077"/>
    <w:rsid w:val="000730DF"/>
    <w:rsid w:val="0007314F"/>
    <w:rsid w:val="0007316E"/>
    <w:rsid w:val="000731A5"/>
    <w:rsid w:val="000731B8"/>
    <w:rsid w:val="00073232"/>
    <w:rsid w:val="00073280"/>
    <w:rsid w:val="0007329D"/>
    <w:rsid w:val="00073346"/>
    <w:rsid w:val="0007339F"/>
    <w:rsid w:val="0007349E"/>
    <w:rsid w:val="000734F5"/>
    <w:rsid w:val="0007362B"/>
    <w:rsid w:val="00073648"/>
    <w:rsid w:val="000736BD"/>
    <w:rsid w:val="00073730"/>
    <w:rsid w:val="0007374E"/>
    <w:rsid w:val="0007377B"/>
    <w:rsid w:val="000737C2"/>
    <w:rsid w:val="0007386B"/>
    <w:rsid w:val="0007389A"/>
    <w:rsid w:val="00073917"/>
    <w:rsid w:val="00073983"/>
    <w:rsid w:val="000739F9"/>
    <w:rsid w:val="00073A00"/>
    <w:rsid w:val="00073A96"/>
    <w:rsid w:val="00073AD1"/>
    <w:rsid w:val="00073AD4"/>
    <w:rsid w:val="00073B54"/>
    <w:rsid w:val="00073BF9"/>
    <w:rsid w:val="00073C3D"/>
    <w:rsid w:val="00073C68"/>
    <w:rsid w:val="00073C9C"/>
    <w:rsid w:val="00073CFB"/>
    <w:rsid w:val="00073DC5"/>
    <w:rsid w:val="00073DC7"/>
    <w:rsid w:val="00073EEC"/>
    <w:rsid w:val="00073F49"/>
    <w:rsid w:val="00073FEC"/>
    <w:rsid w:val="000740B0"/>
    <w:rsid w:val="0007417F"/>
    <w:rsid w:val="000741C6"/>
    <w:rsid w:val="00074314"/>
    <w:rsid w:val="00074368"/>
    <w:rsid w:val="00074380"/>
    <w:rsid w:val="000743A0"/>
    <w:rsid w:val="000743D1"/>
    <w:rsid w:val="000743E8"/>
    <w:rsid w:val="00074563"/>
    <w:rsid w:val="00074566"/>
    <w:rsid w:val="000745C0"/>
    <w:rsid w:val="000745EA"/>
    <w:rsid w:val="000745F7"/>
    <w:rsid w:val="00074661"/>
    <w:rsid w:val="000746C7"/>
    <w:rsid w:val="00074776"/>
    <w:rsid w:val="000747B2"/>
    <w:rsid w:val="000748A7"/>
    <w:rsid w:val="0007497C"/>
    <w:rsid w:val="0007498E"/>
    <w:rsid w:val="000749F0"/>
    <w:rsid w:val="00074A41"/>
    <w:rsid w:val="00074A61"/>
    <w:rsid w:val="00074A6B"/>
    <w:rsid w:val="00074AE8"/>
    <w:rsid w:val="00074B6E"/>
    <w:rsid w:val="00074BBD"/>
    <w:rsid w:val="00074BF3"/>
    <w:rsid w:val="00074C4F"/>
    <w:rsid w:val="00074CB0"/>
    <w:rsid w:val="00074D32"/>
    <w:rsid w:val="00074D42"/>
    <w:rsid w:val="00074D52"/>
    <w:rsid w:val="00074E2C"/>
    <w:rsid w:val="00074E89"/>
    <w:rsid w:val="00074F58"/>
    <w:rsid w:val="00074F6E"/>
    <w:rsid w:val="00074F93"/>
    <w:rsid w:val="00074F98"/>
    <w:rsid w:val="00074FB8"/>
    <w:rsid w:val="00074FBC"/>
    <w:rsid w:val="00075077"/>
    <w:rsid w:val="00075107"/>
    <w:rsid w:val="00075248"/>
    <w:rsid w:val="000752B5"/>
    <w:rsid w:val="00075385"/>
    <w:rsid w:val="000754C1"/>
    <w:rsid w:val="0007555F"/>
    <w:rsid w:val="0007573A"/>
    <w:rsid w:val="0007581E"/>
    <w:rsid w:val="00075973"/>
    <w:rsid w:val="000759DC"/>
    <w:rsid w:val="00075ABD"/>
    <w:rsid w:val="00075B06"/>
    <w:rsid w:val="00075BFE"/>
    <w:rsid w:val="00075C62"/>
    <w:rsid w:val="00075D1D"/>
    <w:rsid w:val="00075E2D"/>
    <w:rsid w:val="00075E7D"/>
    <w:rsid w:val="00076065"/>
    <w:rsid w:val="00076172"/>
    <w:rsid w:val="00076179"/>
    <w:rsid w:val="00076219"/>
    <w:rsid w:val="00076238"/>
    <w:rsid w:val="000762AE"/>
    <w:rsid w:val="000762F5"/>
    <w:rsid w:val="00076352"/>
    <w:rsid w:val="000763A3"/>
    <w:rsid w:val="000763E9"/>
    <w:rsid w:val="00076400"/>
    <w:rsid w:val="00076416"/>
    <w:rsid w:val="0007643E"/>
    <w:rsid w:val="000764E3"/>
    <w:rsid w:val="00076565"/>
    <w:rsid w:val="000765EF"/>
    <w:rsid w:val="00076637"/>
    <w:rsid w:val="000767FD"/>
    <w:rsid w:val="00076812"/>
    <w:rsid w:val="000768DF"/>
    <w:rsid w:val="00076904"/>
    <w:rsid w:val="000769B2"/>
    <w:rsid w:val="000769BD"/>
    <w:rsid w:val="000769FB"/>
    <w:rsid w:val="00076B0C"/>
    <w:rsid w:val="00076C19"/>
    <w:rsid w:val="00076C40"/>
    <w:rsid w:val="00076C6D"/>
    <w:rsid w:val="00076D72"/>
    <w:rsid w:val="00076DE1"/>
    <w:rsid w:val="00076E08"/>
    <w:rsid w:val="00076ECA"/>
    <w:rsid w:val="00076EF0"/>
    <w:rsid w:val="00076F2B"/>
    <w:rsid w:val="00076F61"/>
    <w:rsid w:val="00076FD1"/>
    <w:rsid w:val="0007700F"/>
    <w:rsid w:val="00077017"/>
    <w:rsid w:val="0007702A"/>
    <w:rsid w:val="0007716D"/>
    <w:rsid w:val="0007717B"/>
    <w:rsid w:val="000771F5"/>
    <w:rsid w:val="00077231"/>
    <w:rsid w:val="00077318"/>
    <w:rsid w:val="0007737E"/>
    <w:rsid w:val="000773AD"/>
    <w:rsid w:val="000774FB"/>
    <w:rsid w:val="000775C0"/>
    <w:rsid w:val="000775CF"/>
    <w:rsid w:val="00077650"/>
    <w:rsid w:val="00077695"/>
    <w:rsid w:val="000776C9"/>
    <w:rsid w:val="0007776A"/>
    <w:rsid w:val="000777BE"/>
    <w:rsid w:val="000777E2"/>
    <w:rsid w:val="000778CE"/>
    <w:rsid w:val="0007790E"/>
    <w:rsid w:val="00077AF3"/>
    <w:rsid w:val="00077B4F"/>
    <w:rsid w:val="00077B9A"/>
    <w:rsid w:val="00077B9B"/>
    <w:rsid w:val="00077C19"/>
    <w:rsid w:val="00077C65"/>
    <w:rsid w:val="00077D1B"/>
    <w:rsid w:val="00077DAD"/>
    <w:rsid w:val="00077DDE"/>
    <w:rsid w:val="00077E8B"/>
    <w:rsid w:val="00077EF8"/>
    <w:rsid w:val="00077F1A"/>
    <w:rsid w:val="00077F28"/>
    <w:rsid w:val="00077F4B"/>
    <w:rsid w:val="00077F93"/>
    <w:rsid w:val="00080119"/>
    <w:rsid w:val="00080145"/>
    <w:rsid w:val="00080161"/>
    <w:rsid w:val="00080189"/>
    <w:rsid w:val="000801DE"/>
    <w:rsid w:val="00080215"/>
    <w:rsid w:val="0008026B"/>
    <w:rsid w:val="0008029F"/>
    <w:rsid w:val="000802B7"/>
    <w:rsid w:val="000802BD"/>
    <w:rsid w:val="000802FC"/>
    <w:rsid w:val="00080307"/>
    <w:rsid w:val="0008032D"/>
    <w:rsid w:val="0008036A"/>
    <w:rsid w:val="000803D4"/>
    <w:rsid w:val="00080461"/>
    <w:rsid w:val="00080475"/>
    <w:rsid w:val="000804F8"/>
    <w:rsid w:val="0008057F"/>
    <w:rsid w:val="00080598"/>
    <w:rsid w:val="000805AE"/>
    <w:rsid w:val="000805F9"/>
    <w:rsid w:val="0008065A"/>
    <w:rsid w:val="0008065F"/>
    <w:rsid w:val="000806B9"/>
    <w:rsid w:val="000806EC"/>
    <w:rsid w:val="00080713"/>
    <w:rsid w:val="00080767"/>
    <w:rsid w:val="00080797"/>
    <w:rsid w:val="000807B9"/>
    <w:rsid w:val="000807D7"/>
    <w:rsid w:val="0008082E"/>
    <w:rsid w:val="00080908"/>
    <w:rsid w:val="00080999"/>
    <w:rsid w:val="000809C9"/>
    <w:rsid w:val="000809E4"/>
    <w:rsid w:val="000809EC"/>
    <w:rsid w:val="00080A2E"/>
    <w:rsid w:val="00080A2F"/>
    <w:rsid w:val="00080AD5"/>
    <w:rsid w:val="00080B50"/>
    <w:rsid w:val="00080B7F"/>
    <w:rsid w:val="00080BAB"/>
    <w:rsid w:val="00080BB2"/>
    <w:rsid w:val="00080BBC"/>
    <w:rsid w:val="00080BDE"/>
    <w:rsid w:val="00080D6E"/>
    <w:rsid w:val="00080DD2"/>
    <w:rsid w:val="00080DF6"/>
    <w:rsid w:val="00080EF1"/>
    <w:rsid w:val="00080F95"/>
    <w:rsid w:val="00080F98"/>
    <w:rsid w:val="000810A0"/>
    <w:rsid w:val="000810C1"/>
    <w:rsid w:val="00081250"/>
    <w:rsid w:val="00081283"/>
    <w:rsid w:val="0008131C"/>
    <w:rsid w:val="0008131F"/>
    <w:rsid w:val="000813BB"/>
    <w:rsid w:val="00081441"/>
    <w:rsid w:val="0008147E"/>
    <w:rsid w:val="00081738"/>
    <w:rsid w:val="00081806"/>
    <w:rsid w:val="00081829"/>
    <w:rsid w:val="0008184D"/>
    <w:rsid w:val="00081862"/>
    <w:rsid w:val="00081A54"/>
    <w:rsid w:val="00081A8C"/>
    <w:rsid w:val="00081A96"/>
    <w:rsid w:val="00081AAF"/>
    <w:rsid w:val="00081B33"/>
    <w:rsid w:val="00081CB3"/>
    <w:rsid w:val="00081CDC"/>
    <w:rsid w:val="00081CF2"/>
    <w:rsid w:val="00081D3D"/>
    <w:rsid w:val="00081D3E"/>
    <w:rsid w:val="00081D4E"/>
    <w:rsid w:val="00081D88"/>
    <w:rsid w:val="00081DC3"/>
    <w:rsid w:val="00081E81"/>
    <w:rsid w:val="00081E89"/>
    <w:rsid w:val="00081F0B"/>
    <w:rsid w:val="00081F12"/>
    <w:rsid w:val="00081F3B"/>
    <w:rsid w:val="00081F67"/>
    <w:rsid w:val="00081F81"/>
    <w:rsid w:val="0008203A"/>
    <w:rsid w:val="00082056"/>
    <w:rsid w:val="000820AF"/>
    <w:rsid w:val="000820F3"/>
    <w:rsid w:val="00082124"/>
    <w:rsid w:val="000821E0"/>
    <w:rsid w:val="00082205"/>
    <w:rsid w:val="0008223B"/>
    <w:rsid w:val="000823FF"/>
    <w:rsid w:val="0008241A"/>
    <w:rsid w:val="0008247B"/>
    <w:rsid w:val="00082492"/>
    <w:rsid w:val="000824A9"/>
    <w:rsid w:val="00082542"/>
    <w:rsid w:val="000825D9"/>
    <w:rsid w:val="000826C7"/>
    <w:rsid w:val="00082719"/>
    <w:rsid w:val="0008271D"/>
    <w:rsid w:val="000827DB"/>
    <w:rsid w:val="00082908"/>
    <w:rsid w:val="000829A3"/>
    <w:rsid w:val="00082A06"/>
    <w:rsid w:val="00082ADB"/>
    <w:rsid w:val="00082B53"/>
    <w:rsid w:val="00082BD2"/>
    <w:rsid w:val="00082C22"/>
    <w:rsid w:val="00082C43"/>
    <w:rsid w:val="00082D26"/>
    <w:rsid w:val="00082DC5"/>
    <w:rsid w:val="00082DFF"/>
    <w:rsid w:val="00082E14"/>
    <w:rsid w:val="00082E64"/>
    <w:rsid w:val="00082E6D"/>
    <w:rsid w:val="00082EA6"/>
    <w:rsid w:val="00082F92"/>
    <w:rsid w:val="00083010"/>
    <w:rsid w:val="0008302C"/>
    <w:rsid w:val="00083157"/>
    <w:rsid w:val="000831A8"/>
    <w:rsid w:val="000832E5"/>
    <w:rsid w:val="000833A4"/>
    <w:rsid w:val="000833AA"/>
    <w:rsid w:val="000833B7"/>
    <w:rsid w:val="00083406"/>
    <w:rsid w:val="00083528"/>
    <w:rsid w:val="0008353F"/>
    <w:rsid w:val="00083633"/>
    <w:rsid w:val="000836E2"/>
    <w:rsid w:val="000836E3"/>
    <w:rsid w:val="0008376D"/>
    <w:rsid w:val="000839A3"/>
    <w:rsid w:val="000839CB"/>
    <w:rsid w:val="00083A42"/>
    <w:rsid w:val="00083A61"/>
    <w:rsid w:val="00083CD8"/>
    <w:rsid w:val="00083D5A"/>
    <w:rsid w:val="00083DB2"/>
    <w:rsid w:val="00083E4F"/>
    <w:rsid w:val="00083E6E"/>
    <w:rsid w:val="00083E85"/>
    <w:rsid w:val="00083EB1"/>
    <w:rsid w:val="00083EB2"/>
    <w:rsid w:val="00083F64"/>
    <w:rsid w:val="00083FA7"/>
    <w:rsid w:val="0008400C"/>
    <w:rsid w:val="00084057"/>
    <w:rsid w:val="000840C9"/>
    <w:rsid w:val="000840FB"/>
    <w:rsid w:val="00084100"/>
    <w:rsid w:val="00084165"/>
    <w:rsid w:val="00084204"/>
    <w:rsid w:val="00084243"/>
    <w:rsid w:val="00084332"/>
    <w:rsid w:val="0008437C"/>
    <w:rsid w:val="00084400"/>
    <w:rsid w:val="000844B8"/>
    <w:rsid w:val="000844E0"/>
    <w:rsid w:val="0008457B"/>
    <w:rsid w:val="000845BF"/>
    <w:rsid w:val="000845F2"/>
    <w:rsid w:val="0008469B"/>
    <w:rsid w:val="000847A6"/>
    <w:rsid w:val="000847B7"/>
    <w:rsid w:val="00084844"/>
    <w:rsid w:val="00084855"/>
    <w:rsid w:val="00084922"/>
    <w:rsid w:val="00084B65"/>
    <w:rsid w:val="00084B8B"/>
    <w:rsid w:val="00084BE5"/>
    <w:rsid w:val="00084C45"/>
    <w:rsid w:val="00084C78"/>
    <w:rsid w:val="00084CA2"/>
    <w:rsid w:val="00084D01"/>
    <w:rsid w:val="00084D3F"/>
    <w:rsid w:val="00084D6D"/>
    <w:rsid w:val="00084DE2"/>
    <w:rsid w:val="00084E3C"/>
    <w:rsid w:val="00084E40"/>
    <w:rsid w:val="00084E95"/>
    <w:rsid w:val="00084F32"/>
    <w:rsid w:val="00085041"/>
    <w:rsid w:val="0008509B"/>
    <w:rsid w:val="0008523F"/>
    <w:rsid w:val="000852D2"/>
    <w:rsid w:val="00085366"/>
    <w:rsid w:val="0008537F"/>
    <w:rsid w:val="00085387"/>
    <w:rsid w:val="000853BF"/>
    <w:rsid w:val="0008557C"/>
    <w:rsid w:val="0008564A"/>
    <w:rsid w:val="0008564B"/>
    <w:rsid w:val="00085716"/>
    <w:rsid w:val="0008574B"/>
    <w:rsid w:val="00085757"/>
    <w:rsid w:val="00085828"/>
    <w:rsid w:val="00085854"/>
    <w:rsid w:val="0008594D"/>
    <w:rsid w:val="0008596B"/>
    <w:rsid w:val="000859C8"/>
    <w:rsid w:val="000859E4"/>
    <w:rsid w:val="00085A07"/>
    <w:rsid w:val="00085A53"/>
    <w:rsid w:val="00085A87"/>
    <w:rsid w:val="00085A93"/>
    <w:rsid w:val="00085ADE"/>
    <w:rsid w:val="00085B06"/>
    <w:rsid w:val="00085B0E"/>
    <w:rsid w:val="00085B75"/>
    <w:rsid w:val="00085BFA"/>
    <w:rsid w:val="00085BFC"/>
    <w:rsid w:val="00085C47"/>
    <w:rsid w:val="00085C7C"/>
    <w:rsid w:val="00085E93"/>
    <w:rsid w:val="00085EE3"/>
    <w:rsid w:val="00085F3A"/>
    <w:rsid w:val="00085F41"/>
    <w:rsid w:val="00085F8C"/>
    <w:rsid w:val="00085FC1"/>
    <w:rsid w:val="00085FD8"/>
    <w:rsid w:val="000860C8"/>
    <w:rsid w:val="000860D9"/>
    <w:rsid w:val="000860F6"/>
    <w:rsid w:val="00086178"/>
    <w:rsid w:val="000861CD"/>
    <w:rsid w:val="00086224"/>
    <w:rsid w:val="0008634E"/>
    <w:rsid w:val="000863AA"/>
    <w:rsid w:val="000864C1"/>
    <w:rsid w:val="00086573"/>
    <w:rsid w:val="0008657F"/>
    <w:rsid w:val="000865AE"/>
    <w:rsid w:val="0008660B"/>
    <w:rsid w:val="00086694"/>
    <w:rsid w:val="00086717"/>
    <w:rsid w:val="000867BB"/>
    <w:rsid w:val="00086818"/>
    <w:rsid w:val="000868EF"/>
    <w:rsid w:val="00086937"/>
    <w:rsid w:val="00086A34"/>
    <w:rsid w:val="00086A66"/>
    <w:rsid w:val="00086B6E"/>
    <w:rsid w:val="00086B82"/>
    <w:rsid w:val="00086C0E"/>
    <w:rsid w:val="00086CBA"/>
    <w:rsid w:val="00086D2C"/>
    <w:rsid w:val="00086DD9"/>
    <w:rsid w:val="00086E5A"/>
    <w:rsid w:val="00086F1F"/>
    <w:rsid w:val="0008700B"/>
    <w:rsid w:val="000870AE"/>
    <w:rsid w:val="000870FC"/>
    <w:rsid w:val="00087250"/>
    <w:rsid w:val="00087301"/>
    <w:rsid w:val="00087347"/>
    <w:rsid w:val="000873DB"/>
    <w:rsid w:val="0008746A"/>
    <w:rsid w:val="000874D0"/>
    <w:rsid w:val="00087544"/>
    <w:rsid w:val="00087568"/>
    <w:rsid w:val="00087585"/>
    <w:rsid w:val="0008766A"/>
    <w:rsid w:val="00087728"/>
    <w:rsid w:val="00087730"/>
    <w:rsid w:val="000878C3"/>
    <w:rsid w:val="000878F1"/>
    <w:rsid w:val="0008791C"/>
    <w:rsid w:val="0008793A"/>
    <w:rsid w:val="00087987"/>
    <w:rsid w:val="000879F6"/>
    <w:rsid w:val="00087AD3"/>
    <w:rsid w:val="00087B21"/>
    <w:rsid w:val="00087B7A"/>
    <w:rsid w:val="00087C44"/>
    <w:rsid w:val="00087CDE"/>
    <w:rsid w:val="00087D5E"/>
    <w:rsid w:val="00087D6A"/>
    <w:rsid w:val="00087DE3"/>
    <w:rsid w:val="00087F0E"/>
    <w:rsid w:val="00087FF4"/>
    <w:rsid w:val="00090074"/>
    <w:rsid w:val="000900E7"/>
    <w:rsid w:val="00090114"/>
    <w:rsid w:val="0009011A"/>
    <w:rsid w:val="000901E0"/>
    <w:rsid w:val="000901E2"/>
    <w:rsid w:val="0009023E"/>
    <w:rsid w:val="000902A3"/>
    <w:rsid w:val="000902B1"/>
    <w:rsid w:val="000902B2"/>
    <w:rsid w:val="000902C9"/>
    <w:rsid w:val="00090344"/>
    <w:rsid w:val="0009043D"/>
    <w:rsid w:val="00090457"/>
    <w:rsid w:val="00090626"/>
    <w:rsid w:val="000906CF"/>
    <w:rsid w:val="00090765"/>
    <w:rsid w:val="000907F0"/>
    <w:rsid w:val="0009083A"/>
    <w:rsid w:val="00090863"/>
    <w:rsid w:val="00090954"/>
    <w:rsid w:val="00090998"/>
    <w:rsid w:val="000909AB"/>
    <w:rsid w:val="00090A5F"/>
    <w:rsid w:val="00090AFD"/>
    <w:rsid w:val="00090B18"/>
    <w:rsid w:val="00090B27"/>
    <w:rsid w:val="00090B60"/>
    <w:rsid w:val="00090BD8"/>
    <w:rsid w:val="00090D0A"/>
    <w:rsid w:val="00090D3F"/>
    <w:rsid w:val="00090D57"/>
    <w:rsid w:val="00090E15"/>
    <w:rsid w:val="00090E27"/>
    <w:rsid w:val="00090E6B"/>
    <w:rsid w:val="00090EAB"/>
    <w:rsid w:val="00090EDE"/>
    <w:rsid w:val="00090EE4"/>
    <w:rsid w:val="00090F3C"/>
    <w:rsid w:val="00090F9D"/>
    <w:rsid w:val="00090FA5"/>
    <w:rsid w:val="000910E7"/>
    <w:rsid w:val="0009110E"/>
    <w:rsid w:val="000911DB"/>
    <w:rsid w:val="0009122D"/>
    <w:rsid w:val="00091255"/>
    <w:rsid w:val="00091280"/>
    <w:rsid w:val="000913BE"/>
    <w:rsid w:val="0009142A"/>
    <w:rsid w:val="000914B9"/>
    <w:rsid w:val="000914DC"/>
    <w:rsid w:val="000915A2"/>
    <w:rsid w:val="0009162F"/>
    <w:rsid w:val="0009167A"/>
    <w:rsid w:val="000916E5"/>
    <w:rsid w:val="00091714"/>
    <w:rsid w:val="000917CF"/>
    <w:rsid w:val="000917F9"/>
    <w:rsid w:val="00091831"/>
    <w:rsid w:val="0009192A"/>
    <w:rsid w:val="00091982"/>
    <w:rsid w:val="000919A2"/>
    <w:rsid w:val="000919D4"/>
    <w:rsid w:val="00091A14"/>
    <w:rsid w:val="00091A91"/>
    <w:rsid w:val="00091B2F"/>
    <w:rsid w:val="00091B6A"/>
    <w:rsid w:val="00091BE7"/>
    <w:rsid w:val="00091CFB"/>
    <w:rsid w:val="00091D3D"/>
    <w:rsid w:val="00091DCA"/>
    <w:rsid w:val="00091E87"/>
    <w:rsid w:val="00091EC8"/>
    <w:rsid w:val="00091F6F"/>
    <w:rsid w:val="00091F7B"/>
    <w:rsid w:val="00091FA9"/>
    <w:rsid w:val="0009203B"/>
    <w:rsid w:val="000920BF"/>
    <w:rsid w:val="00092152"/>
    <w:rsid w:val="000922BD"/>
    <w:rsid w:val="000922F6"/>
    <w:rsid w:val="00092342"/>
    <w:rsid w:val="00092431"/>
    <w:rsid w:val="00092436"/>
    <w:rsid w:val="00092494"/>
    <w:rsid w:val="00092724"/>
    <w:rsid w:val="00092741"/>
    <w:rsid w:val="0009278C"/>
    <w:rsid w:val="00092816"/>
    <w:rsid w:val="00092867"/>
    <w:rsid w:val="0009286A"/>
    <w:rsid w:val="0009291C"/>
    <w:rsid w:val="0009296D"/>
    <w:rsid w:val="000929F0"/>
    <w:rsid w:val="00092A64"/>
    <w:rsid w:val="00092A7B"/>
    <w:rsid w:val="00092B08"/>
    <w:rsid w:val="00092B4C"/>
    <w:rsid w:val="00092B6D"/>
    <w:rsid w:val="00092BBE"/>
    <w:rsid w:val="00092C27"/>
    <w:rsid w:val="00092C4F"/>
    <w:rsid w:val="00092CC9"/>
    <w:rsid w:val="00092D80"/>
    <w:rsid w:val="00092E92"/>
    <w:rsid w:val="00092EF3"/>
    <w:rsid w:val="00092F5A"/>
    <w:rsid w:val="00092FC4"/>
    <w:rsid w:val="00092FCB"/>
    <w:rsid w:val="00093005"/>
    <w:rsid w:val="00093053"/>
    <w:rsid w:val="0009306B"/>
    <w:rsid w:val="00093073"/>
    <w:rsid w:val="0009311A"/>
    <w:rsid w:val="00093122"/>
    <w:rsid w:val="000931B4"/>
    <w:rsid w:val="0009326E"/>
    <w:rsid w:val="0009328F"/>
    <w:rsid w:val="000932D9"/>
    <w:rsid w:val="000932DB"/>
    <w:rsid w:val="00093377"/>
    <w:rsid w:val="000933CF"/>
    <w:rsid w:val="000934DD"/>
    <w:rsid w:val="000934F3"/>
    <w:rsid w:val="0009354C"/>
    <w:rsid w:val="000935B5"/>
    <w:rsid w:val="00093687"/>
    <w:rsid w:val="000936F6"/>
    <w:rsid w:val="00093703"/>
    <w:rsid w:val="000938D8"/>
    <w:rsid w:val="000939B1"/>
    <w:rsid w:val="000939FE"/>
    <w:rsid w:val="00093A18"/>
    <w:rsid w:val="00093AC4"/>
    <w:rsid w:val="00093C02"/>
    <w:rsid w:val="00093CE1"/>
    <w:rsid w:val="00093CF6"/>
    <w:rsid w:val="00093D24"/>
    <w:rsid w:val="00093D6E"/>
    <w:rsid w:val="00093D85"/>
    <w:rsid w:val="00093DA9"/>
    <w:rsid w:val="00093EE8"/>
    <w:rsid w:val="00093F49"/>
    <w:rsid w:val="00093FA6"/>
    <w:rsid w:val="00094014"/>
    <w:rsid w:val="0009408C"/>
    <w:rsid w:val="000940B6"/>
    <w:rsid w:val="000940C5"/>
    <w:rsid w:val="0009410B"/>
    <w:rsid w:val="0009410F"/>
    <w:rsid w:val="0009414A"/>
    <w:rsid w:val="000941A3"/>
    <w:rsid w:val="000941A8"/>
    <w:rsid w:val="00094263"/>
    <w:rsid w:val="00094389"/>
    <w:rsid w:val="000944A7"/>
    <w:rsid w:val="000945DC"/>
    <w:rsid w:val="000946B9"/>
    <w:rsid w:val="000946BF"/>
    <w:rsid w:val="0009470F"/>
    <w:rsid w:val="000947A0"/>
    <w:rsid w:val="0009485D"/>
    <w:rsid w:val="00094945"/>
    <w:rsid w:val="00094AE7"/>
    <w:rsid w:val="00094B2F"/>
    <w:rsid w:val="00094C2B"/>
    <w:rsid w:val="00094C4C"/>
    <w:rsid w:val="00094CB8"/>
    <w:rsid w:val="00094DD1"/>
    <w:rsid w:val="00094DDE"/>
    <w:rsid w:val="00094FD5"/>
    <w:rsid w:val="00095054"/>
    <w:rsid w:val="000950B5"/>
    <w:rsid w:val="0009528F"/>
    <w:rsid w:val="00095306"/>
    <w:rsid w:val="0009530F"/>
    <w:rsid w:val="0009534C"/>
    <w:rsid w:val="0009535D"/>
    <w:rsid w:val="00095390"/>
    <w:rsid w:val="000953DF"/>
    <w:rsid w:val="000954D0"/>
    <w:rsid w:val="000954EC"/>
    <w:rsid w:val="000954FB"/>
    <w:rsid w:val="0009552E"/>
    <w:rsid w:val="0009554D"/>
    <w:rsid w:val="000955DC"/>
    <w:rsid w:val="000956F1"/>
    <w:rsid w:val="00095837"/>
    <w:rsid w:val="000958B8"/>
    <w:rsid w:val="00095A5C"/>
    <w:rsid w:val="00095AE4"/>
    <w:rsid w:val="00095CA1"/>
    <w:rsid w:val="00095D5A"/>
    <w:rsid w:val="00095ED4"/>
    <w:rsid w:val="00095F2C"/>
    <w:rsid w:val="00095F68"/>
    <w:rsid w:val="00096058"/>
    <w:rsid w:val="0009608D"/>
    <w:rsid w:val="000960C0"/>
    <w:rsid w:val="00096105"/>
    <w:rsid w:val="00096133"/>
    <w:rsid w:val="000961AB"/>
    <w:rsid w:val="00096225"/>
    <w:rsid w:val="0009623F"/>
    <w:rsid w:val="00096241"/>
    <w:rsid w:val="0009637B"/>
    <w:rsid w:val="0009648C"/>
    <w:rsid w:val="000964C4"/>
    <w:rsid w:val="00096541"/>
    <w:rsid w:val="000966BC"/>
    <w:rsid w:val="000966E4"/>
    <w:rsid w:val="0009672B"/>
    <w:rsid w:val="000967C2"/>
    <w:rsid w:val="00096883"/>
    <w:rsid w:val="000968C3"/>
    <w:rsid w:val="000968D9"/>
    <w:rsid w:val="000968FB"/>
    <w:rsid w:val="00096B41"/>
    <w:rsid w:val="00096B71"/>
    <w:rsid w:val="00096BA7"/>
    <w:rsid w:val="00096BB5"/>
    <w:rsid w:val="00096C5B"/>
    <w:rsid w:val="00096D45"/>
    <w:rsid w:val="00096DC5"/>
    <w:rsid w:val="00096E5A"/>
    <w:rsid w:val="00096EC4"/>
    <w:rsid w:val="00096F15"/>
    <w:rsid w:val="00096F3D"/>
    <w:rsid w:val="00096F67"/>
    <w:rsid w:val="00096FF9"/>
    <w:rsid w:val="0009703A"/>
    <w:rsid w:val="0009703C"/>
    <w:rsid w:val="0009704F"/>
    <w:rsid w:val="00097149"/>
    <w:rsid w:val="0009714C"/>
    <w:rsid w:val="0009720B"/>
    <w:rsid w:val="000972A5"/>
    <w:rsid w:val="0009731C"/>
    <w:rsid w:val="000973B3"/>
    <w:rsid w:val="000974C1"/>
    <w:rsid w:val="00097508"/>
    <w:rsid w:val="0009753E"/>
    <w:rsid w:val="0009755B"/>
    <w:rsid w:val="000976AA"/>
    <w:rsid w:val="000976BF"/>
    <w:rsid w:val="00097752"/>
    <w:rsid w:val="000977A4"/>
    <w:rsid w:val="000978D8"/>
    <w:rsid w:val="00097A09"/>
    <w:rsid w:val="00097A27"/>
    <w:rsid w:val="00097A2C"/>
    <w:rsid w:val="00097ACB"/>
    <w:rsid w:val="00097AD0"/>
    <w:rsid w:val="00097EA5"/>
    <w:rsid w:val="00097FB7"/>
    <w:rsid w:val="000A0199"/>
    <w:rsid w:val="000A01A8"/>
    <w:rsid w:val="000A01B9"/>
    <w:rsid w:val="000A021E"/>
    <w:rsid w:val="000A04D4"/>
    <w:rsid w:val="000A054E"/>
    <w:rsid w:val="000A0608"/>
    <w:rsid w:val="000A0640"/>
    <w:rsid w:val="000A064C"/>
    <w:rsid w:val="000A0672"/>
    <w:rsid w:val="000A0673"/>
    <w:rsid w:val="000A06F5"/>
    <w:rsid w:val="000A0730"/>
    <w:rsid w:val="000A0776"/>
    <w:rsid w:val="000A0792"/>
    <w:rsid w:val="000A082D"/>
    <w:rsid w:val="000A0863"/>
    <w:rsid w:val="000A08C5"/>
    <w:rsid w:val="000A091C"/>
    <w:rsid w:val="000A0AD7"/>
    <w:rsid w:val="000A0BBD"/>
    <w:rsid w:val="000A0C71"/>
    <w:rsid w:val="000A0CF6"/>
    <w:rsid w:val="000A0D63"/>
    <w:rsid w:val="000A0D8D"/>
    <w:rsid w:val="000A0E83"/>
    <w:rsid w:val="000A0EBC"/>
    <w:rsid w:val="000A0EE3"/>
    <w:rsid w:val="000A0F64"/>
    <w:rsid w:val="000A0F78"/>
    <w:rsid w:val="000A1012"/>
    <w:rsid w:val="000A1052"/>
    <w:rsid w:val="000A105E"/>
    <w:rsid w:val="000A10D5"/>
    <w:rsid w:val="000A10D9"/>
    <w:rsid w:val="000A131E"/>
    <w:rsid w:val="000A13D7"/>
    <w:rsid w:val="000A13F4"/>
    <w:rsid w:val="000A14C2"/>
    <w:rsid w:val="000A14DC"/>
    <w:rsid w:val="000A154E"/>
    <w:rsid w:val="000A156D"/>
    <w:rsid w:val="000A1654"/>
    <w:rsid w:val="000A17E2"/>
    <w:rsid w:val="000A1874"/>
    <w:rsid w:val="000A1893"/>
    <w:rsid w:val="000A18ED"/>
    <w:rsid w:val="000A1918"/>
    <w:rsid w:val="000A191F"/>
    <w:rsid w:val="000A1947"/>
    <w:rsid w:val="000A19BC"/>
    <w:rsid w:val="000A1A79"/>
    <w:rsid w:val="000A1A8D"/>
    <w:rsid w:val="000A1ACA"/>
    <w:rsid w:val="000A1B3D"/>
    <w:rsid w:val="000A1B4C"/>
    <w:rsid w:val="000A1C4E"/>
    <w:rsid w:val="000A1C6E"/>
    <w:rsid w:val="000A1CFA"/>
    <w:rsid w:val="000A1DBF"/>
    <w:rsid w:val="000A1DF3"/>
    <w:rsid w:val="000A1E1B"/>
    <w:rsid w:val="000A1E24"/>
    <w:rsid w:val="000A1E30"/>
    <w:rsid w:val="000A1E3D"/>
    <w:rsid w:val="000A1EB3"/>
    <w:rsid w:val="000A1F68"/>
    <w:rsid w:val="000A1FD3"/>
    <w:rsid w:val="000A204F"/>
    <w:rsid w:val="000A2112"/>
    <w:rsid w:val="000A2148"/>
    <w:rsid w:val="000A214C"/>
    <w:rsid w:val="000A216C"/>
    <w:rsid w:val="000A21AF"/>
    <w:rsid w:val="000A21D6"/>
    <w:rsid w:val="000A2259"/>
    <w:rsid w:val="000A2285"/>
    <w:rsid w:val="000A235D"/>
    <w:rsid w:val="000A244D"/>
    <w:rsid w:val="000A2474"/>
    <w:rsid w:val="000A249D"/>
    <w:rsid w:val="000A24A7"/>
    <w:rsid w:val="000A2512"/>
    <w:rsid w:val="000A2513"/>
    <w:rsid w:val="000A25AC"/>
    <w:rsid w:val="000A25CE"/>
    <w:rsid w:val="000A26EC"/>
    <w:rsid w:val="000A271F"/>
    <w:rsid w:val="000A2725"/>
    <w:rsid w:val="000A272A"/>
    <w:rsid w:val="000A273C"/>
    <w:rsid w:val="000A2807"/>
    <w:rsid w:val="000A2823"/>
    <w:rsid w:val="000A283D"/>
    <w:rsid w:val="000A2921"/>
    <w:rsid w:val="000A2961"/>
    <w:rsid w:val="000A29B4"/>
    <w:rsid w:val="000A2A5E"/>
    <w:rsid w:val="000A2AED"/>
    <w:rsid w:val="000A2AF0"/>
    <w:rsid w:val="000A2B67"/>
    <w:rsid w:val="000A2B7C"/>
    <w:rsid w:val="000A2CD4"/>
    <w:rsid w:val="000A30E3"/>
    <w:rsid w:val="000A31F9"/>
    <w:rsid w:val="000A3272"/>
    <w:rsid w:val="000A32DB"/>
    <w:rsid w:val="000A32DC"/>
    <w:rsid w:val="000A332F"/>
    <w:rsid w:val="000A33F1"/>
    <w:rsid w:val="000A34C8"/>
    <w:rsid w:val="000A34D2"/>
    <w:rsid w:val="000A34F8"/>
    <w:rsid w:val="000A3534"/>
    <w:rsid w:val="000A355C"/>
    <w:rsid w:val="000A35B1"/>
    <w:rsid w:val="000A36AB"/>
    <w:rsid w:val="000A36D1"/>
    <w:rsid w:val="000A36D5"/>
    <w:rsid w:val="000A36FD"/>
    <w:rsid w:val="000A3702"/>
    <w:rsid w:val="000A373F"/>
    <w:rsid w:val="000A3740"/>
    <w:rsid w:val="000A375F"/>
    <w:rsid w:val="000A37D9"/>
    <w:rsid w:val="000A38DA"/>
    <w:rsid w:val="000A397B"/>
    <w:rsid w:val="000A397E"/>
    <w:rsid w:val="000A398F"/>
    <w:rsid w:val="000A39DA"/>
    <w:rsid w:val="000A39EE"/>
    <w:rsid w:val="000A3A14"/>
    <w:rsid w:val="000A3A8C"/>
    <w:rsid w:val="000A3AA1"/>
    <w:rsid w:val="000A3AC6"/>
    <w:rsid w:val="000A3B2D"/>
    <w:rsid w:val="000A3B3F"/>
    <w:rsid w:val="000A3B4F"/>
    <w:rsid w:val="000A3B96"/>
    <w:rsid w:val="000A3C57"/>
    <w:rsid w:val="000A3D0B"/>
    <w:rsid w:val="000A3D17"/>
    <w:rsid w:val="000A3D3C"/>
    <w:rsid w:val="000A3DA3"/>
    <w:rsid w:val="000A3DB8"/>
    <w:rsid w:val="000A3DC7"/>
    <w:rsid w:val="000A3DDF"/>
    <w:rsid w:val="000A3DE7"/>
    <w:rsid w:val="000A3EBA"/>
    <w:rsid w:val="000A3EC0"/>
    <w:rsid w:val="000A3F5D"/>
    <w:rsid w:val="000A3FC1"/>
    <w:rsid w:val="000A3FF2"/>
    <w:rsid w:val="000A4065"/>
    <w:rsid w:val="000A4192"/>
    <w:rsid w:val="000A4196"/>
    <w:rsid w:val="000A42F0"/>
    <w:rsid w:val="000A432B"/>
    <w:rsid w:val="000A43B4"/>
    <w:rsid w:val="000A446B"/>
    <w:rsid w:val="000A44D0"/>
    <w:rsid w:val="000A44E6"/>
    <w:rsid w:val="000A44F0"/>
    <w:rsid w:val="000A4569"/>
    <w:rsid w:val="000A4615"/>
    <w:rsid w:val="000A4646"/>
    <w:rsid w:val="000A469D"/>
    <w:rsid w:val="000A472A"/>
    <w:rsid w:val="000A47F5"/>
    <w:rsid w:val="000A47FA"/>
    <w:rsid w:val="000A49BC"/>
    <w:rsid w:val="000A4AE1"/>
    <w:rsid w:val="000A4B28"/>
    <w:rsid w:val="000A4B67"/>
    <w:rsid w:val="000A4C25"/>
    <w:rsid w:val="000A4CC9"/>
    <w:rsid w:val="000A4D02"/>
    <w:rsid w:val="000A4D2E"/>
    <w:rsid w:val="000A4D75"/>
    <w:rsid w:val="000A4FB8"/>
    <w:rsid w:val="000A4FBB"/>
    <w:rsid w:val="000A4FFA"/>
    <w:rsid w:val="000A5007"/>
    <w:rsid w:val="000A5017"/>
    <w:rsid w:val="000A506B"/>
    <w:rsid w:val="000A518A"/>
    <w:rsid w:val="000A51A2"/>
    <w:rsid w:val="000A51BE"/>
    <w:rsid w:val="000A5222"/>
    <w:rsid w:val="000A5280"/>
    <w:rsid w:val="000A5311"/>
    <w:rsid w:val="000A53A4"/>
    <w:rsid w:val="000A53BB"/>
    <w:rsid w:val="000A5424"/>
    <w:rsid w:val="000A5669"/>
    <w:rsid w:val="000A5719"/>
    <w:rsid w:val="000A5895"/>
    <w:rsid w:val="000A58FD"/>
    <w:rsid w:val="000A59D1"/>
    <w:rsid w:val="000A59FA"/>
    <w:rsid w:val="000A5A0F"/>
    <w:rsid w:val="000A5A49"/>
    <w:rsid w:val="000A5A87"/>
    <w:rsid w:val="000A5ACA"/>
    <w:rsid w:val="000A5B23"/>
    <w:rsid w:val="000A5BD1"/>
    <w:rsid w:val="000A5BF6"/>
    <w:rsid w:val="000A5C4A"/>
    <w:rsid w:val="000A5C8B"/>
    <w:rsid w:val="000A5D82"/>
    <w:rsid w:val="000A5DB1"/>
    <w:rsid w:val="000A5DD2"/>
    <w:rsid w:val="000A5EA4"/>
    <w:rsid w:val="000A5F21"/>
    <w:rsid w:val="000A5F6F"/>
    <w:rsid w:val="000A5FAA"/>
    <w:rsid w:val="000A5FB0"/>
    <w:rsid w:val="000A60D7"/>
    <w:rsid w:val="000A613B"/>
    <w:rsid w:val="000A6183"/>
    <w:rsid w:val="000A622C"/>
    <w:rsid w:val="000A6266"/>
    <w:rsid w:val="000A627D"/>
    <w:rsid w:val="000A62E7"/>
    <w:rsid w:val="000A6319"/>
    <w:rsid w:val="000A634F"/>
    <w:rsid w:val="000A6422"/>
    <w:rsid w:val="000A646E"/>
    <w:rsid w:val="000A6555"/>
    <w:rsid w:val="000A65B4"/>
    <w:rsid w:val="000A65BA"/>
    <w:rsid w:val="000A65FD"/>
    <w:rsid w:val="000A663D"/>
    <w:rsid w:val="000A667D"/>
    <w:rsid w:val="000A66A5"/>
    <w:rsid w:val="000A66A8"/>
    <w:rsid w:val="000A6765"/>
    <w:rsid w:val="000A6774"/>
    <w:rsid w:val="000A6827"/>
    <w:rsid w:val="000A694C"/>
    <w:rsid w:val="000A697E"/>
    <w:rsid w:val="000A6A3E"/>
    <w:rsid w:val="000A6BDD"/>
    <w:rsid w:val="000A6C46"/>
    <w:rsid w:val="000A6C64"/>
    <w:rsid w:val="000A6E74"/>
    <w:rsid w:val="000A6F52"/>
    <w:rsid w:val="000A70EC"/>
    <w:rsid w:val="000A716F"/>
    <w:rsid w:val="000A7275"/>
    <w:rsid w:val="000A7321"/>
    <w:rsid w:val="000A7427"/>
    <w:rsid w:val="000A7465"/>
    <w:rsid w:val="000A7493"/>
    <w:rsid w:val="000A75A8"/>
    <w:rsid w:val="000A75E1"/>
    <w:rsid w:val="000A7634"/>
    <w:rsid w:val="000A763C"/>
    <w:rsid w:val="000A76E0"/>
    <w:rsid w:val="000A76FE"/>
    <w:rsid w:val="000A770A"/>
    <w:rsid w:val="000A7727"/>
    <w:rsid w:val="000A77B0"/>
    <w:rsid w:val="000A7803"/>
    <w:rsid w:val="000A782D"/>
    <w:rsid w:val="000A78E6"/>
    <w:rsid w:val="000A79F1"/>
    <w:rsid w:val="000A7A6C"/>
    <w:rsid w:val="000A7A7C"/>
    <w:rsid w:val="000A7BD8"/>
    <w:rsid w:val="000A7C07"/>
    <w:rsid w:val="000A7D0E"/>
    <w:rsid w:val="000A7D5A"/>
    <w:rsid w:val="000A7DB7"/>
    <w:rsid w:val="000A7EA0"/>
    <w:rsid w:val="000A7F2F"/>
    <w:rsid w:val="000A7F50"/>
    <w:rsid w:val="000B000E"/>
    <w:rsid w:val="000B00B1"/>
    <w:rsid w:val="000B01C4"/>
    <w:rsid w:val="000B0231"/>
    <w:rsid w:val="000B0268"/>
    <w:rsid w:val="000B0332"/>
    <w:rsid w:val="000B0374"/>
    <w:rsid w:val="000B03CF"/>
    <w:rsid w:val="000B04BF"/>
    <w:rsid w:val="000B04E9"/>
    <w:rsid w:val="000B0511"/>
    <w:rsid w:val="000B051E"/>
    <w:rsid w:val="000B0549"/>
    <w:rsid w:val="000B057D"/>
    <w:rsid w:val="000B05E1"/>
    <w:rsid w:val="000B05F0"/>
    <w:rsid w:val="000B0686"/>
    <w:rsid w:val="000B068B"/>
    <w:rsid w:val="000B0722"/>
    <w:rsid w:val="000B07FD"/>
    <w:rsid w:val="000B088A"/>
    <w:rsid w:val="000B0AA8"/>
    <w:rsid w:val="000B0BD8"/>
    <w:rsid w:val="000B0C8C"/>
    <w:rsid w:val="000B0CBE"/>
    <w:rsid w:val="000B0CC4"/>
    <w:rsid w:val="000B0D26"/>
    <w:rsid w:val="000B0E16"/>
    <w:rsid w:val="000B0E2E"/>
    <w:rsid w:val="000B0E54"/>
    <w:rsid w:val="000B0E88"/>
    <w:rsid w:val="000B1087"/>
    <w:rsid w:val="000B10B3"/>
    <w:rsid w:val="000B10BC"/>
    <w:rsid w:val="000B10E1"/>
    <w:rsid w:val="000B1111"/>
    <w:rsid w:val="000B111E"/>
    <w:rsid w:val="000B1167"/>
    <w:rsid w:val="000B118B"/>
    <w:rsid w:val="000B119A"/>
    <w:rsid w:val="000B11E3"/>
    <w:rsid w:val="000B121A"/>
    <w:rsid w:val="000B126B"/>
    <w:rsid w:val="000B1315"/>
    <w:rsid w:val="000B13C8"/>
    <w:rsid w:val="000B1471"/>
    <w:rsid w:val="000B14AC"/>
    <w:rsid w:val="000B164B"/>
    <w:rsid w:val="000B16E0"/>
    <w:rsid w:val="000B1707"/>
    <w:rsid w:val="000B183E"/>
    <w:rsid w:val="000B19E4"/>
    <w:rsid w:val="000B1AD9"/>
    <w:rsid w:val="000B1B92"/>
    <w:rsid w:val="000B1BDB"/>
    <w:rsid w:val="000B1C0E"/>
    <w:rsid w:val="000B1C47"/>
    <w:rsid w:val="000B1C6D"/>
    <w:rsid w:val="000B1D58"/>
    <w:rsid w:val="000B1D68"/>
    <w:rsid w:val="000B1DD0"/>
    <w:rsid w:val="000B1E38"/>
    <w:rsid w:val="000B1E41"/>
    <w:rsid w:val="000B1EFE"/>
    <w:rsid w:val="000B1F42"/>
    <w:rsid w:val="000B1F73"/>
    <w:rsid w:val="000B1FE4"/>
    <w:rsid w:val="000B2114"/>
    <w:rsid w:val="000B2115"/>
    <w:rsid w:val="000B2134"/>
    <w:rsid w:val="000B219D"/>
    <w:rsid w:val="000B227D"/>
    <w:rsid w:val="000B2301"/>
    <w:rsid w:val="000B2309"/>
    <w:rsid w:val="000B2390"/>
    <w:rsid w:val="000B2395"/>
    <w:rsid w:val="000B2472"/>
    <w:rsid w:val="000B2477"/>
    <w:rsid w:val="000B252F"/>
    <w:rsid w:val="000B2568"/>
    <w:rsid w:val="000B25AF"/>
    <w:rsid w:val="000B2612"/>
    <w:rsid w:val="000B2623"/>
    <w:rsid w:val="000B26CC"/>
    <w:rsid w:val="000B26D8"/>
    <w:rsid w:val="000B2801"/>
    <w:rsid w:val="000B284C"/>
    <w:rsid w:val="000B28C4"/>
    <w:rsid w:val="000B28D8"/>
    <w:rsid w:val="000B2910"/>
    <w:rsid w:val="000B2919"/>
    <w:rsid w:val="000B29A5"/>
    <w:rsid w:val="000B29FB"/>
    <w:rsid w:val="000B2AAD"/>
    <w:rsid w:val="000B2B35"/>
    <w:rsid w:val="000B2B5F"/>
    <w:rsid w:val="000B2BEC"/>
    <w:rsid w:val="000B2C78"/>
    <w:rsid w:val="000B2C80"/>
    <w:rsid w:val="000B2CBB"/>
    <w:rsid w:val="000B2CC8"/>
    <w:rsid w:val="000B2DF5"/>
    <w:rsid w:val="000B2E19"/>
    <w:rsid w:val="000B2E45"/>
    <w:rsid w:val="000B2E6B"/>
    <w:rsid w:val="000B2E76"/>
    <w:rsid w:val="000B2EB0"/>
    <w:rsid w:val="000B2ED0"/>
    <w:rsid w:val="000B2F07"/>
    <w:rsid w:val="000B2F0F"/>
    <w:rsid w:val="000B300B"/>
    <w:rsid w:val="000B3066"/>
    <w:rsid w:val="000B30C9"/>
    <w:rsid w:val="000B30CE"/>
    <w:rsid w:val="000B3146"/>
    <w:rsid w:val="000B3173"/>
    <w:rsid w:val="000B3182"/>
    <w:rsid w:val="000B3286"/>
    <w:rsid w:val="000B328B"/>
    <w:rsid w:val="000B3296"/>
    <w:rsid w:val="000B32CF"/>
    <w:rsid w:val="000B32FA"/>
    <w:rsid w:val="000B3503"/>
    <w:rsid w:val="000B3532"/>
    <w:rsid w:val="000B3557"/>
    <w:rsid w:val="000B3594"/>
    <w:rsid w:val="000B3644"/>
    <w:rsid w:val="000B3689"/>
    <w:rsid w:val="000B36AF"/>
    <w:rsid w:val="000B3730"/>
    <w:rsid w:val="000B37C1"/>
    <w:rsid w:val="000B37E1"/>
    <w:rsid w:val="000B39C8"/>
    <w:rsid w:val="000B39F8"/>
    <w:rsid w:val="000B3A30"/>
    <w:rsid w:val="000B3B62"/>
    <w:rsid w:val="000B3C56"/>
    <w:rsid w:val="000B3C76"/>
    <w:rsid w:val="000B3CB4"/>
    <w:rsid w:val="000B3D73"/>
    <w:rsid w:val="000B3D76"/>
    <w:rsid w:val="000B3DBD"/>
    <w:rsid w:val="000B3E5E"/>
    <w:rsid w:val="000B3ED5"/>
    <w:rsid w:val="000B3F8E"/>
    <w:rsid w:val="000B3FB4"/>
    <w:rsid w:val="000B400F"/>
    <w:rsid w:val="000B404F"/>
    <w:rsid w:val="000B40CC"/>
    <w:rsid w:val="000B41C9"/>
    <w:rsid w:val="000B420C"/>
    <w:rsid w:val="000B4219"/>
    <w:rsid w:val="000B4291"/>
    <w:rsid w:val="000B42A4"/>
    <w:rsid w:val="000B4326"/>
    <w:rsid w:val="000B436B"/>
    <w:rsid w:val="000B43B4"/>
    <w:rsid w:val="000B4406"/>
    <w:rsid w:val="000B4463"/>
    <w:rsid w:val="000B448F"/>
    <w:rsid w:val="000B44DF"/>
    <w:rsid w:val="000B454D"/>
    <w:rsid w:val="000B45DE"/>
    <w:rsid w:val="000B4621"/>
    <w:rsid w:val="000B466A"/>
    <w:rsid w:val="000B46E1"/>
    <w:rsid w:val="000B478F"/>
    <w:rsid w:val="000B4890"/>
    <w:rsid w:val="000B48DC"/>
    <w:rsid w:val="000B48E4"/>
    <w:rsid w:val="000B49C9"/>
    <w:rsid w:val="000B4A2E"/>
    <w:rsid w:val="000B4ACB"/>
    <w:rsid w:val="000B4BB4"/>
    <w:rsid w:val="000B4C1B"/>
    <w:rsid w:val="000B4C2B"/>
    <w:rsid w:val="000B4D55"/>
    <w:rsid w:val="000B4D95"/>
    <w:rsid w:val="000B4F22"/>
    <w:rsid w:val="000B4F79"/>
    <w:rsid w:val="000B4F9B"/>
    <w:rsid w:val="000B4FC2"/>
    <w:rsid w:val="000B4FD3"/>
    <w:rsid w:val="000B503C"/>
    <w:rsid w:val="000B50BE"/>
    <w:rsid w:val="000B514D"/>
    <w:rsid w:val="000B5161"/>
    <w:rsid w:val="000B51CB"/>
    <w:rsid w:val="000B53A6"/>
    <w:rsid w:val="000B53F7"/>
    <w:rsid w:val="000B570C"/>
    <w:rsid w:val="000B5719"/>
    <w:rsid w:val="000B57FC"/>
    <w:rsid w:val="000B585A"/>
    <w:rsid w:val="000B5897"/>
    <w:rsid w:val="000B58BC"/>
    <w:rsid w:val="000B5A0A"/>
    <w:rsid w:val="000B5C9E"/>
    <w:rsid w:val="000B5D64"/>
    <w:rsid w:val="000B5D9B"/>
    <w:rsid w:val="000B5EF7"/>
    <w:rsid w:val="000B5F19"/>
    <w:rsid w:val="000B5FB0"/>
    <w:rsid w:val="000B6046"/>
    <w:rsid w:val="000B61C7"/>
    <w:rsid w:val="000B625A"/>
    <w:rsid w:val="000B636B"/>
    <w:rsid w:val="000B6384"/>
    <w:rsid w:val="000B63C0"/>
    <w:rsid w:val="000B6469"/>
    <w:rsid w:val="000B647E"/>
    <w:rsid w:val="000B65C0"/>
    <w:rsid w:val="000B65EC"/>
    <w:rsid w:val="000B66D7"/>
    <w:rsid w:val="000B66EA"/>
    <w:rsid w:val="000B67E4"/>
    <w:rsid w:val="000B689F"/>
    <w:rsid w:val="000B68EC"/>
    <w:rsid w:val="000B68F6"/>
    <w:rsid w:val="000B691A"/>
    <w:rsid w:val="000B6947"/>
    <w:rsid w:val="000B6A44"/>
    <w:rsid w:val="000B6A7B"/>
    <w:rsid w:val="000B6A84"/>
    <w:rsid w:val="000B6A90"/>
    <w:rsid w:val="000B6AC8"/>
    <w:rsid w:val="000B6B66"/>
    <w:rsid w:val="000B6BFB"/>
    <w:rsid w:val="000B6C03"/>
    <w:rsid w:val="000B6C7A"/>
    <w:rsid w:val="000B6C94"/>
    <w:rsid w:val="000B6CDA"/>
    <w:rsid w:val="000B6D07"/>
    <w:rsid w:val="000B6D40"/>
    <w:rsid w:val="000B6E45"/>
    <w:rsid w:val="000B6E64"/>
    <w:rsid w:val="000B6E80"/>
    <w:rsid w:val="000B6EDA"/>
    <w:rsid w:val="000B6EE8"/>
    <w:rsid w:val="000B6F79"/>
    <w:rsid w:val="000B70A9"/>
    <w:rsid w:val="000B70DC"/>
    <w:rsid w:val="000B70E8"/>
    <w:rsid w:val="000B710D"/>
    <w:rsid w:val="000B7132"/>
    <w:rsid w:val="000B71D5"/>
    <w:rsid w:val="000B725C"/>
    <w:rsid w:val="000B735A"/>
    <w:rsid w:val="000B736D"/>
    <w:rsid w:val="000B73C1"/>
    <w:rsid w:val="000B73FD"/>
    <w:rsid w:val="000B7435"/>
    <w:rsid w:val="000B752E"/>
    <w:rsid w:val="000B75B9"/>
    <w:rsid w:val="000B76ED"/>
    <w:rsid w:val="000B7870"/>
    <w:rsid w:val="000B794A"/>
    <w:rsid w:val="000B7991"/>
    <w:rsid w:val="000B79DE"/>
    <w:rsid w:val="000B79FC"/>
    <w:rsid w:val="000B7A9E"/>
    <w:rsid w:val="000B7AC8"/>
    <w:rsid w:val="000B7BCC"/>
    <w:rsid w:val="000B7C75"/>
    <w:rsid w:val="000B7C91"/>
    <w:rsid w:val="000B7CC9"/>
    <w:rsid w:val="000B7E17"/>
    <w:rsid w:val="000B7E7A"/>
    <w:rsid w:val="000B7F2D"/>
    <w:rsid w:val="000B7F42"/>
    <w:rsid w:val="000B7F59"/>
    <w:rsid w:val="000B7F7D"/>
    <w:rsid w:val="000C007C"/>
    <w:rsid w:val="000C00B8"/>
    <w:rsid w:val="000C0135"/>
    <w:rsid w:val="000C014F"/>
    <w:rsid w:val="000C01C5"/>
    <w:rsid w:val="000C0240"/>
    <w:rsid w:val="000C02F2"/>
    <w:rsid w:val="000C02FA"/>
    <w:rsid w:val="000C032D"/>
    <w:rsid w:val="000C035B"/>
    <w:rsid w:val="000C036E"/>
    <w:rsid w:val="000C0393"/>
    <w:rsid w:val="000C0410"/>
    <w:rsid w:val="000C04B6"/>
    <w:rsid w:val="000C0520"/>
    <w:rsid w:val="000C0695"/>
    <w:rsid w:val="000C06E4"/>
    <w:rsid w:val="000C074B"/>
    <w:rsid w:val="000C07B7"/>
    <w:rsid w:val="000C0837"/>
    <w:rsid w:val="000C0842"/>
    <w:rsid w:val="000C0880"/>
    <w:rsid w:val="000C09A7"/>
    <w:rsid w:val="000C09C0"/>
    <w:rsid w:val="000C0A09"/>
    <w:rsid w:val="000C0A5C"/>
    <w:rsid w:val="000C0A77"/>
    <w:rsid w:val="000C0B59"/>
    <w:rsid w:val="000C0B86"/>
    <w:rsid w:val="000C0BAC"/>
    <w:rsid w:val="000C0CDE"/>
    <w:rsid w:val="000C0D80"/>
    <w:rsid w:val="000C0DC0"/>
    <w:rsid w:val="000C0DE4"/>
    <w:rsid w:val="000C0E24"/>
    <w:rsid w:val="000C0E89"/>
    <w:rsid w:val="000C0F4D"/>
    <w:rsid w:val="000C0F8A"/>
    <w:rsid w:val="000C0FB2"/>
    <w:rsid w:val="000C0FBB"/>
    <w:rsid w:val="000C103A"/>
    <w:rsid w:val="000C10A2"/>
    <w:rsid w:val="000C10A7"/>
    <w:rsid w:val="000C112F"/>
    <w:rsid w:val="000C114F"/>
    <w:rsid w:val="000C119F"/>
    <w:rsid w:val="000C12A6"/>
    <w:rsid w:val="000C1369"/>
    <w:rsid w:val="000C13A4"/>
    <w:rsid w:val="000C13FF"/>
    <w:rsid w:val="000C140D"/>
    <w:rsid w:val="000C14BB"/>
    <w:rsid w:val="000C14E4"/>
    <w:rsid w:val="000C1531"/>
    <w:rsid w:val="000C1549"/>
    <w:rsid w:val="000C1630"/>
    <w:rsid w:val="000C163D"/>
    <w:rsid w:val="000C1662"/>
    <w:rsid w:val="000C16B5"/>
    <w:rsid w:val="000C16CE"/>
    <w:rsid w:val="000C16CF"/>
    <w:rsid w:val="000C17D5"/>
    <w:rsid w:val="000C17EB"/>
    <w:rsid w:val="000C1833"/>
    <w:rsid w:val="000C1879"/>
    <w:rsid w:val="000C1883"/>
    <w:rsid w:val="000C18D6"/>
    <w:rsid w:val="000C1A17"/>
    <w:rsid w:val="000C1A5C"/>
    <w:rsid w:val="000C1BAC"/>
    <w:rsid w:val="000C1BFA"/>
    <w:rsid w:val="000C1D38"/>
    <w:rsid w:val="000C1E60"/>
    <w:rsid w:val="000C1ECE"/>
    <w:rsid w:val="000C1FC8"/>
    <w:rsid w:val="000C20DD"/>
    <w:rsid w:val="000C214A"/>
    <w:rsid w:val="000C21E8"/>
    <w:rsid w:val="000C222C"/>
    <w:rsid w:val="000C2296"/>
    <w:rsid w:val="000C22DD"/>
    <w:rsid w:val="000C2461"/>
    <w:rsid w:val="000C246C"/>
    <w:rsid w:val="000C247A"/>
    <w:rsid w:val="000C24CD"/>
    <w:rsid w:val="000C2577"/>
    <w:rsid w:val="000C2583"/>
    <w:rsid w:val="000C25FE"/>
    <w:rsid w:val="000C266D"/>
    <w:rsid w:val="000C270D"/>
    <w:rsid w:val="000C286B"/>
    <w:rsid w:val="000C28A1"/>
    <w:rsid w:val="000C29E3"/>
    <w:rsid w:val="000C2A13"/>
    <w:rsid w:val="000C2A54"/>
    <w:rsid w:val="000C2ABD"/>
    <w:rsid w:val="000C2B24"/>
    <w:rsid w:val="000C2B73"/>
    <w:rsid w:val="000C2B7A"/>
    <w:rsid w:val="000C2B85"/>
    <w:rsid w:val="000C2B9D"/>
    <w:rsid w:val="000C2BDE"/>
    <w:rsid w:val="000C2D07"/>
    <w:rsid w:val="000C2D8B"/>
    <w:rsid w:val="000C2ECB"/>
    <w:rsid w:val="000C2EE6"/>
    <w:rsid w:val="000C2EE7"/>
    <w:rsid w:val="000C2EF0"/>
    <w:rsid w:val="000C2F4E"/>
    <w:rsid w:val="000C2F68"/>
    <w:rsid w:val="000C2F8E"/>
    <w:rsid w:val="000C2F92"/>
    <w:rsid w:val="000C31BA"/>
    <w:rsid w:val="000C322B"/>
    <w:rsid w:val="000C3306"/>
    <w:rsid w:val="000C33E0"/>
    <w:rsid w:val="000C34D0"/>
    <w:rsid w:val="000C364D"/>
    <w:rsid w:val="000C368A"/>
    <w:rsid w:val="000C376D"/>
    <w:rsid w:val="000C37B4"/>
    <w:rsid w:val="000C383F"/>
    <w:rsid w:val="000C389F"/>
    <w:rsid w:val="000C3AFE"/>
    <w:rsid w:val="000C3B63"/>
    <w:rsid w:val="000C3BB2"/>
    <w:rsid w:val="000C3C55"/>
    <w:rsid w:val="000C3C56"/>
    <w:rsid w:val="000C3C78"/>
    <w:rsid w:val="000C3CCE"/>
    <w:rsid w:val="000C3D22"/>
    <w:rsid w:val="000C3D56"/>
    <w:rsid w:val="000C3D71"/>
    <w:rsid w:val="000C3DD7"/>
    <w:rsid w:val="000C3E54"/>
    <w:rsid w:val="000C3E73"/>
    <w:rsid w:val="000C3ED0"/>
    <w:rsid w:val="000C3FC9"/>
    <w:rsid w:val="000C3FE6"/>
    <w:rsid w:val="000C3FE7"/>
    <w:rsid w:val="000C403F"/>
    <w:rsid w:val="000C40D5"/>
    <w:rsid w:val="000C4131"/>
    <w:rsid w:val="000C4156"/>
    <w:rsid w:val="000C41B8"/>
    <w:rsid w:val="000C41F4"/>
    <w:rsid w:val="000C42B1"/>
    <w:rsid w:val="000C42C3"/>
    <w:rsid w:val="000C42DD"/>
    <w:rsid w:val="000C4300"/>
    <w:rsid w:val="000C432B"/>
    <w:rsid w:val="000C4331"/>
    <w:rsid w:val="000C437F"/>
    <w:rsid w:val="000C43C2"/>
    <w:rsid w:val="000C43DC"/>
    <w:rsid w:val="000C454A"/>
    <w:rsid w:val="000C455A"/>
    <w:rsid w:val="000C463A"/>
    <w:rsid w:val="000C466E"/>
    <w:rsid w:val="000C46AF"/>
    <w:rsid w:val="000C4909"/>
    <w:rsid w:val="000C4949"/>
    <w:rsid w:val="000C49A3"/>
    <w:rsid w:val="000C49E9"/>
    <w:rsid w:val="000C49FB"/>
    <w:rsid w:val="000C4A8F"/>
    <w:rsid w:val="000C4B08"/>
    <w:rsid w:val="000C4B49"/>
    <w:rsid w:val="000C4C0D"/>
    <w:rsid w:val="000C4CCC"/>
    <w:rsid w:val="000C4DFF"/>
    <w:rsid w:val="000C4E04"/>
    <w:rsid w:val="000C4E96"/>
    <w:rsid w:val="000C4ED8"/>
    <w:rsid w:val="000C502A"/>
    <w:rsid w:val="000C5099"/>
    <w:rsid w:val="000C5129"/>
    <w:rsid w:val="000C5145"/>
    <w:rsid w:val="000C5158"/>
    <w:rsid w:val="000C51B8"/>
    <w:rsid w:val="000C523F"/>
    <w:rsid w:val="000C5307"/>
    <w:rsid w:val="000C53B5"/>
    <w:rsid w:val="000C5486"/>
    <w:rsid w:val="000C54DF"/>
    <w:rsid w:val="000C5551"/>
    <w:rsid w:val="000C559F"/>
    <w:rsid w:val="000C567B"/>
    <w:rsid w:val="000C56F7"/>
    <w:rsid w:val="000C58BB"/>
    <w:rsid w:val="000C58CF"/>
    <w:rsid w:val="000C5903"/>
    <w:rsid w:val="000C5938"/>
    <w:rsid w:val="000C5946"/>
    <w:rsid w:val="000C59A1"/>
    <w:rsid w:val="000C59D5"/>
    <w:rsid w:val="000C5A73"/>
    <w:rsid w:val="000C5B14"/>
    <w:rsid w:val="000C5B9B"/>
    <w:rsid w:val="000C5BFC"/>
    <w:rsid w:val="000C5C10"/>
    <w:rsid w:val="000C5C2E"/>
    <w:rsid w:val="000C5CDF"/>
    <w:rsid w:val="000C5CFE"/>
    <w:rsid w:val="000C5D4A"/>
    <w:rsid w:val="000C5DBF"/>
    <w:rsid w:val="000C5DC3"/>
    <w:rsid w:val="000C5E6D"/>
    <w:rsid w:val="000C5F06"/>
    <w:rsid w:val="000C60EF"/>
    <w:rsid w:val="000C611B"/>
    <w:rsid w:val="000C615A"/>
    <w:rsid w:val="000C617B"/>
    <w:rsid w:val="000C62A6"/>
    <w:rsid w:val="000C62BA"/>
    <w:rsid w:val="000C62C4"/>
    <w:rsid w:val="000C63AC"/>
    <w:rsid w:val="000C63FB"/>
    <w:rsid w:val="000C6434"/>
    <w:rsid w:val="000C65F4"/>
    <w:rsid w:val="000C66B2"/>
    <w:rsid w:val="000C671F"/>
    <w:rsid w:val="000C6926"/>
    <w:rsid w:val="000C6A45"/>
    <w:rsid w:val="000C6A84"/>
    <w:rsid w:val="000C6AEA"/>
    <w:rsid w:val="000C6D8C"/>
    <w:rsid w:val="000C6E7D"/>
    <w:rsid w:val="000C6F2D"/>
    <w:rsid w:val="000C6F67"/>
    <w:rsid w:val="000C7021"/>
    <w:rsid w:val="000C70CF"/>
    <w:rsid w:val="000C714F"/>
    <w:rsid w:val="000C71EC"/>
    <w:rsid w:val="000C7271"/>
    <w:rsid w:val="000C7283"/>
    <w:rsid w:val="000C72DF"/>
    <w:rsid w:val="000C7352"/>
    <w:rsid w:val="000C7359"/>
    <w:rsid w:val="000C735A"/>
    <w:rsid w:val="000C73ED"/>
    <w:rsid w:val="000C7547"/>
    <w:rsid w:val="000C75AD"/>
    <w:rsid w:val="000C7612"/>
    <w:rsid w:val="000C761D"/>
    <w:rsid w:val="000C7694"/>
    <w:rsid w:val="000C7740"/>
    <w:rsid w:val="000C77AA"/>
    <w:rsid w:val="000C77BA"/>
    <w:rsid w:val="000C77C8"/>
    <w:rsid w:val="000C795C"/>
    <w:rsid w:val="000C7A1E"/>
    <w:rsid w:val="000C7A42"/>
    <w:rsid w:val="000C7A58"/>
    <w:rsid w:val="000C7A64"/>
    <w:rsid w:val="000C7A74"/>
    <w:rsid w:val="000C7A7D"/>
    <w:rsid w:val="000C7A9C"/>
    <w:rsid w:val="000C7AF7"/>
    <w:rsid w:val="000C7BB6"/>
    <w:rsid w:val="000C7D07"/>
    <w:rsid w:val="000C7D1F"/>
    <w:rsid w:val="000C7EC9"/>
    <w:rsid w:val="000C7F1A"/>
    <w:rsid w:val="000C7F5B"/>
    <w:rsid w:val="000C7FD7"/>
    <w:rsid w:val="000D0004"/>
    <w:rsid w:val="000D0078"/>
    <w:rsid w:val="000D00D7"/>
    <w:rsid w:val="000D028B"/>
    <w:rsid w:val="000D0296"/>
    <w:rsid w:val="000D0337"/>
    <w:rsid w:val="000D03B3"/>
    <w:rsid w:val="000D0475"/>
    <w:rsid w:val="000D047D"/>
    <w:rsid w:val="000D049A"/>
    <w:rsid w:val="000D04A4"/>
    <w:rsid w:val="000D04E5"/>
    <w:rsid w:val="000D05B2"/>
    <w:rsid w:val="000D05C4"/>
    <w:rsid w:val="000D07A5"/>
    <w:rsid w:val="000D07C7"/>
    <w:rsid w:val="000D0855"/>
    <w:rsid w:val="000D0877"/>
    <w:rsid w:val="000D094A"/>
    <w:rsid w:val="000D09D7"/>
    <w:rsid w:val="000D09E6"/>
    <w:rsid w:val="000D0A5A"/>
    <w:rsid w:val="000D0A6D"/>
    <w:rsid w:val="000D0A6E"/>
    <w:rsid w:val="000D0A7D"/>
    <w:rsid w:val="000D0A9C"/>
    <w:rsid w:val="000D0AE7"/>
    <w:rsid w:val="000D0B57"/>
    <w:rsid w:val="000D0B67"/>
    <w:rsid w:val="000D0BBD"/>
    <w:rsid w:val="000D0C0C"/>
    <w:rsid w:val="000D0D10"/>
    <w:rsid w:val="000D0D42"/>
    <w:rsid w:val="000D0E8A"/>
    <w:rsid w:val="000D0EAE"/>
    <w:rsid w:val="000D10C3"/>
    <w:rsid w:val="000D1116"/>
    <w:rsid w:val="000D1135"/>
    <w:rsid w:val="000D1178"/>
    <w:rsid w:val="000D119E"/>
    <w:rsid w:val="000D11B2"/>
    <w:rsid w:val="000D11DF"/>
    <w:rsid w:val="000D1261"/>
    <w:rsid w:val="000D1383"/>
    <w:rsid w:val="000D13CA"/>
    <w:rsid w:val="000D13E8"/>
    <w:rsid w:val="000D13F2"/>
    <w:rsid w:val="000D159C"/>
    <w:rsid w:val="000D1693"/>
    <w:rsid w:val="000D16AF"/>
    <w:rsid w:val="000D1738"/>
    <w:rsid w:val="000D1782"/>
    <w:rsid w:val="000D186D"/>
    <w:rsid w:val="000D18ED"/>
    <w:rsid w:val="000D192C"/>
    <w:rsid w:val="000D193F"/>
    <w:rsid w:val="000D1C02"/>
    <w:rsid w:val="000D1C0E"/>
    <w:rsid w:val="000D1C5D"/>
    <w:rsid w:val="000D1C88"/>
    <w:rsid w:val="000D1CE6"/>
    <w:rsid w:val="000D1D17"/>
    <w:rsid w:val="000D1D2F"/>
    <w:rsid w:val="000D1D87"/>
    <w:rsid w:val="000D1DE3"/>
    <w:rsid w:val="000D1F23"/>
    <w:rsid w:val="000D209B"/>
    <w:rsid w:val="000D21C1"/>
    <w:rsid w:val="000D21E0"/>
    <w:rsid w:val="000D2201"/>
    <w:rsid w:val="000D224F"/>
    <w:rsid w:val="000D22CD"/>
    <w:rsid w:val="000D2380"/>
    <w:rsid w:val="000D245E"/>
    <w:rsid w:val="000D24AE"/>
    <w:rsid w:val="000D2652"/>
    <w:rsid w:val="000D2685"/>
    <w:rsid w:val="000D27BE"/>
    <w:rsid w:val="000D28B0"/>
    <w:rsid w:val="000D2B97"/>
    <w:rsid w:val="000D2BAE"/>
    <w:rsid w:val="000D2C28"/>
    <w:rsid w:val="000D2C74"/>
    <w:rsid w:val="000D2CB6"/>
    <w:rsid w:val="000D2CBF"/>
    <w:rsid w:val="000D2D45"/>
    <w:rsid w:val="000D2E22"/>
    <w:rsid w:val="000D2EB7"/>
    <w:rsid w:val="000D2F35"/>
    <w:rsid w:val="000D2F68"/>
    <w:rsid w:val="000D2FA5"/>
    <w:rsid w:val="000D2FCA"/>
    <w:rsid w:val="000D2FE5"/>
    <w:rsid w:val="000D3004"/>
    <w:rsid w:val="000D3025"/>
    <w:rsid w:val="000D30C2"/>
    <w:rsid w:val="000D3168"/>
    <w:rsid w:val="000D31B5"/>
    <w:rsid w:val="000D31CB"/>
    <w:rsid w:val="000D3209"/>
    <w:rsid w:val="000D330E"/>
    <w:rsid w:val="000D3327"/>
    <w:rsid w:val="000D3468"/>
    <w:rsid w:val="000D346E"/>
    <w:rsid w:val="000D350C"/>
    <w:rsid w:val="000D355F"/>
    <w:rsid w:val="000D37B9"/>
    <w:rsid w:val="000D384A"/>
    <w:rsid w:val="000D387F"/>
    <w:rsid w:val="000D38A7"/>
    <w:rsid w:val="000D3940"/>
    <w:rsid w:val="000D394E"/>
    <w:rsid w:val="000D39D4"/>
    <w:rsid w:val="000D3A2A"/>
    <w:rsid w:val="000D3A3F"/>
    <w:rsid w:val="000D3A4A"/>
    <w:rsid w:val="000D3A4B"/>
    <w:rsid w:val="000D3B35"/>
    <w:rsid w:val="000D3BF8"/>
    <w:rsid w:val="000D3BF9"/>
    <w:rsid w:val="000D3CCF"/>
    <w:rsid w:val="000D3CE0"/>
    <w:rsid w:val="000D3CE6"/>
    <w:rsid w:val="000D3DD2"/>
    <w:rsid w:val="000D3DE6"/>
    <w:rsid w:val="000D3E22"/>
    <w:rsid w:val="000D3E71"/>
    <w:rsid w:val="000D3EB9"/>
    <w:rsid w:val="000D3EBB"/>
    <w:rsid w:val="000D3ED7"/>
    <w:rsid w:val="000D3F2A"/>
    <w:rsid w:val="000D3FAE"/>
    <w:rsid w:val="000D3FD2"/>
    <w:rsid w:val="000D4080"/>
    <w:rsid w:val="000D40CC"/>
    <w:rsid w:val="000D4104"/>
    <w:rsid w:val="000D414F"/>
    <w:rsid w:val="000D4168"/>
    <w:rsid w:val="000D4181"/>
    <w:rsid w:val="000D41CF"/>
    <w:rsid w:val="000D4236"/>
    <w:rsid w:val="000D4259"/>
    <w:rsid w:val="000D42C5"/>
    <w:rsid w:val="000D4348"/>
    <w:rsid w:val="000D43C3"/>
    <w:rsid w:val="000D4403"/>
    <w:rsid w:val="000D4426"/>
    <w:rsid w:val="000D4497"/>
    <w:rsid w:val="000D44D0"/>
    <w:rsid w:val="000D4513"/>
    <w:rsid w:val="000D45CB"/>
    <w:rsid w:val="000D45ED"/>
    <w:rsid w:val="000D46AA"/>
    <w:rsid w:val="000D4853"/>
    <w:rsid w:val="000D48C9"/>
    <w:rsid w:val="000D492A"/>
    <w:rsid w:val="000D4943"/>
    <w:rsid w:val="000D4AAF"/>
    <w:rsid w:val="000D4AD9"/>
    <w:rsid w:val="000D4B24"/>
    <w:rsid w:val="000D4B3C"/>
    <w:rsid w:val="000D4BCC"/>
    <w:rsid w:val="000D4C99"/>
    <w:rsid w:val="000D4CB2"/>
    <w:rsid w:val="000D4D77"/>
    <w:rsid w:val="000D4D95"/>
    <w:rsid w:val="000D4DE0"/>
    <w:rsid w:val="000D4E03"/>
    <w:rsid w:val="000D4EBE"/>
    <w:rsid w:val="000D50BE"/>
    <w:rsid w:val="000D51C7"/>
    <w:rsid w:val="000D51CC"/>
    <w:rsid w:val="000D51EC"/>
    <w:rsid w:val="000D520B"/>
    <w:rsid w:val="000D5236"/>
    <w:rsid w:val="000D5331"/>
    <w:rsid w:val="000D538F"/>
    <w:rsid w:val="000D53A3"/>
    <w:rsid w:val="000D53EB"/>
    <w:rsid w:val="000D5421"/>
    <w:rsid w:val="000D5682"/>
    <w:rsid w:val="000D568F"/>
    <w:rsid w:val="000D56E0"/>
    <w:rsid w:val="000D5728"/>
    <w:rsid w:val="000D5809"/>
    <w:rsid w:val="000D58D1"/>
    <w:rsid w:val="000D59B3"/>
    <w:rsid w:val="000D59D5"/>
    <w:rsid w:val="000D5AAB"/>
    <w:rsid w:val="000D5AEF"/>
    <w:rsid w:val="000D5C19"/>
    <w:rsid w:val="000D5C82"/>
    <w:rsid w:val="000D5D06"/>
    <w:rsid w:val="000D5D0A"/>
    <w:rsid w:val="000D5D10"/>
    <w:rsid w:val="000D5D2B"/>
    <w:rsid w:val="000D5D9B"/>
    <w:rsid w:val="000D5E6F"/>
    <w:rsid w:val="000D5F9D"/>
    <w:rsid w:val="000D601E"/>
    <w:rsid w:val="000D6025"/>
    <w:rsid w:val="000D606E"/>
    <w:rsid w:val="000D6080"/>
    <w:rsid w:val="000D60BE"/>
    <w:rsid w:val="000D6100"/>
    <w:rsid w:val="000D615F"/>
    <w:rsid w:val="000D618F"/>
    <w:rsid w:val="000D6260"/>
    <w:rsid w:val="000D6266"/>
    <w:rsid w:val="000D632F"/>
    <w:rsid w:val="000D6339"/>
    <w:rsid w:val="000D63DE"/>
    <w:rsid w:val="000D63F0"/>
    <w:rsid w:val="000D650F"/>
    <w:rsid w:val="000D6523"/>
    <w:rsid w:val="000D6599"/>
    <w:rsid w:val="000D6688"/>
    <w:rsid w:val="000D66CC"/>
    <w:rsid w:val="000D6831"/>
    <w:rsid w:val="000D686B"/>
    <w:rsid w:val="000D688C"/>
    <w:rsid w:val="000D689D"/>
    <w:rsid w:val="000D689E"/>
    <w:rsid w:val="000D68CC"/>
    <w:rsid w:val="000D68D5"/>
    <w:rsid w:val="000D69B7"/>
    <w:rsid w:val="000D6A40"/>
    <w:rsid w:val="000D6A82"/>
    <w:rsid w:val="000D6AA2"/>
    <w:rsid w:val="000D6B44"/>
    <w:rsid w:val="000D6B73"/>
    <w:rsid w:val="000D6B95"/>
    <w:rsid w:val="000D6BE3"/>
    <w:rsid w:val="000D6BF9"/>
    <w:rsid w:val="000D6C47"/>
    <w:rsid w:val="000D6CDB"/>
    <w:rsid w:val="000D6D90"/>
    <w:rsid w:val="000D6E0A"/>
    <w:rsid w:val="000D6F1F"/>
    <w:rsid w:val="000D6F5A"/>
    <w:rsid w:val="000D6FEA"/>
    <w:rsid w:val="000D70C9"/>
    <w:rsid w:val="000D7149"/>
    <w:rsid w:val="000D71F9"/>
    <w:rsid w:val="000D725C"/>
    <w:rsid w:val="000D727D"/>
    <w:rsid w:val="000D734C"/>
    <w:rsid w:val="000D7379"/>
    <w:rsid w:val="000D73C9"/>
    <w:rsid w:val="000D73D6"/>
    <w:rsid w:val="000D74E3"/>
    <w:rsid w:val="000D7569"/>
    <w:rsid w:val="000D7578"/>
    <w:rsid w:val="000D75DD"/>
    <w:rsid w:val="000D76D2"/>
    <w:rsid w:val="000D77B9"/>
    <w:rsid w:val="000D784D"/>
    <w:rsid w:val="000D78CD"/>
    <w:rsid w:val="000D79B5"/>
    <w:rsid w:val="000D79C2"/>
    <w:rsid w:val="000D79EB"/>
    <w:rsid w:val="000D79ED"/>
    <w:rsid w:val="000D7A10"/>
    <w:rsid w:val="000D7CA0"/>
    <w:rsid w:val="000D7D2E"/>
    <w:rsid w:val="000D7DB7"/>
    <w:rsid w:val="000D7E0B"/>
    <w:rsid w:val="000D7FE7"/>
    <w:rsid w:val="000E01E9"/>
    <w:rsid w:val="000E021E"/>
    <w:rsid w:val="000E0267"/>
    <w:rsid w:val="000E02C4"/>
    <w:rsid w:val="000E0338"/>
    <w:rsid w:val="000E0371"/>
    <w:rsid w:val="000E03A9"/>
    <w:rsid w:val="000E04BC"/>
    <w:rsid w:val="000E052C"/>
    <w:rsid w:val="000E0586"/>
    <w:rsid w:val="000E059F"/>
    <w:rsid w:val="000E05AE"/>
    <w:rsid w:val="000E0614"/>
    <w:rsid w:val="000E069B"/>
    <w:rsid w:val="000E0702"/>
    <w:rsid w:val="000E0732"/>
    <w:rsid w:val="000E0758"/>
    <w:rsid w:val="000E0778"/>
    <w:rsid w:val="000E07A9"/>
    <w:rsid w:val="000E07F8"/>
    <w:rsid w:val="000E07FD"/>
    <w:rsid w:val="000E08E8"/>
    <w:rsid w:val="000E0941"/>
    <w:rsid w:val="000E0990"/>
    <w:rsid w:val="000E09B9"/>
    <w:rsid w:val="000E09C0"/>
    <w:rsid w:val="000E09D1"/>
    <w:rsid w:val="000E09E2"/>
    <w:rsid w:val="000E09F3"/>
    <w:rsid w:val="000E0A43"/>
    <w:rsid w:val="000E0B2D"/>
    <w:rsid w:val="000E0C14"/>
    <w:rsid w:val="000E0C44"/>
    <w:rsid w:val="000E0C59"/>
    <w:rsid w:val="000E0C63"/>
    <w:rsid w:val="000E0CA3"/>
    <w:rsid w:val="000E0D24"/>
    <w:rsid w:val="000E0E1B"/>
    <w:rsid w:val="000E0E7F"/>
    <w:rsid w:val="000E0EDF"/>
    <w:rsid w:val="000E0F14"/>
    <w:rsid w:val="000E0F53"/>
    <w:rsid w:val="000E0F8B"/>
    <w:rsid w:val="000E1197"/>
    <w:rsid w:val="000E1224"/>
    <w:rsid w:val="000E1362"/>
    <w:rsid w:val="000E149C"/>
    <w:rsid w:val="000E1506"/>
    <w:rsid w:val="000E1528"/>
    <w:rsid w:val="000E1649"/>
    <w:rsid w:val="000E1667"/>
    <w:rsid w:val="000E16AA"/>
    <w:rsid w:val="000E16E7"/>
    <w:rsid w:val="000E172E"/>
    <w:rsid w:val="000E1792"/>
    <w:rsid w:val="000E17B7"/>
    <w:rsid w:val="000E19A1"/>
    <w:rsid w:val="000E1A56"/>
    <w:rsid w:val="000E1A7D"/>
    <w:rsid w:val="000E1AB6"/>
    <w:rsid w:val="000E1BCE"/>
    <w:rsid w:val="000E1BDB"/>
    <w:rsid w:val="000E1C47"/>
    <w:rsid w:val="000E1CD3"/>
    <w:rsid w:val="000E1CEC"/>
    <w:rsid w:val="000E1D18"/>
    <w:rsid w:val="000E1D97"/>
    <w:rsid w:val="000E1EA2"/>
    <w:rsid w:val="000E1EB4"/>
    <w:rsid w:val="000E1EFB"/>
    <w:rsid w:val="000E1F72"/>
    <w:rsid w:val="000E1F83"/>
    <w:rsid w:val="000E2050"/>
    <w:rsid w:val="000E20C0"/>
    <w:rsid w:val="000E20C2"/>
    <w:rsid w:val="000E20C4"/>
    <w:rsid w:val="000E20E3"/>
    <w:rsid w:val="000E2140"/>
    <w:rsid w:val="000E215A"/>
    <w:rsid w:val="000E21FA"/>
    <w:rsid w:val="000E2235"/>
    <w:rsid w:val="000E22CA"/>
    <w:rsid w:val="000E22E6"/>
    <w:rsid w:val="000E234B"/>
    <w:rsid w:val="000E235F"/>
    <w:rsid w:val="000E2420"/>
    <w:rsid w:val="000E24EB"/>
    <w:rsid w:val="000E25C5"/>
    <w:rsid w:val="000E261F"/>
    <w:rsid w:val="000E264D"/>
    <w:rsid w:val="000E2743"/>
    <w:rsid w:val="000E27A9"/>
    <w:rsid w:val="000E283D"/>
    <w:rsid w:val="000E2894"/>
    <w:rsid w:val="000E28CE"/>
    <w:rsid w:val="000E28D6"/>
    <w:rsid w:val="000E28E3"/>
    <w:rsid w:val="000E291C"/>
    <w:rsid w:val="000E29F5"/>
    <w:rsid w:val="000E2A7C"/>
    <w:rsid w:val="000E2B22"/>
    <w:rsid w:val="000E2B76"/>
    <w:rsid w:val="000E2C70"/>
    <w:rsid w:val="000E2C95"/>
    <w:rsid w:val="000E2CA1"/>
    <w:rsid w:val="000E2CB1"/>
    <w:rsid w:val="000E2CBD"/>
    <w:rsid w:val="000E2CDF"/>
    <w:rsid w:val="000E2D94"/>
    <w:rsid w:val="000E2F2C"/>
    <w:rsid w:val="000E307D"/>
    <w:rsid w:val="000E30E6"/>
    <w:rsid w:val="000E30F0"/>
    <w:rsid w:val="000E30F6"/>
    <w:rsid w:val="000E3147"/>
    <w:rsid w:val="000E31AE"/>
    <w:rsid w:val="000E3279"/>
    <w:rsid w:val="000E3363"/>
    <w:rsid w:val="000E33F1"/>
    <w:rsid w:val="000E3421"/>
    <w:rsid w:val="000E34B5"/>
    <w:rsid w:val="000E3594"/>
    <w:rsid w:val="000E3621"/>
    <w:rsid w:val="000E3639"/>
    <w:rsid w:val="000E3758"/>
    <w:rsid w:val="000E375C"/>
    <w:rsid w:val="000E37A7"/>
    <w:rsid w:val="000E3861"/>
    <w:rsid w:val="000E39CC"/>
    <w:rsid w:val="000E3A05"/>
    <w:rsid w:val="000E3C0A"/>
    <w:rsid w:val="000E3C27"/>
    <w:rsid w:val="000E3C53"/>
    <w:rsid w:val="000E3C88"/>
    <w:rsid w:val="000E3CDC"/>
    <w:rsid w:val="000E3CF6"/>
    <w:rsid w:val="000E3CFE"/>
    <w:rsid w:val="000E3DAE"/>
    <w:rsid w:val="000E3DDB"/>
    <w:rsid w:val="000E3E73"/>
    <w:rsid w:val="000E3E7B"/>
    <w:rsid w:val="000E3EE6"/>
    <w:rsid w:val="000E3FE9"/>
    <w:rsid w:val="000E400B"/>
    <w:rsid w:val="000E40EA"/>
    <w:rsid w:val="000E4121"/>
    <w:rsid w:val="000E41C0"/>
    <w:rsid w:val="000E4268"/>
    <w:rsid w:val="000E4298"/>
    <w:rsid w:val="000E42ED"/>
    <w:rsid w:val="000E42FC"/>
    <w:rsid w:val="000E4327"/>
    <w:rsid w:val="000E4340"/>
    <w:rsid w:val="000E44AB"/>
    <w:rsid w:val="000E473E"/>
    <w:rsid w:val="000E47B8"/>
    <w:rsid w:val="000E4801"/>
    <w:rsid w:val="000E4966"/>
    <w:rsid w:val="000E49A5"/>
    <w:rsid w:val="000E4AF4"/>
    <w:rsid w:val="000E4B86"/>
    <w:rsid w:val="000E4BBA"/>
    <w:rsid w:val="000E4C6E"/>
    <w:rsid w:val="000E4C80"/>
    <w:rsid w:val="000E4CAB"/>
    <w:rsid w:val="000E4E6F"/>
    <w:rsid w:val="000E4E7F"/>
    <w:rsid w:val="000E4F20"/>
    <w:rsid w:val="000E4F3C"/>
    <w:rsid w:val="000E4F8D"/>
    <w:rsid w:val="000E4FD8"/>
    <w:rsid w:val="000E4FF5"/>
    <w:rsid w:val="000E50CD"/>
    <w:rsid w:val="000E5171"/>
    <w:rsid w:val="000E52B8"/>
    <w:rsid w:val="000E5315"/>
    <w:rsid w:val="000E533C"/>
    <w:rsid w:val="000E5576"/>
    <w:rsid w:val="000E5587"/>
    <w:rsid w:val="000E5599"/>
    <w:rsid w:val="000E55B3"/>
    <w:rsid w:val="000E5778"/>
    <w:rsid w:val="000E57A9"/>
    <w:rsid w:val="000E5856"/>
    <w:rsid w:val="000E591A"/>
    <w:rsid w:val="000E5960"/>
    <w:rsid w:val="000E5A1A"/>
    <w:rsid w:val="000E5A26"/>
    <w:rsid w:val="000E5AB1"/>
    <w:rsid w:val="000E5AB8"/>
    <w:rsid w:val="000E5B62"/>
    <w:rsid w:val="000E5BCF"/>
    <w:rsid w:val="000E5C88"/>
    <w:rsid w:val="000E5E9D"/>
    <w:rsid w:val="000E6014"/>
    <w:rsid w:val="000E6210"/>
    <w:rsid w:val="000E638C"/>
    <w:rsid w:val="000E63E9"/>
    <w:rsid w:val="000E6472"/>
    <w:rsid w:val="000E6505"/>
    <w:rsid w:val="000E66A1"/>
    <w:rsid w:val="000E67B3"/>
    <w:rsid w:val="000E67DC"/>
    <w:rsid w:val="000E681D"/>
    <w:rsid w:val="000E6995"/>
    <w:rsid w:val="000E6A00"/>
    <w:rsid w:val="000E6A24"/>
    <w:rsid w:val="000E6A4D"/>
    <w:rsid w:val="000E6B73"/>
    <w:rsid w:val="000E6BC2"/>
    <w:rsid w:val="000E6CC4"/>
    <w:rsid w:val="000E6D30"/>
    <w:rsid w:val="000E6DB9"/>
    <w:rsid w:val="000E6DD3"/>
    <w:rsid w:val="000E6E3E"/>
    <w:rsid w:val="000E6E5E"/>
    <w:rsid w:val="000E6E9E"/>
    <w:rsid w:val="000E6F15"/>
    <w:rsid w:val="000E6F45"/>
    <w:rsid w:val="000E6F5C"/>
    <w:rsid w:val="000E7051"/>
    <w:rsid w:val="000E705E"/>
    <w:rsid w:val="000E711D"/>
    <w:rsid w:val="000E7196"/>
    <w:rsid w:val="000E725A"/>
    <w:rsid w:val="000E725E"/>
    <w:rsid w:val="000E74C4"/>
    <w:rsid w:val="000E762C"/>
    <w:rsid w:val="000E7836"/>
    <w:rsid w:val="000E7917"/>
    <w:rsid w:val="000E792E"/>
    <w:rsid w:val="000E7AA9"/>
    <w:rsid w:val="000E7B6D"/>
    <w:rsid w:val="000E7BBF"/>
    <w:rsid w:val="000E7CE1"/>
    <w:rsid w:val="000E7D95"/>
    <w:rsid w:val="000E7DA2"/>
    <w:rsid w:val="000E7E1E"/>
    <w:rsid w:val="000E7EA5"/>
    <w:rsid w:val="000E7EC1"/>
    <w:rsid w:val="000E7F14"/>
    <w:rsid w:val="000E7F4B"/>
    <w:rsid w:val="000E7FDD"/>
    <w:rsid w:val="000F0141"/>
    <w:rsid w:val="000F016C"/>
    <w:rsid w:val="000F0170"/>
    <w:rsid w:val="000F0279"/>
    <w:rsid w:val="000F032B"/>
    <w:rsid w:val="000F033A"/>
    <w:rsid w:val="000F0349"/>
    <w:rsid w:val="000F0498"/>
    <w:rsid w:val="000F0499"/>
    <w:rsid w:val="000F04AA"/>
    <w:rsid w:val="000F04AF"/>
    <w:rsid w:val="000F04FD"/>
    <w:rsid w:val="000F053D"/>
    <w:rsid w:val="000F05C7"/>
    <w:rsid w:val="000F05D6"/>
    <w:rsid w:val="000F061D"/>
    <w:rsid w:val="000F0640"/>
    <w:rsid w:val="000F0712"/>
    <w:rsid w:val="000F076E"/>
    <w:rsid w:val="000F0789"/>
    <w:rsid w:val="000F07E3"/>
    <w:rsid w:val="000F0846"/>
    <w:rsid w:val="000F08E4"/>
    <w:rsid w:val="000F0AAB"/>
    <w:rsid w:val="000F0C15"/>
    <w:rsid w:val="000F0C6F"/>
    <w:rsid w:val="000F0CA4"/>
    <w:rsid w:val="000F0DC0"/>
    <w:rsid w:val="000F0E9C"/>
    <w:rsid w:val="000F0EC6"/>
    <w:rsid w:val="000F0EDD"/>
    <w:rsid w:val="000F112C"/>
    <w:rsid w:val="000F11C7"/>
    <w:rsid w:val="000F11DC"/>
    <w:rsid w:val="000F121C"/>
    <w:rsid w:val="000F1265"/>
    <w:rsid w:val="000F1274"/>
    <w:rsid w:val="000F12C1"/>
    <w:rsid w:val="000F1334"/>
    <w:rsid w:val="000F136F"/>
    <w:rsid w:val="000F1407"/>
    <w:rsid w:val="000F159D"/>
    <w:rsid w:val="000F15CD"/>
    <w:rsid w:val="000F160A"/>
    <w:rsid w:val="000F1628"/>
    <w:rsid w:val="000F1646"/>
    <w:rsid w:val="000F17A8"/>
    <w:rsid w:val="000F1818"/>
    <w:rsid w:val="000F185B"/>
    <w:rsid w:val="000F189C"/>
    <w:rsid w:val="000F192E"/>
    <w:rsid w:val="000F1A06"/>
    <w:rsid w:val="000F1BB2"/>
    <w:rsid w:val="000F1BBF"/>
    <w:rsid w:val="000F1BE4"/>
    <w:rsid w:val="000F1C14"/>
    <w:rsid w:val="000F1CF0"/>
    <w:rsid w:val="000F1DCE"/>
    <w:rsid w:val="000F1DE1"/>
    <w:rsid w:val="000F1E52"/>
    <w:rsid w:val="000F1EED"/>
    <w:rsid w:val="000F1F79"/>
    <w:rsid w:val="000F1F95"/>
    <w:rsid w:val="000F1F9A"/>
    <w:rsid w:val="000F1FAC"/>
    <w:rsid w:val="000F2041"/>
    <w:rsid w:val="000F2073"/>
    <w:rsid w:val="000F20F7"/>
    <w:rsid w:val="000F21EA"/>
    <w:rsid w:val="000F2203"/>
    <w:rsid w:val="000F227A"/>
    <w:rsid w:val="000F22AF"/>
    <w:rsid w:val="000F2302"/>
    <w:rsid w:val="000F230A"/>
    <w:rsid w:val="000F237D"/>
    <w:rsid w:val="000F23A7"/>
    <w:rsid w:val="000F23E0"/>
    <w:rsid w:val="000F240C"/>
    <w:rsid w:val="000F2426"/>
    <w:rsid w:val="000F245C"/>
    <w:rsid w:val="000F2469"/>
    <w:rsid w:val="000F24C0"/>
    <w:rsid w:val="000F25AE"/>
    <w:rsid w:val="000F25D2"/>
    <w:rsid w:val="000F2643"/>
    <w:rsid w:val="000F2650"/>
    <w:rsid w:val="000F2706"/>
    <w:rsid w:val="000F275E"/>
    <w:rsid w:val="000F2770"/>
    <w:rsid w:val="000F2776"/>
    <w:rsid w:val="000F2822"/>
    <w:rsid w:val="000F2852"/>
    <w:rsid w:val="000F2865"/>
    <w:rsid w:val="000F29CA"/>
    <w:rsid w:val="000F2A6F"/>
    <w:rsid w:val="000F2AAE"/>
    <w:rsid w:val="000F2AEC"/>
    <w:rsid w:val="000F2B3D"/>
    <w:rsid w:val="000F2BEF"/>
    <w:rsid w:val="000F2D0E"/>
    <w:rsid w:val="000F2D4B"/>
    <w:rsid w:val="000F2D52"/>
    <w:rsid w:val="000F2E01"/>
    <w:rsid w:val="000F2E71"/>
    <w:rsid w:val="000F2EAF"/>
    <w:rsid w:val="000F2EC8"/>
    <w:rsid w:val="000F2FD4"/>
    <w:rsid w:val="000F2FF3"/>
    <w:rsid w:val="000F3050"/>
    <w:rsid w:val="000F30C4"/>
    <w:rsid w:val="000F30F1"/>
    <w:rsid w:val="000F3176"/>
    <w:rsid w:val="000F31A8"/>
    <w:rsid w:val="000F32C3"/>
    <w:rsid w:val="000F3372"/>
    <w:rsid w:val="000F33D2"/>
    <w:rsid w:val="000F345B"/>
    <w:rsid w:val="000F3557"/>
    <w:rsid w:val="000F3699"/>
    <w:rsid w:val="000F3705"/>
    <w:rsid w:val="000F373B"/>
    <w:rsid w:val="000F3771"/>
    <w:rsid w:val="000F3788"/>
    <w:rsid w:val="000F3815"/>
    <w:rsid w:val="000F384C"/>
    <w:rsid w:val="000F396D"/>
    <w:rsid w:val="000F3991"/>
    <w:rsid w:val="000F3A7A"/>
    <w:rsid w:val="000F3ACD"/>
    <w:rsid w:val="000F3AE1"/>
    <w:rsid w:val="000F3B0C"/>
    <w:rsid w:val="000F3B86"/>
    <w:rsid w:val="000F3BA1"/>
    <w:rsid w:val="000F3C46"/>
    <w:rsid w:val="000F3C57"/>
    <w:rsid w:val="000F3CC7"/>
    <w:rsid w:val="000F3D0E"/>
    <w:rsid w:val="000F3D4D"/>
    <w:rsid w:val="000F3D64"/>
    <w:rsid w:val="000F3DD7"/>
    <w:rsid w:val="000F3E22"/>
    <w:rsid w:val="000F3E8D"/>
    <w:rsid w:val="000F3EB6"/>
    <w:rsid w:val="000F3F5E"/>
    <w:rsid w:val="000F407D"/>
    <w:rsid w:val="000F40ED"/>
    <w:rsid w:val="000F4116"/>
    <w:rsid w:val="000F4124"/>
    <w:rsid w:val="000F4128"/>
    <w:rsid w:val="000F41FF"/>
    <w:rsid w:val="000F4254"/>
    <w:rsid w:val="000F432E"/>
    <w:rsid w:val="000F437B"/>
    <w:rsid w:val="000F4464"/>
    <w:rsid w:val="000F4492"/>
    <w:rsid w:val="000F464F"/>
    <w:rsid w:val="000F4717"/>
    <w:rsid w:val="000F4796"/>
    <w:rsid w:val="000F47AE"/>
    <w:rsid w:val="000F47D4"/>
    <w:rsid w:val="000F47FA"/>
    <w:rsid w:val="000F485A"/>
    <w:rsid w:val="000F4A1C"/>
    <w:rsid w:val="000F4A24"/>
    <w:rsid w:val="000F4AA0"/>
    <w:rsid w:val="000F4AE7"/>
    <w:rsid w:val="000F4B04"/>
    <w:rsid w:val="000F4B99"/>
    <w:rsid w:val="000F4C74"/>
    <w:rsid w:val="000F4CC7"/>
    <w:rsid w:val="000F4CFF"/>
    <w:rsid w:val="000F4E9F"/>
    <w:rsid w:val="000F4EA8"/>
    <w:rsid w:val="000F4EC6"/>
    <w:rsid w:val="000F4ED5"/>
    <w:rsid w:val="000F4EF3"/>
    <w:rsid w:val="000F4F3F"/>
    <w:rsid w:val="000F501D"/>
    <w:rsid w:val="000F5034"/>
    <w:rsid w:val="000F5077"/>
    <w:rsid w:val="000F50E2"/>
    <w:rsid w:val="000F5101"/>
    <w:rsid w:val="000F5107"/>
    <w:rsid w:val="000F512F"/>
    <w:rsid w:val="000F5223"/>
    <w:rsid w:val="000F526F"/>
    <w:rsid w:val="000F52A6"/>
    <w:rsid w:val="000F52FF"/>
    <w:rsid w:val="000F53BF"/>
    <w:rsid w:val="000F5460"/>
    <w:rsid w:val="000F547F"/>
    <w:rsid w:val="000F5484"/>
    <w:rsid w:val="000F54D1"/>
    <w:rsid w:val="000F54D4"/>
    <w:rsid w:val="000F54E0"/>
    <w:rsid w:val="000F553E"/>
    <w:rsid w:val="000F55F6"/>
    <w:rsid w:val="000F5631"/>
    <w:rsid w:val="000F5685"/>
    <w:rsid w:val="000F5738"/>
    <w:rsid w:val="000F574C"/>
    <w:rsid w:val="000F5773"/>
    <w:rsid w:val="000F5786"/>
    <w:rsid w:val="000F579B"/>
    <w:rsid w:val="000F57DD"/>
    <w:rsid w:val="000F5812"/>
    <w:rsid w:val="000F5863"/>
    <w:rsid w:val="000F587C"/>
    <w:rsid w:val="000F5885"/>
    <w:rsid w:val="000F596D"/>
    <w:rsid w:val="000F5974"/>
    <w:rsid w:val="000F59E5"/>
    <w:rsid w:val="000F5A0F"/>
    <w:rsid w:val="000F5B36"/>
    <w:rsid w:val="000F5BAF"/>
    <w:rsid w:val="000F5C90"/>
    <w:rsid w:val="000F5CCB"/>
    <w:rsid w:val="000F5E01"/>
    <w:rsid w:val="000F5EDE"/>
    <w:rsid w:val="000F5F31"/>
    <w:rsid w:val="000F6003"/>
    <w:rsid w:val="000F603C"/>
    <w:rsid w:val="000F6048"/>
    <w:rsid w:val="000F6070"/>
    <w:rsid w:val="000F60AA"/>
    <w:rsid w:val="000F60F8"/>
    <w:rsid w:val="000F6137"/>
    <w:rsid w:val="000F6198"/>
    <w:rsid w:val="000F61E6"/>
    <w:rsid w:val="000F61EF"/>
    <w:rsid w:val="000F6208"/>
    <w:rsid w:val="000F6249"/>
    <w:rsid w:val="000F624F"/>
    <w:rsid w:val="000F6323"/>
    <w:rsid w:val="000F63B6"/>
    <w:rsid w:val="000F643B"/>
    <w:rsid w:val="000F64DA"/>
    <w:rsid w:val="000F66BC"/>
    <w:rsid w:val="000F6776"/>
    <w:rsid w:val="000F67BE"/>
    <w:rsid w:val="000F68DC"/>
    <w:rsid w:val="000F68F4"/>
    <w:rsid w:val="000F6914"/>
    <w:rsid w:val="000F693E"/>
    <w:rsid w:val="000F6967"/>
    <w:rsid w:val="000F69B9"/>
    <w:rsid w:val="000F6BBE"/>
    <w:rsid w:val="000F6C3B"/>
    <w:rsid w:val="000F6C4D"/>
    <w:rsid w:val="000F6CA7"/>
    <w:rsid w:val="000F6D09"/>
    <w:rsid w:val="000F6D3C"/>
    <w:rsid w:val="000F6D80"/>
    <w:rsid w:val="000F6DAA"/>
    <w:rsid w:val="000F6DFD"/>
    <w:rsid w:val="000F6EA0"/>
    <w:rsid w:val="000F6FB0"/>
    <w:rsid w:val="000F7106"/>
    <w:rsid w:val="000F7149"/>
    <w:rsid w:val="000F7298"/>
    <w:rsid w:val="000F72CD"/>
    <w:rsid w:val="000F7307"/>
    <w:rsid w:val="000F7454"/>
    <w:rsid w:val="000F74A7"/>
    <w:rsid w:val="000F7522"/>
    <w:rsid w:val="000F7540"/>
    <w:rsid w:val="000F75ED"/>
    <w:rsid w:val="000F7636"/>
    <w:rsid w:val="000F7669"/>
    <w:rsid w:val="000F76C0"/>
    <w:rsid w:val="000F772F"/>
    <w:rsid w:val="000F773D"/>
    <w:rsid w:val="000F7A28"/>
    <w:rsid w:val="000F7B9E"/>
    <w:rsid w:val="000F7C78"/>
    <w:rsid w:val="000F7CD3"/>
    <w:rsid w:val="000F7D5A"/>
    <w:rsid w:val="000F7D9B"/>
    <w:rsid w:val="000F7E64"/>
    <w:rsid w:val="000F7EEC"/>
    <w:rsid w:val="000F7F44"/>
    <w:rsid w:val="000F7F4B"/>
    <w:rsid w:val="000F7F60"/>
    <w:rsid w:val="000F7F6B"/>
    <w:rsid w:val="000F7FC9"/>
    <w:rsid w:val="00100034"/>
    <w:rsid w:val="001000B0"/>
    <w:rsid w:val="001000BB"/>
    <w:rsid w:val="001000F0"/>
    <w:rsid w:val="001001AC"/>
    <w:rsid w:val="001001F1"/>
    <w:rsid w:val="001002AE"/>
    <w:rsid w:val="001002D0"/>
    <w:rsid w:val="0010030D"/>
    <w:rsid w:val="0010035E"/>
    <w:rsid w:val="00100440"/>
    <w:rsid w:val="00100500"/>
    <w:rsid w:val="00100520"/>
    <w:rsid w:val="00100531"/>
    <w:rsid w:val="00100537"/>
    <w:rsid w:val="00100567"/>
    <w:rsid w:val="001006E4"/>
    <w:rsid w:val="001006ED"/>
    <w:rsid w:val="001006F8"/>
    <w:rsid w:val="00100780"/>
    <w:rsid w:val="00100831"/>
    <w:rsid w:val="00100878"/>
    <w:rsid w:val="0010090F"/>
    <w:rsid w:val="0010091A"/>
    <w:rsid w:val="00100B17"/>
    <w:rsid w:val="00100B71"/>
    <w:rsid w:val="00100BEE"/>
    <w:rsid w:val="00100D1E"/>
    <w:rsid w:val="00100DCA"/>
    <w:rsid w:val="00100DD1"/>
    <w:rsid w:val="00100E19"/>
    <w:rsid w:val="00100E74"/>
    <w:rsid w:val="00100E80"/>
    <w:rsid w:val="00100ED8"/>
    <w:rsid w:val="00100F84"/>
    <w:rsid w:val="00100F96"/>
    <w:rsid w:val="00100FE3"/>
    <w:rsid w:val="00101135"/>
    <w:rsid w:val="00101171"/>
    <w:rsid w:val="001011DD"/>
    <w:rsid w:val="00101268"/>
    <w:rsid w:val="001012ED"/>
    <w:rsid w:val="0010130F"/>
    <w:rsid w:val="0010132D"/>
    <w:rsid w:val="001013AB"/>
    <w:rsid w:val="001013FA"/>
    <w:rsid w:val="00101432"/>
    <w:rsid w:val="001014D3"/>
    <w:rsid w:val="00101543"/>
    <w:rsid w:val="00101555"/>
    <w:rsid w:val="0010161A"/>
    <w:rsid w:val="001016DB"/>
    <w:rsid w:val="00101735"/>
    <w:rsid w:val="00101740"/>
    <w:rsid w:val="00101787"/>
    <w:rsid w:val="0010178B"/>
    <w:rsid w:val="001017A4"/>
    <w:rsid w:val="001017B3"/>
    <w:rsid w:val="00101808"/>
    <w:rsid w:val="0010183B"/>
    <w:rsid w:val="00101871"/>
    <w:rsid w:val="00101877"/>
    <w:rsid w:val="001018ED"/>
    <w:rsid w:val="00101928"/>
    <w:rsid w:val="0010199A"/>
    <w:rsid w:val="001019C3"/>
    <w:rsid w:val="00101A42"/>
    <w:rsid w:val="00101A66"/>
    <w:rsid w:val="00101B18"/>
    <w:rsid w:val="00101B78"/>
    <w:rsid w:val="00101B80"/>
    <w:rsid w:val="00101BB2"/>
    <w:rsid w:val="00101CDE"/>
    <w:rsid w:val="00101D40"/>
    <w:rsid w:val="00101DE6"/>
    <w:rsid w:val="00101E3E"/>
    <w:rsid w:val="00101EDB"/>
    <w:rsid w:val="00101F3D"/>
    <w:rsid w:val="00102028"/>
    <w:rsid w:val="00102042"/>
    <w:rsid w:val="0010204A"/>
    <w:rsid w:val="0010205F"/>
    <w:rsid w:val="00102163"/>
    <w:rsid w:val="001021CF"/>
    <w:rsid w:val="00102323"/>
    <w:rsid w:val="00102377"/>
    <w:rsid w:val="0010254C"/>
    <w:rsid w:val="00102609"/>
    <w:rsid w:val="001027EC"/>
    <w:rsid w:val="001027F4"/>
    <w:rsid w:val="00102861"/>
    <w:rsid w:val="00102977"/>
    <w:rsid w:val="00102980"/>
    <w:rsid w:val="001029C8"/>
    <w:rsid w:val="00102A49"/>
    <w:rsid w:val="00102A63"/>
    <w:rsid w:val="00102E39"/>
    <w:rsid w:val="00102E4C"/>
    <w:rsid w:val="00102F54"/>
    <w:rsid w:val="00102F7D"/>
    <w:rsid w:val="0010300B"/>
    <w:rsid w:val="0010301E"/>
    <w:rsid w:val="00103067"/>
    <w:rsid w:val="001030AD"/>
    <w:rsid w:val="0010316A"/>
    <w:rsid w:val="001031CB"/>
    <w:rsid w:val="001031ED"/>
    <w:rsid w:val="0010322D"/>
    <w:rsid w:val="00103284"/>
    <w:rsid w:val="001032A4"/>
    <w:rsid w:val="0010334E"/>
    <w:rsid w:val="001034A2"/>
    <w:rsid w:val="001034D5"/>
    <w:rsid w:val="001035E5"/>
    <w:rsid w:val="001036C5"/>
    <w:rsid w:val="001037A4"/>
    <w:rsid w:val="00103873"/>
    <w:rsid w:val="001039C8"/>
    <w:rsid w:val="00103A50"/>
    <w:rsid w:val="00103AAA"/>
    <w:rsid w:val="00103AF6"/>
    <w:rsid w:val="00103BFC"/>
    <w:rsid w:val="00103D19"/>
    <w:rsid w:val="00103D55"/>
    <w:rsid w:val="00103DA8"/>
    <w:rsid w:val="00103E12"/>
    <w:rsid w:val="00103E99"/>
    <w:rsid w:val="00103F3A"/>
    <w:rsid w:val="00104037"/>
    <w:rsid w:val="00104058"/>
    <w:rsid w:val="001040AA"/>
    <w:rsid w:val="00104120"/>
    <w:rsid w:val="00104211"/>
    <w:rsid w:val="00104286"/>
    <w:rsid w:val="001042BB"/>
    <w:rsid w:val="00104329"/>
    <w:rsid w:val="0010432A"/>
    <w:rsid w:val="00104365"/>
    <w:rsid w:val="00104376"/>
    <w:rsid w:val="00104450"/>
    <w:rsid w:val="001044B0"/>
    <w:rsid w:val="001044B3"/>
    <w:rsid w:val="00104676"/>
    <w:rsid w:val="00104683"/>
    <w:rsid w:val="00104689"/>
    <w:rsid w:val="0010468D"/>
    <w:rsid w:val="001046A1"/>
    <w:rsid w:val="001046BA"/>
    <w:rsid w:val="00104725"/>
    <w:rsid w:val="0010473D"/>
    <w:rsid w:val="0010479A"/>
    <w:rsid w:val="001047E4"/>
    <w:rsid w:val="001047E7"/>
    <w:rsid w:val="00104828"/>
    <w:rsid w:val="001048FC"/>
    <w:rsid w:val="00104942"/>
    <w:rsid w:val="0010497D"/>
    <w:rsid w:val="00104996"/>
    <w:rsid w:val="001049D0"/>
    <w:rsid w:val="00104A11"/>
    <w:rsid w:val="00104A2B"/>
    <w:rsid w:val="00104AA9"/>
    <w:rsid w:val="00104B11"/>
    <w:rsid w:val="00104B4F"/>
    <w:rsid w:val="00104CAD"/>
    <w:rsid w:val="00104D73"/>
    <w:rsid w:val="00104D76"/>
    <w:rsid w:val="00104E3D"/>
    <w:rsid w:val="00104E82"/>
    <w:rsid w:val="00104ED8"/>
    <w:rsid w:val="00104EF7"/>
    <w:rsid w:val="00104F47"/>
    <w:rsid w:val="00104F51"/>
    <w:rsid w:val="0010507C"/>
    <w:rsid w:val="0010508F"/>
    <w:rsid w:val="001051D0"/>
    <w:rsid w:val="001051DB"/>
    <w:rsid w:val="001051E1"/>
    <w:rsid w:val="0010526E"/>
    <w:rsid w:val="0010529F"/>
    <w:rsid w:val="001052B8"/>
    <w:rsid w:val="001052DB"/>
    <w:rsid w:val="00105351"/>
    <w:rsid w:val="001053B4"/>
    <w:rsid w:val="001054E9"/>
    <w:rsid w:val="00105544"/>
    <w:rsid w:val="0010560C"/>
    <w:rsid w:val="001057B6"/>
    <w:rsid w:val="001058CF"/>
    <w:rsid w:val="00105937"/>
    <w:rsid w:val="00105963"/>
    <w:rsid w:val="00105A37"/>
    <w:rsid w:val="00105ADE"/>
    <w:rsid w:val="00105AE9"/>
    <w:rsid w:val="00105AFC"/>
    <w:rsid w:val="00105BEE"/>
    <w:rsid w:val="00105C19"/>
    <w:rsid w:val="00105C90"/>
    <w:rsid w:val="00105C9B"/>
    <w:rsid w:val="00105CA1"/>
    <w:rsid w:val="00105D4A"/>
    <w:rsid w:val="00105D81"/>
    <w:rsid w:val="00105D91"/>
    <w:rsid w:val="00105DD0"/>
    <w:rsid w:val="00105E0E"/>
    <w:rsid w:val="00105E80"/>
    <w:rsid w:val="00105E8E"/>
    <w:rsid w:val="00105EB9"/>
    <w:rsid w:val="00105EC1"/>
    <w:rsid w:val="00105ED5"/>
    <w:rsid w:val="00106004"/>
    <w:rsid w:val="0010601A"/>
    <w:rsid w:val="00106084"/>
    <w:rsid w:val="00106179"/>
    <w:rsid w:val="00106188"/>
    <w:rsid w:val="00106245"/>
    <w:rsid w:val="0010632C"/>
    <w:rsid w:val="0010641D"/>
    <w:rsid w:val="001064F1"/>
    <w:rsid w:val="0010650E"/>
    <w:rsid w:val="0010657B"/>
    <w:rsid w:val="00106696"/>
    <w:rsid w:val="00106708"/>
    <w:rsid w:val="00106737"/>
    <w:rsid w:val="00106753"/>
    <w:rsid w:val="00106776"/>
    <w:rsid w:val="001067A1"/>
    <w:rsid w:val="001067AB"/>
    <w:rsid w:val="0010698C"/>
    <w:rsid w:val="001069E6"/>
    <w:rsid w:val="00106A0F"/>
    <w:rsid w:val="00106A72"/>
    <w:rsid w:val="00106B16"/>
    <w:rsid w:val="00106C81"/>
    <w:rsid w:val="00106D1F"/>
    <w:rsid w:val="00106DEA"/>
    <w:rsid w:val="00106E5D"/>
    <w:rsid w:val="00106EDF"/>
    <w:rsid w:val="00106FAD"/>
    <w:rsid w:val="00106FCD"/>
    <w:rsid w:val="00107047"/>
    <w:rsid w:val="0010723A"/>
    <w:rsid w:val="0010729D"/>
    <w:rsid w:val="0010730A"/>
    <w:rsid w:val="00107362"/>
    <w:rsid w:val="001073E1"/>
    <w:rsid w:val="001073F0"/>
    <w:rsid w:val="00107461"/>
    <w:rsid w:val="00107466"/>
    <w:rsid w:val="001074A1"/>
    <w:rsid w:val="001074C8"/>
    <w:rsid w:val="0010753A"/>
    <w:rsid w:val="00107563"/>
    <w:rsid w:val="00107589"/>
    <w:rsid w:val="00107590"/>
    <w:rsid w:val="0010763E"/>
    <w:rsid w:val="0010775B"/>
    <w:rsid w:val="0010780D"/>
    <w:rsid w:val="0010787A"/>
    <w:rsid w:val="001078D3"/>
    <w:rsid w:val="0010795F"/>
    <w:rsid w:val="001079B5"/>
    <w:rsid w:val="00107AFE"/>
    <w:rsid w:val="00107B6A"/>
    <w:rsid w:val="00107B77"/>
    <w:rsid w:val="00107C01"/>
    <w:rsid w:val="00107C0A"/>
    <w:rsid w:val="00107C3A"/>
    <w:rsid w:val="00107C7A"/>
    <w:rsid w:val="00107D4D"/>
    <w:rsid w:val="00107D71"/>
    <w:rsid w:val="00107F1C"/>
    <w:rsid w:val="00107FCF"/>
    <w:rsid w:val="00110001"/>
    <w:rsid w:val="0011002D"/>
    <w:rsid w:val="00110038"/>
    <w:rsid w:val="00110132"/>
    <w:rsid w:val="00110142"/>
    <w:rsid w:val="001102E8"/>
    <w:rsid w:val="001103AD"/>
    <w:rsid w:val="00110416"/>
    <w:rsid w:val="0011048C"/>
    <w:rsid w:val="0011057E"/>
    <w:rsid w:val="00110618"/>
    <w:rsid w:val="00110633"/>
    <w:rsid w:val="00110634"/>
    <w:rsid w:val="001106E6"/>
    <w:rsid w:val="00110725"/>
    <w:rsid w:val="0011079D"/>
    <w:rsid w:val="001107F8"/>
    <w:rsid w:val="0011088F"/>
    <w:rsid w:val="00110896"/>
    <w:rsid w:val="001108C1"/>
    <w:rsid w:val="001108E2"/>
    <w:rsid w:val="00110961"/>
    <w:rsid w:val="00110AB5"/>
    <w:rsid w:val="00110AE4"/>
    <w:rsid w:val="00110AF6"/>
    <w:rsid w:val="00110B2E"/>
    <w:rsid w:val="00110B68"/>
    <w:rsid w:val="00110B9F"/>
    <w:rsid w:val="00110C13"/>
    <w:rsid w:val="00110C5D"/>
    <w:rsid w:val="00110CF6"/>
    <w:rsid w:val="00110D35"/>
    <w:rsid w:val="00110DB0"/>
    <w:rsid w:val="00110E38"/>
    <w:rsid w:val="00110EAA"/>
    <w:rsid w:val="00110EB4"/>
    <w:rsid w:val="00110F9E"/>
    <w:rsid w:val="00111029"/>
    <w:rsid w:val="001110B8"/>
    <w:rsid w:val="001110D4"/>
    <w:rsid w:val="0011129F"/>
    <w:rsid w:val="00111347"/>
    <w:rsid w:val="001115A8"/>
    <w:rsid w:val="001115F4"/>
    <w:rsid w:val="00111658"/>
    <w:rsid w:val="0011178D"/>
    <w:rsid w:val="001118B1"/>
    <w:rsid w:val="00111907"/>
    <w:rsid w:val="0011196A"/>
    <w:rsid w:val="00111979"/>
    <w:rsid w:val="0011199B"/>
    <w:rsid w:val="00111A0B"/>
    <w:rsid w:val="00111A50"/>
    <w:rsid w:val="00111C2D"/>
    <w:rsid w:val="00111C92"/>
    <w:rsid w:val="00111D4C"/>
    <w:rsid w:val="00111D94"/>
    <w:rsid w:val="00111E1F"/>
    <w:rsid w:val="00111EBC"/>
    <w:rsid w:val="00111EC2"/>
    <w:rsid w:val="00111EE8"/>
    <w:rsid w:val="00111F8B"/>
    <w:rsid w:val="00111F8D"/>
    <w:rsid w:val="00111F99"/>
    <w:rsid w:val="00112001"/>
    <w:rsid w:val="00112054"/>
    <w:rsid w:val="001120A2"/>
    <w:rsid w:val="00112127"/>
    <w:rsid w:val="00112134"/>
    <w:rsid w:val="00112151"/>
    <w:rsid w:val="0011223A"/>
    <w:rsid w:val="0011224B"/>
    <w:rsid w:val="0011229D"/>
    <w:rsid w:val="001122B2"/>
    <w:rsid w:val="0011232B"/>
    <w:rsid w:val="00112377"/>
    <w:rsid w:val="00112382"/>
    <w:rsid w:val="00112446"/>
    <w:rsid w:val="00112472"/>
    <w:rsid w:val="00112497"/>
    <w:rsid w:val="00112573"/>
    <w:rsid w:val="00112581"/>
    <w:rsid w:val="001125C0"/>
    <w:rsid w:val="001125F9"/>
    <w:rsid w:val="0011282D"/>
    <w:rsid w:val="0011289B"/>
    <w:rsid w:val="001129F0"/>
    <w:rsid w:val="00112A2D"/>
    <w:rsid w:val="00112A90"/>
    <w:rsid w:val="00112B19"/>
    <w:rsid w:val="00112B5D"/>
    <w:rsid w:val="00112B8B"/>
    <w:rsid w:val="00112C56"/>
    <w:rsid w:val="00112D98"/>
    <w:rsid w:val="00112DFA"/>
    <w:rsid w:val="00112E63"/>
    <w:rsid w:val="00112E77"/>
    <w:rsid w:val="00112FE1"/>
    <w:rsid w:val="00113031"/>
    <w:rsid w:val="00113052"/>
    <w:rsid w:val="001130E2"/>
    <w:rsid w:val="001130E7"/>
    <w:rsid w:val="001131E1"/>
    <w:rsid w:val="0011329B"/>
    <w:rsid w:val="00113362"/>
    <w:rsid w:val="00113413"/>
    <w:rsid w:val="001134D9"/>
    <w:rsid w:val="0011351A"/>
    <w:rsid w:val="00113606"/>
    <w:rsid w:val="00113630"/>
    <w:rsid w:val="001136D1"/>
    <w:rsid w:val="001136FE"/>
    <w:rsid w:val="00113807"/>
    <w:rsid w:val="00113869"/>
    <w:rsid w:val="00113874"/>
    <w:rsid w:val="00113941"/>
    <w:rsid w:val="00113A41"/>
    <w:rsid w:val="00113AAA"/>
    <w:rsid w:val="00113ACD"/>
    <w:rsid w:val="00113B28"/>
    <w:rsid w:val="00113B81"/>
    <w:rsid w:val="00113BC4"/>
    <w:rsid w:val="00113BCE"/>
    <w:rsid w:val="00113D03"/>
    <w:rsid w:val="00113D6E"/>
    <w:rsid w:val="00113E0F"/>
    <w:rsid w:val="00113E13"/>
    <w:rsid w:val="00113E35"/>
    <w:rsid w:val="00113F73"/>
    <w:rsid w:val="00113FC1"/>
    <w:rsid w:val="00113FDC"/>
    <w:rsid w:val="0011406D"/>
    <w:rsid w:val="001140B5"/>
    <w:rsid w:val="00114123"/>
    <w:rsid w:val="00114144"/>
    <w:rsid w:val="0011414D"/>
    <w:rsid w:val="00114191"/>
    <w:rsid w:val="001141AC"/>
    <w:rsid w:val="001141E9"/>
    <w:rsid w:val="00114225"/>
    <w:rsid w:val="0011422B"/>
    <w:rsid w:val="0011424B"/>
    <w:rsid w:val="00114262"/>
    <w:rsid w:val="00114272"/>
    <w:rsid w:val="00114329"/>
    <w:rsid w:val="0011439A"/>
    <w:rsid w:val="00114406"/>
    <w:rsid w:val="0011451F"/>
    <w:rsid w:val="001145D4"/>
    <w:rsid w:val="001146D3"/>
    <w:rsid w:val="001146DD"/>
    <w:rsid w:val="00114717"/>
    <w:rsid w:val="00114750"/>
    <w:rsid w:val="0011479A"/>
    <w:rsid w:val="001147C2"/>
    <w:rsid w:val="001147E9"/>
    <w:rsid w:val="00114848"/>
    <w:rsid w:val="0011487C"/>
    <w:rsid w:val="001148E2"/>
    <w:rsid w:val="001148FF"/>
    <w:rsid w:val="001149E5"/>
    <w:rsid w:val="00114A38"/>
    <w:rsid w:val="00114A52"/>
    <w:rsid w:val="00114B67"/>
    <w:rsid w:val="00114CCC"/>
    <w:rsid w:val="00114D26"/>
    <w:rsid w:val="00114DC7"/>
    <w:rsid w:val="00114DC9"/>
    <w:rsid w:val="00114DF2"/>
    <w:rsid w:val="00114E7D"/>
    <w:rsid w:val="00114F3A"/>
    <w:rsid w:val="00114F3E"/>
    <w:rsid w:val="00114F6A"/>
    <w:rsid w:val="00114F8D"/>
    <w:rsid w:val="00115019"/>
    <w:rsid w:val="00115024"/>
    <w:rsid w:val="0011505E"/>
    <w:rsid w:val="0011517D"/>
    <w:rsid w:val="00115270"/>
    <w:rsid w:val="001153AD"/>
    <w:rsid w:val="001153AF"/>
    <w:rsid w:val="001153EE"/>
    <w:rsid w:val="0011550A"/>
    <w:rsid w:val="0011552B"/>
    <w:rsid w:val="00115588"/>
    <w:rsid w:val="001155AB"/>
    <w:rsid w:val="001156ED"/>
    <w:rsid w:val="00115742"/>
    <w:rsid w:val="00115758"/>
    <w:rsid w:val="0011591E"/>
    <w:rsid w:val="00115AF1"/>
    <w:rsid w:val="00115B1C"/>
    <w:rsid w:val="00115B70"/>
    <w:rsid w:val="00115BA7"/>
    <w:rsid w:val="00115BAA"/>
    <w:rsid w:val="00115D5B"/>
    <w:rsid w:val="00115D82"/>
    <w:rsid w:val="00115DEC"/>
    <w:rsid w:val="00115E44"/>
    <w:rsid w:val="00115E55"/>
    <w:rsid w:val="00115EFF"/>
    <w:rsid w:val="00115F13"/>
    <w:rsid w:val="00115FA3"/>
    <w:rsid w:val="00115FC3"/>
    <w:rsid w:val="00116002"/>
    <w:rsid w:val="001160E0"/>
    <w:rsid w:val="00116163"/>
    <w:rsid w:val="001161A0"/>
    <w:rsid w:val="001161A4"/>
    <w:rsid w:val="0011631A"/>
    <w:rsid w:val="0011636C"/>
    <w:rsid w:val="00116383"/>
    <w:rsid w:val="001163ED"/>
    <w:rsid w:val="00116488"/>
    <w:rsid w:val="00116500"/>
    <w:rsid w:val="00116584"/>
    <w:rsid w:val="00116656"/>
    <w:rsid w:val="00116717"/>
    <w:rsid w:val="001167F1"/>
    <w:rsid w:val="0011683C"/>
    <w:rsid w:val="001168D1"/>
    <w:rsid w:val="00116A1C"/>
    <w:rsid w:val="00116A62"/>
    <w:rsid w:val="00116A63"/>
    <w:rsid w:val="00116A66"/>
    <w:rsid w:val="00116ABF"/>
    <w:rsid w:val="00116C4D"/>
    <w:rsid w:val="00116D1A"/>
    <w:rsid w:val="00116D53"/>
    <w:rsid w:val="00116D8B"/>
    <w:rsid w:val="00116F40"/>
    <w:rsid w:val="00116F7E"/>
    <w:rsid w:val="00116F9E"/>
    <w:rsid w:val="00116FAA"/>
    <w:rsid w:val="00117027"/>
    <w:rsid w:val="00117045"/>
    <w:rsid w:val="0011708B"/>
    <w:rsid w:val="001170E9"/>
    <w:rsid w:val="00117113"/>
    <w:rsid w:val="00117265"/>
    <w:rsid w:val="001172EE"/>
    <w:rsid w:val="00117584"/>
    <w:rsid w:val="001175DF"/>
    <w:rsid w:val="0011765E"/>
    <w:rsid w:val="00117689"/>
    <w:rsid w:val="001176AD"/>
    <w:rsid w:val="0011776C"/>
    <w:rsid w:val="001177C6"/>
    <w:rsid w:val="00117877"/>
    <w:rsid w:val="001178CD"/>
    <w:rsid w:val="0011795C"/>
    <w:rsid w:val="001179B2"/>
    <w:rsid w:val="00117AD3"/>
    <w:rsid w:val="00117AD8"/>
    <w:rsid w:val="00117B28"/>
    <w:rsid w:val="00117BA3"/>
    <w:rsid w:val="00117BE5"/>
    <w:rsid w:val="00117C9F"/>
    <w:rsid w:val="00117CCC"/>
    <w:rsid w:val="00117D13"/>
    <w:rsid w:val="00117E16"/>
    <w:rsid w:val="00117ECA"/>
    <w:rsid w:val="00117F25"/>
    <w:rsid w:val="00117F92"/>
    <w:rsid w:val="00120055"/>
    <w:rsid w:val="0012021D"/>
    <w:rsid w:val="0012023E"/>
    <w:rsid w:val="0012033C"/>
    <w:rsid w:val="00120589"/>
    <w:rsid w:val="00120650"/>
    <w:rsid w:val="001207D0"/>
    <w:rsid w:val="00120812"/>
    <w:rsid w:val="001208C8"/>
    <w:rsid w:val="001208D9"/>
    <w:rsid w:val="001208E2"/>
    <w:rsid w:val="001208F0"/>
    <w:rsid w:val="00120A40"/>
    <w:rsid w:val="00120AB8"/>
    <w:rsid w:val="00120ADE"/>
    <w:rsid w:val="00120B97"/>
    <w:rsid w:val="00120BA2"/>
    <w:rsid w:val="00120C06"/>
    <w:rsid w:val="00120CF8"/>
    <w:rsid w:val="00120D2F"/>
    <w:rsid w:val="00120DD4"/>
    <w:rsid w:val="00120DD6"/>
    <w:rsid w:val="00120E4F"/>
    <w:rsid w:val="00120E73"/>
    <w:rsid w:val="00120FCC"/>
    <w:rsid w:val="00121023"/>
    <w:rsid w:val="0012112D"/>
    <w:rsid w:val="001211B1"/>
    <w:rsid w:val="00121231"/>
    <w:rsid w:val="00121316"/>
    <w:rsid w:val="0012141D"/>
    <w:rsid w:val="001214A7"/>
    <w:rsid w:val="0012153E"/>
    <w:rsid w:val="001215A9"/>
    <w:rsid w:val="001215BC"/>
    <w:rsid w:val="00121661"/>
    <w:rsid w:val="0012173A"/>
    <w:rsid w:val="0012179E"/>
    <w:rsid w:val="001217D1"/>
    <w:rsid w:val="0012198A"/>
    <w:rsid w:val="001219F8"/>
    <w:rsid w:val="00121C7A"/>
    <w:rsid w:val="00121C90"/>
    <w:rsid w:val="00121D1A"/>
    <w:rsid w:val="00121D2E"/>
    <w:rsid w:val="00121DC8"/>
    <w:rsid w:val="00121F3F"/>
    <w:rsid w:val="00121F6C"/>
    <w:rsid w:val="00121F9B"/>
    <w:rsid w:val="00121FA4"/>
    <w:rsid w:val="00122014"/>
    <w:rsid w:val="00122060"/>
    <w:rsid w:val="00122081"/>
    <w:rsid w:val="00122096"/>
    <w:rsid w:val="001220D5"/>
    <w:rsid w:val="001220DE"/>
    <w:rsid w:val="0012211E"/>
    <w:rsid w:val="00122137"/>
    <w:rsid w:val="00122163"/>
    <w:rsid w:val="00122194"/>
    <w:rsid w:val="00122223"/>
    <w:rsid w:val="00122282"/>
    <w:rsid w:val="0012228E"/>
    <w:rsid w:val="0012231A"/>
    <w:rsid w:val="00122323"/>
    <w:rsid w:val="001223CB"/>
    <w:rsid w:val="00122470"/>
    <w:rsid w:val="001224B9"/>
    <w:rsid w:val="001224D0"/>
    <w:rsid w:val="001224EE"/>
    <w:rsid w:val="001225BA"/>
    <w:rsid w:val="00122618"/>
    <w:rsid w:val="00122643"/>
    <w:rsid w:val="00122666"/>
    <w:rsid w:val="001226A5"/>
    <w:rsid w:val="001226C7"/>
    <w:rsid w:val="001226F2"/>
    <w:rsid w:val="00122702"/>
    <w:rsid w:val="00122777"/>
    <w:rsid w:val="0012279B"/>
    <w:rsid w:val="00122880"/>
    <w:rsid w:val="0012292F"/>
    <w:rsid w:val="00122B64"/>
    <w:rsid w:val="00122C7D"/>
    <w:rsid w:val="00122CFC"/>
    <w:rsid w:val="00122D1B"/>
    <w:rsid w:val="00122D2D"/>
    <w:rsid w:val="00122D70"/>
    <w:rsid w:val="00122DCF"/>
    <w:rsid w:val="00122F1A"/>
    <w:rsid w:val="00122FDA"/>
    <w:rsid w:val="0012301E"/>
    <w:rsid w:val="00123056"/>
    <w:rsid w:val="001230F4"/>
    <w:rsid w:val="0012311C"/>
    <w:rsid w:val="0012311F"/>
    <w:rsid w:val="00123412"/>
    <w:rsid w:val="001234F3"/>
    <w:rsid w:val="0012354C"/>
    <w:rsid w:val="00123636"/>
    <w:rsid w:val="00123759"/>
    <w:rsid w:val="00123805"/>
    <w:rsid w:val="00123806"/>
    <w:rsid w:val="0012385A"/>
    <w:rsid w:val="0012385D"/>
    <w:rsid w:val="001238CB"/>
    <w:rsid w:val="001238F0"/>
    <w:rsid w:val="0012396C"/>
    <w:rsid w:val="001239BF"/>
    <w:rsid w:val="00123A59"/>
    <w:rsid w:val="00123A9C"/>
    <w:rsid w:val="00123AD1"/>
    <w:rsid w:val="00123B61"/>
    <w:rsid w:val="00123BDC"/>
    <w:rsid w:val="00123C4B"/>
    <w:rsid w:val="00123C9B"/>
    <w:rsid w:val="00123CE9"/>
    <w:rsid w:val="00123D6E"/>
    <w:rsid w:val="00123E62"/>
    <w:rsid w:val="00123E9A"/>
    <w:rsid w:val="00123F44"/>
    <w:rsid w:val="00123F6D"/>
    <w:rsid w:val="00123F88"/>
    <w:rsid w:val="00124010"/>
    <w:rsid w:val="00124066"/>
    <w:rsid w:val="001240DF"/>
    <w:rsid w:val="001240F3"/>
    <w:rsid w:val="0012428E"/>
    <w:rsid w:val="001242A1"/>
    <w:rsid w:val="001242D5"/>
    <w:rsid w:val="00124407"/>
    <w:rsid w:val="00124490"/>
    <w:rsid w:val="001244BB"/>
    <w:rsid w:val="001244FF"/>
    <w:rsid w:val="00124567"/>
    <w:rsid w:val="0012459A"/>
    <w:rsid w:val="00124607"/>
    <w:rsid w:val="0012466F"/>
    <w:rsid w:val="00124695"/>
    <w:rsid w:val="001246BA"/>
    <w:rsid w:val="001246ED"/>
    <w:rsid w:val="00124719"/>
    <w:rsid w:val="001247C0"/>
    <w:rsid w:val="0012489F"/>
    <w:rsid w:val="001248E3"/>
    <w:rsid w:val="001248F2"/>
    <w:rsid w:val="0012494D"/>
    <w:rsid w:val="00124969"/>
    <w:rsid w:val="00124A09"/>
    <w:rsid w:val="00124A50"/>
    <w:rsid w:val="00124BAD"/>
    <w:rsid w:val="00124BCB"/>
    <w:rsid w:val="00124BD5"/>
    <w:rsid w:val="00124C45"/>
    <w:rsid w:val="00124D19"/>
    <w:rsid w:val="00124DC3"/>
    <w:rsid w:val="00124DE9"/>
    <w:rsid w:val="00124E60"/>
    <w:rsid w:val="00124E88"/>
    <w:rsid w:val="00124F51"/>
    <w:rsid w:val="00124F7E"/>
    <w:rsid w:val="00124FF4"/>
    <w:rsid w:val="00125002"/>
    <w:rsid w:val="0012504E"/>
    <w:rsid w:val="001251FE"/>
    <w:rsid w:val="00125217"/>
    <w:rsid w:val="0012525C"/>
    <w:rsid w:val="00125268"/>
    <w:rsid w:val="0012532D"/>
    <w:rsid w:val="001253A0"/>
    <w:rsid w:val="001253AC"/>
    <w:rsid w:val="00125520"/>
    <w:rsid w:val="00125726"/>
    <w:rsid w:val="0012579C"/>
    <w:rsid w:val="001258C4"/>
    <w:rsid w:val="0012591C"/>
    <w:rsid w:val="0012595A"/>
    <w:rsid w:val="00125983"/>
    <w:rsid w:val="00125B07"/>
    <w:rsid w:val="00125C83"/>
    <w:rsid w:val="00125CFC"/>
    <w:rsid w:val="00125D28"/>
    <w:rsid w:val="00125D98"/>
    <w:rsid w:val="00125DBD"/>
    <w:rsid w:val="00125DCD"/>
    <w:rsid w:val="00125F17"/>
    <w:rsid w:val="00126064"/>
    <w:rsid w:val="00126080"/>
    <w:rsid w:val="00126114"/>
    <w:rsid w:val="00126173"/>
    <w:rsid w:val="001261A1"/>
    <w:rsid w:val="0012626F"/>
    <w:rsid w:val="0012629B"/>
    <w:rsid w:val="001262FF"/>
    <w:rsid w:val="00126387"/>
    <w:rsid w:val="001263AF"/>
    <w:rsid w:val="001263E5"/>
    <w:rsid w:val="001264E7"/>
    <w:rsid w:val="001264FD"/>
    <w:rsid w:val="001265B5"/>
    <w:rsid w:val="00126651"/>
    <w:rsid w:val="00126664"/>
    <w:rsid w:val="00126670"/>
    <w:rsid w:val="0012672B"/>
    <w:rsid w:val="00126763"/>
    <w:rsid w:val="001267E7"/>
    <w:rsid w:val="0012680D"/>
    <w:rsid w:val="00126856"/>
    <w:rsid w:val="00126866"/>
    <w:rsid w:val="00126925"/>
    <w:rsid w:val="00126A1C"/>
    <w:rsid w:val="00126A27"/>
    <w:rsid w:val="00126A74"/>
    <w:rsid w:val="00126AB2"/>
    <w:rsid w:val="00126B0F"/>
    <w:rsid w:val="00126B1B"/>
    <w:rsid w:val="00126B44"/>
    <w:rsid w:val="00126BDA"/>
    <w:rsid w:val="00126C37"/>
    <w:rsid w:val="00126CD8"/>
    <w:rsid w:val="00126CEA"/>
    <w:rsid w:val="00126DA8"/>
    <w:rsid w:val="00126DDF"/>
    <w:rsid w:val="00126F2E"/>
    <w:rsid w:val="00126F5D"/>
    <w:rsid w:val="00126FFE"/>
    <w:rsid w:val="00127044"/>
    <w:rsid w:val="00127181"/>
    <w:rsid w:val="00127194"/>
    <w:rsid w:val="001271A9"/>
    <w:rsid w:val="001271F8"/>
    <w:rsid w:val="0012728F"/>
    <w:rsid w:val="00127348"/>
    <w:rsid w:val="0012734A"/>
    <w:rsid w:val="00127399"/>
    <w:rsid w:val="0012743B"/>
    <w:rsid w:val="00127452"/>
    <w:rsid w:val="00127468"/>
    <w:rsid w:val="0012749B"/>
    <w:rsid w:val="0012750B"/>
    <w:rsid w:val="0012751C"/>
    <w:rsid w:val="0012758B"/>
    <w:rsid w:val="001275B3"/>
    <w:rsid w:val="001275EC"/>
    <w:rsid w:val="001276C9"/>
    <w:rsid w:val="00127771"/>
    <w:rsid w:val="00127790"/>
    <w:rsid w:val="0012784F"/>
    <w:rsid w:val="00127B87"/>
    <w:rsid w:val="00127B8F"/>
    <w:rsid w:val="00127C43"/>
    <w:rsid w:val="00127D1C"/>
    <w:rsid w:val="00127DA9"/>
    <w:rsid w:val="00127DAE"/>
    <w:rsid w:val="00127EBF"/>
    <w:rsid w:val="00127F12"/>
    <w:rsid w:val="001300A6"/>
    <w:rsid w:val="00130114"/>
    <w:rsid w:val="0013011D"/>
    <w:rsid w:val="00130135"/>
    <w:rsid w:val="001301D3"/>
    <w:rsid w:val="001301EA"/>
    <w:rsid w:val="00130250"/>
    <w:rsid w:val="00130263"/>
    <w:rsid w:val="001302A9"/>
    <w:rsid w:val="00130332"/>
    <w:rsid w:val="0013048C"/>
    <w:rsid w:val="00130512"/>
    <w:rsid w:val="001305DF"/>
    <w:rsid w:val="001305FC"/>
    <w:rsid w:val="00130610"/>
    <w:rsid w:val="00130732"/>
    <w:rsid w:val="001307BE"/>
    <w:rsid w:val="001307DB"/>
    <w:rsid w:val="00130857"/>
    <w:rsid w:val="00130858"/>
    <w:rsid w:val="001308EC"/>
    <w:rsid w:val="00130937"/>
    <w:rsid w:val="00130982"/>
    <w:rsid w:val="00130A14"/>
    <w:rsid w:val="00130A62"/>
    <w:rsid w:val="00130AD8"/>
    <w:rsid w:val="00130B1B"/>
    <w:rsid w:val="00130BC5"/>
    <w:rsid w:val="00130C66"/>
    <w:rsid w:val="00130CCA"/>
    <w:rsid w:val="00130D57"/>
    <w:rsid w:val="00130D6F"/>
    <w:rsid w:val="00130D87"/>
    <w:rsid w:val="00130E1B"/>
    <w:rsid w:val="00130E89"/>
    <w:rsid w:val="00130EAB"/>
    <w:rsid w:val="00130EDE"/>
    <w:rsid w:val="0013102B"/>
    <w:rsid w:val="001310F9"/>
    <w:rsid w:val="001311EF"/>
    <w:rsid w:val="001311F9"/>
    <w:rsid w:val="00131228"/>
    <w:rsid w:val="001312F4"/>
    <w:rsid w:val="001312F8"/>
    <w:rsid w:val="00131304"/>
    <w:rsid w:val="001313EE"/>
    <w:rsid w:val="00131442"/>
    <w:rsid w:val="00131513"/>
    <w:rsid w:val="00131538"/>
    <w:rsid w:val="00131543"/>
    <w:rsid w:val="001315E7"/>
    <w:rsid w:val="0013160A"/>
    <w:rsid w:val="0013169F"/>
    <w:rsid w:val="001316C1"/>
    <w:rsid w:val="001317A7"/>
    <w:rsid w:val="001318B4"/>
    <w:rsid w:val="0013192F"/>
    <w:rsid w:val="00131972"/>
    <w:rsid w:val="001319B3"/>
    <w:rsid w:val="001319B9"/>
    <w:rsid w:val="001319C8"/>
    <w:rsid w:val="00131B4F"/>
    <w:rsid w:val="00131BF6"/>
    <w:rsid w:val="00131C31"/>
    <w:rsid w:val="00131D6C"/>
    <w:rsid w:val="00131D6F"/>
    <w:rsid w:val="00131D78"/>
    <w:rsid w:val="00131DFB"/>
    <w:rsid w:val="00131E4E"/>
    <w:rsid w:val="0013202F"/>
    <w:rsid w:val="001320FA"/>
    <w:rsid w:val="00132182"/>
    <w:rsid w:val="001321E5"/>
    <w:rsid w:val="0013224D"/>
    <w:rsid w:val="0013229F"/>
    <w:rsid w:val="001322B9"/>
    <w:rsid w:val="00132380"/>
    <w:rsid w:val="00132393"/>
    <w:rsid w:val="001323D5"/>
    <w:rsid w:val="001324D0"/>
    <w:rsid w:val="001324F7"/>
    <w:rsid w:val="001325BD"/>
    <w:rsid w:val="001325E0"/>
    <w:rsid w:val="00132897"/>
    <w:rsid w:val="001328AA"/>
    <w:rsid w:val="001329A4"/>
    <w:rsid w:val="00132A20"/>
    <w:rsid w:val="00132A5C"/>
    <w:rsid w:val="00132AAA"/>
    <w:rsid w:val="00132AE3"/>
    <w:rsid w:val="00132B13"/>
    <w:rsid w:val="00132BAE"/>
    <w:rsid w:val="00132BEE"/>
    <w:rsid w:val="00132C13"/>
    <w:rsid w:val="00132CA5"/>
    <w:rsid w:val="00132CBE"/>
    <w:rsid w:val="00132CC6"/>
    <w:rsid w:val="00132CFD"/>
    <w:rsid w:val="00132E00"/>
    <w:rsid w:val="00132F21"/>
    <w:rsid w:val="00132F42"/>
    <w:rsid w:val="00132F86"/>
    <w:rsid w:val="00132FA9"/>
    <w:rsid w:val="00133046"/>
    <w:rsid w:val="001330B5"/>
    <w:rsid w:val="00133172"/>
    <w:rsid w:val="0013317B"/>
    <w:rsid w:val="00133253"/>
    <w:rsid w:val="00133290"/>
    <w:rsid w:val="00133291"/>
    <w:rsid w:val="00133314"/>
    <w:rsid w:val="001333C6"/>
    <w:rsid w:val="00133462"/>
    <w:rsid w:val="0013347F"/>
    <w:rsid w:val="00133557"/>
    <w:rsid w:val="001335F7"/>
    <w:rsid w:val="0013360C"/>
    <w:rsid w:val="00133623"/>
    <w:rsid w:val="0013362D"/>
    <w:rsid w:val="00133687"/>
    <w:rsid w:val="001336A9"/>
    <w:rsid w:val="001338C1"/>
    <w:rsid w:val="00133989"/>
    <w:rsid w:val="001339A2"/>
    <w:rsid w:val="001339AB"/>
    <w:rsid w:val="00133A5F"/>
    <w:rsid w:val="00133A92"/>
    <w:rsid w:val="00133AC6"/>
    <w:rsid w:val="00133B35"/>
    <w:rsid w:val="00133B62"/>
    <w:rsid w:val="00133C76"/>
    <w:rsid w:val="00133CE7"/>
    <w:rsid w:val="00133E09"/>
    <w:rsid w:val="00133EEF"/>
    <w:rsid w:val="00133F75"/>
    <w:rsid w:val="00134124"/>
    <w:rsid w:val="00134144"/>
    <w:rsid w:val="00134170"/>
    <w:rsid w:val="001341DA"/>
    <w:rsid w:val="00134201"/>
    <w:rsid w:val="001342B1"/>
    <w:rsid w:val="00134344"/>
    <w:rsid w:val="00134389"/>
    <w:rsid w:val="0013439E"/>
    <w:rsid w:val="001343C1"/>
    <w:rsid w:val="001343FB"/>
    <w:rsid w:val="0013440C"/>
    <w:rsid w:val="001344D2"/>
    <w:rsid w:val="00134536"/>
    <w:rsid w:val="0013464F"/>
    <w:rsid w:val="0013477E"/>
    <w:rsid w:val="00134798"/>
    <w:rsid w:val="001347C1"/>
    <w:rsid w:val="00134840"/>
    <w:rsid w:val="001348FD"/>
    <w:rsid w:val="00134922"/>
    <w:rsid w:val="00134982"/>
    <w:rsid w:val="00134A57"/>
    <w:rsid w:val="00134AF0"/>
    <w:rsid w:val="00134B27"/>
    <w:rsid w:val="00134BC3"/>
    <w:rsid w:val="00134BCB"/>
    <w:rsid w:val="00134CDB"/>
    <w:rsid w:val="00134CEC"/>
    <w:rsid w:val="00134D73"/>
    <w:rsid w:val="00134D79"/>
    <w:rsid w:val="00134D8E"/>
    <w:rsid w:val="00134D91"/>
    <w:rsid w:val="00134D9D"/>
    <w:rsid w:val="00134DE6"/>
    <w:rsid w:val="00134EBC"/>
    <w:rsid w:val="00134ED4"/>
    <w:rsid w:val="00134F7F"/>
    <w:rsid w:val="00135057"/>
    <w:rsid w:val="00135080"/>
    <w:rsid w:val="001350B6"/>
    <w:rsid w:val="00135145"/>
    <w:rsid w:val="001351B5"/>
    <w:rsid w:val="001351EB"/>
    <w:rsid w:val="00135203"/>
    <w:rsid w:val="00135257"/>
    <w:rsid w:val="00135292"/>
    <w:rsid w:val="001352CF"/>
    <w:rsid w:val="00135319"/>
    <w:rsid w:val="00135324"/>
    <w:rsid w:val="0013539F"/>
    <w:rsid w:val="0013545E"/>
    <w:rsid w:val="00135486"/>
    <w:rsid w:val="00135493"/>
    <w:rsid w:val="001354E9"/>
    <w:rsid w:val="001355DB"/>
    <w:rsid w:val="001355FF"/>
    <w:rsid w:val="00135601"/>
    <w:rsid w:val="00135629"/>
    <w:rsid w:val="001356EA"/>
    <w:rsid w:val="00135750"/>
    <w:rsid w:val="001357BA"/>
    <w:rsid w:val="00135852"/>
    <w:rsid w:val="0013590E"/>
    <w:rsid w:val="00135978"/>
    <w:rsid w:val="001359DD"/>
    <w:rsid w:val="00135ABC"/>
    <w:rsid w:val="00135B03"/>
    <w:rsid w:val="00135B52"/>
    <w:rsid w:val="00135BB7"/>
    <w:rsid w:val="00135BB9"/>
    <w:rsid w:val="00135D57"/>
    <w:rsid w:val="00135E03"/>
    <w:rsid w:val="00135E06"/>
    <w:rsid w:val="00135E43"/>
    <w:rsid w:val="00135F1F"/>
    <w:rsid w:val="00135F7E"/>
    <w:rsid w:val="001360BE"/>
    <w:rsid w:val="001361E3"/>
    <w:rsid w:val="00136203"/>
    <w:rsid w:val="0013624B"/>
    <w:rsid w:val="00136295"/>
    <w:rsid w:val="00136331"/>
    <w:rsid w:val="001363B1"/>
    <w:rsid w:val="0013640D"/>
    <w:rsid w:val="00136575"/>
    <w:rsid w:val="001365D7"/>
    <w:rsid w:val="00136603"/>
    <w:rsid w:val="0013660C"/>
    <w:rsid w:val="00136651"/>
    <w:rsid w:val="00136724"/>
    <w:rsid w:val="00136743"/>
    <w:rsid w:val="0013686A"/>
    <w:rsid w:val="0013692F"/>
    <w:rsid w:val="00136961"/>
    <w:rsid w:val="001369C7"/>
    <w:rsid w:val="00136AA0"/>
    <w:rsid w:val="00136C97"/>
    <w:rsid w:val="00136D6E"/>
    <w:rsid w:val="00136DC3"/>
    <w:rsid w:val="00136DC9"/>
    <w:rsid w:val="00136EA5"/>
    <w:rsid w:val="00136EC7"/>
    <w:rsid w:val="00136EC8"/>
    <w:rsid w:val="00136F4A"/>
    <w:rsid w:val="00136F63"/>
    <w:rsid w:val="00136F8D"/>
    <w:rsid w:val="00137014"/>
    <w:rsid w:val="00137059"/>
    <w:rsid w:val="0013709F"/>
    <w:rsid w:val="00137128"/>
    <w:rsid w:val="0013715A"/>
    <w:rsid w:val="0013716D"/>
    <w:rsid w:val="00137173"/>
    <w:rsid w:val="001371E3"/>
    <w:rsid w:val="001371E4"/>
    <w:rsid w:val="00137285"/>
    <w:rsid w:val="001373D2"/>
    <w:rsid w:val="0013744D"/>
    <w:rsid w:val="00137463"/>
    <w:rsid w:val="00137528"/>
    <w:rsid w:val="00137599"/>
    <w:rsid w:val="001375DD"/>
    <w:rsid w:val="00137624"/>
    <w:rsid w:val="00137688"/>
    <w:rsid w:val="001376FE"/>
    <w:rsid w:val="00137721"/>
    <w:rsid w:val="00137747"/>
    <w:rsid w:val="00137856"/>
    <w:rsid w:val="00137978"/>
    <w:rsid w:val="001379AC"/>
    <w:rsid w:val="00137A0C"/>
    <w:rsid w:val="00137A47"/>
    <w:rsid w:val="00137B31"/>
    <w:rsid w:val="00137B47"/>
    <w:rsid w:val="00137B93"/>
    <w:rsid w:val="00137C41"/>
    <w:rsid w:val="00137DD8"/>
    <w:rsid w:val="00137DDB"/>
    <w:rsid w:val="00137EE5"/>
    <w:rsid w:val="00137EED"/>
    <w:rsid w:val="00137EF1"/>
    <w:rsid w:val="00137F76"/>
    <w:rsid w:val="00137F9D"/>
    <w:rsid w:val="00137FC9"/>
    <w:rsid w:val="0014005B"/>
    <w:rsid w:val="001400B1"/>
    <w:rsid w:val="001400F7"/>
    <w:rsid w:val="00140176"/>
    <w:rsid w:val="001401D1"/>
    <w:rsid w:val="001402B6"/>
    <w:rsid w:val="001402F7"/>
    <w:rsid w:val="00140325"/>
    <w:rsid w:val="00140351"/>
    <w:rsid w:val="0014036D"/>
    <w:rsid w:val="00140431"/>
    <w:rsid w:val="00140435"/>
    <w:rsid w:val="00140528"/>
    <w:rsid w:val="001405A4"/>
    <w:rsid w:val="001405A6"/>
    <w:rsid w:val="001406A7"/>
    <w:rsid w:val="00140778"/>
    <w:rsid w:val="0014078B"/>
    <w:rsid w:val="0014079C"/>
    <w:rsid w:val="0014081E"/>
    <w:rsid w:val="00140911"/>
    <w:rsid w:val="0014091D"/>
    <w:rsid w:val="00140930"/>
    <w:rsid w:val="00140978"/>
    <w:rsid w:val="001409A0"/>
    <w:rsid w:val="001409F2"/>
    <w:rsid w:val="00140A97"/>
    <w:rsid w:val="00140B0C"/>
    <w:rsid w:val="00140B23"/>
    <w:rsid w:val="00140B39"/>
    <w:rsid w:val="00140BA1"/>
    <w:rsid w:val="00140D58"/>
    <w:rsid w:val="00140E29"/>
    <w:rsid w:val="00140E59"/>
    <w:rsid w:val="00140E92"/>
    <w:rsid w:val="00140EA6"/>
    <w:rsid w:val="00140F32"/>
    <w:rsid w:val="0014105E"/>
    <w:rsid w:val="001411B5"/>
    <w:rsid w:val="00141300"/>
    <w:rsid w:val="00141357"/>
    <w:rsid w:val="001413CE"/>
    <w:rsid w:val="00141450"/>
    <w:rsid w:val="00141470"/>
    <w:rsid w:val="001414E2"/>
    <w:rsid w:val="001414E4"/>
    <w:rsid w:val="001414FE"/>
    <w:rsid w:val="001415C1"/>
    <w:rsid w:val="001415CF"/>
    <w:rsid w:val="00141691"/>
    <w:rsid w:val="001416BE"/>
    <w:rsid w:val="00141774"/>
    <w:rsid w:val="0014179A"/>
    <w:rsid w:val="001417AB"/>
    <w:rsid w:val="00141870"/>
    <w:rsid w:val="00141893"/>
    <w:rsid w:val="001418A6"/>
    <w:rsid w:val="001418E9"/>
    <w:rsid w:val="00141961"/>
    <w:rsid w:val="001419AB"/>
    <w:rsid w:val="00141B64"/>
    <w:rsid w:val="00141C6E"/>
    <w:rsid w:val="00141CF5"/>
    <w:rsid w:val="00141D13"/>
    <w:rsid w:val="00141D37"/>
    <w:rsid w:val="00141DAF"/>
    <w:rsid w:val="00141F46"/>
    <w:rsid w:val="00141F86"/>
    <w:rsid w:val="00141F92"/>
    <w:rsid w:val="0014200F"/>
    <w:rsid w:val="00142132"/>
    <w:rsid w:val="00142166"/>
    <w:rsid w:val="0014220A"/>
    <w:rsid w:val="0014220D"/>
    <w:rsid w:val="001422BC"/>
    <w:rsid w:val="001422D7"/>
    <w:rsid w:val="001422E7"/>
    <w:rsid w:val="00142319"/>
    <w:rsid w:val="00142368"/>
    <w:rsid w:val="0014236B"/>
    <w:rsid w:val="00142415"/>
    <w:rsid w:val="001424C6"/>
    <w:rsid w:val="001424D1"/>
    <w:rsid w:val="0014255F"/>
    <w:rsid w:val="00142582"/>
    <w:rsid w:val="0014258E"/>
    <w:rsid w:val="001425D4"/>
    <w:rsid w:val="001425D6"/>
    <w:rsid w:val="00142653"/>
    <w:rsid w:val="001426E0"/>
    <w:rsid w:val="0014288B"/>
    <w:rsid w:val="00142919"/>
    <w:rsid w:val="00142947"/>
    <w:rsid w:val="00142964"/>
    <w:rsid w:val="001429F1"/>
    <w:rsid w:val="001429F8"/>
    <w:rsid w:val="00142A03"/>
    <w:rsid w:val="00142AAC"/>
    <w:rsid w:val="00142BD1"/>
    <w:rsid w:val="00142BF3"/>
    <w:rsid w:val="00142BF8"/>
    <w:rsid w:val="00142C38"/>
    <w:rsid w:val="00142CAE"/>
    <w:rsid w:val="00142CEB"/>
    <w:rsid w:val="00142CEF"/>
    <w:rsid w:val="00142E22"/>
    <w:rsid w:val="00142E80"/>
    <w:rsid w:val="00142E96"/>
    <w:rsid w:val="00142ECC"/>
    <w:rsid w:val="00142ED5"/>
    <w:rsid w:val="00142F0F"/>
    <w:rsid w:val="00142F54"/>
    <w:rsid w:val="00142F6E"/>
    <w:rsid w:val="00142F74"/>
    <w:rsid w:val="0014308F"/>
    <w:rsid w:val="00143191"/>
    <w:rsid w:val="001431C1"/>
    <w:rsid w:val="001431EC"/>
    <w:rsid w:val="001432BE"/>
    <w:rsid w:val="0014330F"/>
    <w:rsid w:val="0014334B"/>
    <w:rsid w:val="0014337C"/>
    <w:rsid w:val="0014340B"/>
    <w:rsid w:val="0014342E"/>
    <w:rsid w:val="0014346C"/>
    <w:rsid w:val="00143493"/>
    <w:rsid w:val="0014353E"/>
    <w:rsid w:val="00143561"/>
    <w:rsid w:val="001436B8"/>
    <w:rsid w:val="001436CC"/>
    <w:rsid w:val="0014370B"/>
    <w:rsid w:val="00143718"/>
    <w:rsid w:val="00143763"/>
    <w:rsid w:val="001437D3"/>
    <w:rsid w:val="001439B9"/>
    <w:rsid w:val="00143B03"/>
    <w:rsid w:val="00143C0E"/>
    <w:rsid w:val="00143C34"/>
    <w:rsid w:val="00143C81"/>
    <w:rsid w:val="00143D21"/>
    <w:rsid w:val="00143D5A"/>
    <w:rsid w:val="00143D8D"/>
    <w:rsid w:val="00143DB5"/>
    <w:rsid w:val="00143DB6"/>
    <w:rsid w:val="00143E04"/>
    <w:rsid w:val="00143EBC"/>
    <w:rsid w:val="00143F6D"/>
    <w:rsid w:val="00143F80"/>
    <w:rsid w:val="00143FAB"/>
    <w:rsid w:val="001440C9"/>
    <w:rsid w:val="001440EC"/>
    <w:rsid w:val="001440ED"/>
    <w:rsid w:val="00144127"/>
    <w:rsid w:val="001441F8"/>
    <w:rsid w:val="001442E3"/>
    <w:rsid w:val="0014432A"/>
    <w:rsid w:val="00144387"/>
    <w:rsid w:val="00144475"/>
    <w:rsid w:val="00144487"/>
    <w:rsid w:val="001444E1"/>
    <w:rsid w:val="0014450F"/>
    <w:rsid w:val="0014461C"/>
    <w:rsid w:val="0014466D"/>
    <w:rsid w:val="00144691"/>
    <w:rsid w:val="001446A0"/>
    <w:rsid w:val="00144783"/>
    <w:rsid w:val="001447A5"/>
    <w:rsid w:val="00144806"/>
    <w:rsid w:val="00144852"/>
    <w:rsid w:val="001448E0"/>
    <w:rsid w:val="001448F9"/>
    <w:rsid w:val="00144A43"/>
    <w:rsid w:val="00144AC6"/>
    <w:rsid w:val="00144B0F"/>
    <w:rsid w:val="00144B2D"/>
    <w:rsid w:val="00144B49"/>
    <w:rsid w:val="00144C18"/>
    <w:rsid w:val="00144C1A"/>
    <w:rsid w:val="00144CF4"/>
    <w:rsid w:val="00144CF5"/>
    <w:rsid w:val="00144D2B"/>
    <w:rsid w:val="00144D48"/>
    <w:rsid w:val="00144DE0"/>
    <w:rsid w:val="00144E64"/>
    <w:rsid w:val="00144EED"/>
    <w:rsid w:val="0014509A"/>
    <w:rsid w:val="001450A1"/>
    <w:rsid w:val="0014516C"/>
    <w:rsid w:val="001451ED"/>
    <w:rsid w:val="00145307"/>
    <w:rsid w:val="0014537B"/>
    <w:rsid w:val="00145551"/>
    <w:rsid w:val="001455B4"/>
    <w:rsid w:val="001455CA"/>
    <w:rsid w:val="001455CE"/>
    <w:rsid w:val="001455E5"/>
    <w:rsid w:val="0014561C"/>
    <w:rsid w:val="00145670"/>
    <w:rsid w:val="001457D9"/>
    <w:rsid w:val="001457FC"/>
    <w:rsid w:val="00145874"/>
    <w:rsid w:val="001458AB"/>
    <w:rsid w:val="001458B1"/>
    <w:rsid w:val="001458E8"/>
    <w:rsid w:val="00145954"/>
    <w:rsid w:val="0014598C"/>
    <w:rsid w:val="00145AB7"/>
    <w:rsid w:val="00145AE0"/>
    <w:rsid w:val="00145AE6"/>
    <w:rsid w:val="00145B22"/>
    <w:rsid w:val="00145B77"/>
    <w:rsid w:val="00145E44"/>
    <w:rsid w:val="00145EED"/>
    <w:rsid w:val="00145F02"/>
    <w:rsid w:val="00145F97"/>
    <w:rsid w:val="00145FD7"/>
    <w:rsid w:val="00145FF1"/>
    <w:rsid w:val="00146067"/>
    <w:rsid w:val="0014619A"/>
    <w:rsid w:val="001461F2"/>
    <w:rsid w:val="001462D4"/>
    <w:rsid w:val="00146313"/>
    <w:rsid w:val="00146318"/>
    <w:rsid w:val="0014637D"/>
    <w:rsid w:val="00146395"/>
    <w:rsid w:val="0014640A"/>
    <w:rsid w:val="001464BA"/>
    <w:rsid w:val="001464E6"/>
    <w:rsid w:val="001466ED"/>
    <w:rsid w:val="001467C1"/>
    <w:rsid w:val="0014684E"/>
    <w:rsid w:val="00146851"/>
    <w:rsid w:val="00146951"/>
    <w:rsid w:val="00146AFA"/>
    <w:rsid w:val="00146B54"/>
    <w:rsid w:val="00146B82"/>
    <w:rsid w:val="00146BF1"/>
    <w:rsid w:val="00146C11"/>
    <w:rsid w:val="00146C95"/>
    <w:rsid w:val="00146D07"/>
    <w:rsid w:val="00146DF2"/>
    <w:rsid w:val="00146E34"/>
    <w:rsid w:val="00146E72"/>
    <w:rsid w:val="00146F00"/>
    <w:rsid w:val="00146F40"/>
    <w:rsid w:val="00146FC0"/>
    <w:rsid w:val="00146FD6"/>
    <w:rsid w:val="001470B4"/>
    <w:rsid w:val="001470C5"/>
    <w:rsid w:val="001470CB"/>
    <w:rsid w:val="00147104"/>
    <w:rsid w:val="00147191"/>
    <w:rsid w:val="00147219"/>
    <w:rsid w:val="00147269"/>
    <w:rsid w:val="001472CC"/>
    <w:rsid w:val="00147377"/>
    <w:rsid w:val="001474CE"/>
    <w:rsid w:val="00147767"/>
    <w:rsid w:val="001478D6"/>
    <w:rsid w:val="00147A56"/>
    <w:rsid w:val="00147A62"/>
    <w:rsid w:val="00147B96"/>
    <w:rsid w:val="00147B9A"/>
    <w:rsid w:val="00147C81"/>
    <w:rsid w:val="00147D22"/>
    <w:rsid w:val="00147D9B"/>
    <w:rsid w:val="00147E83"/>
    <w:rsid w:val="00147F38"/>
    <w:rsid w:val="00147F4A"/>
    <w:rsid w:val="00150033"/>
    <w:rsid w:val="00150086"/>
    <w:rsid w:val="001500F0"/>
    <w:rsid w:val="00150128"/>
    <w:rsid w:val="00150264"/>
    <w:rsid w:val="001502E2"/>
    <w:rsid w:val="001503B6"/>
    <w:rsid w:val="001504A4"/>
    <w:rsid w:val="001504BA"/>
    <w:rsid w:val="001504E8"/>
    <w:rsid w:val="0015057E"/>
    <w:rsid w:val="0015066D"/>
    <w:rsid w:val="0015074A"/>
    <w:rsid w:val="0015080D"/>
    <w:rsid w:val="001508CD"/>
    <w:rsid w:val="00150A60"/>
    <w:rsid w:val="00150A90"/>
    <w:rsid w:val="00150AE4"/>
    <w:rsid w:val="00150C03"/>
    <w:rsid w:val="00150C58"/>
    <w:rsid w:val="00150D56"/>
    <w:rsid w:val="00150E6F"/>
    <w:rsid w:val="00150E94"/>
    <w:rsid w:val="00150F0F"/>
    <w:rsid w:val="00150FAE"/>
    <w:rsid w:val="00150FF1"/>
    <w:rsid w:val="0015104A"/>
    <w:rsid w:val="00151075"/>
    <w:rsid w:val="00151096"/>
    <w:rsid w:val="00151176"/>
    <w:rsid w:val="00151187"/>
    <w:rsid w:val="001511BF"/>
    <w:rsid w:val="001511F3"/>
    <w:rsid w:val="00151200"/>
    <w:rsid w:val="001512F4"/>
    <w:rsid w:val="00151413"/>
    <w:rsid w:val="00151450"/>
    <w:rsid w:val="0015149D"/>
    <w:rsid w:val="001514DC"/>
    <w:rsid w:val="001514E6"/>
    <w:rsid w:val="0015157E"/>
    <w:rsid w:val="001515B1"/>
    <w:rsid w:val="0015160B"/>
    <w:rsid w:val="00151639"/>
    <w:rsid w:val="00151678"/>
    <w:rsid w:val="001516EE"/>
    <w:rsid w:val="00151724"/>
    <w:rsid w:val="00151749"/>
    <w:rsid w:val="00151765"/>
    <w:rsid w:val="00151795"/>
    <w:rsid w:val="00151843"/>
    <w:rsid w:val="00151863"/>
    <w:rsid w:val="00151881"/>
    <w:rsid w:val="001519AE"/>
    <w:rsid w:val="001519CE"/>
    <w:rsid w:val="001519F9"/>
    <w:rsid w:val="00151A44"/>
    <w:rsid w:val="00151A85"/>
    <w:rsid w:val="00151D2B"/>
    <w:rsid w:val="00151D83"/>
    <w:rsid w:val="00151DC2"/>
    <w:rsid w:val="00151DD6"/>
    <w:rsid w:val="00151F2A"/>
    <w:rsid w:val="00151F46"/>
    <w:rsid w:val="00151F6F"/>
    <w:rsid w:val="00151FBF"/>
    <w:rsid w:val="0015200F"/>
    <w:rsid w:val="00152018"/>
    <w:rsid w:val="001520D2"/>
    <w:rsid w:val="0015212E"/>
    <w:rsid w:val="00152161"/>
    <w:rsid w:val="0015235E"/>
    <w:rsid w:val="001523DE"/>
    <w:rsid w:val="0015248C"/>
    <w:rsid w:val="001524EA"/>
    <w:rsid w:val="001525A5"/>
    <w:rsid w:val="00152626"/>
    <w:rsid w:val="0015267C"/>
    <w:rsid w:val="001526A1"/>
    <w:rsid w:val="001526BA"/>
    <w:rsid w:val="001526DD"/>
    <w:rsid w:val="00152797"/>
    <w:rsid w:val="001527CB"/>
    <w:rsid w:val="001527EF"/>
    <w:rsid w:val="00152877"/>
    <w:rsid w:val="001528AF"/>
    <w:rsid w:val="0015293C"/>
    <w:rsid w:val="0015295A"/>
    <w:rsid w:val="00152998"/>
    <w:rsid w:val="001529EC"/>
    <w:rsid w:val="00152A0F"/>
    <w:rsid w:val="00152A26"/>
    <w:rsid w:val="00152A29"/>
    <w:rsid w:val="00152A5D"/>
    <w:rsid w:val="00152A84"/>
    <w:rsid w:val="00152ACE"/>
    <w:rsid w:val="00152ACF"/>
    <w:rsid w:val="00152BC5"/>
    <w:rsid w:val="00152BC6"/>
    <w:rsid w:val="00152C76"/>
    <w:rsid w:val="00152E63"/>
    <w:rsid w:val="00152EEA"/>
    <w:rsid w:val="00152EEB"/>
    <w:rsid w:val="00152F50"/>
    <w:rsid w:val="00152F6D"/>
    <w:rsid w:val="00152F8E"/>
    <w:rsid w:val="00152FBC"/>
    <w:rsid w:val="00153057"/>
    <w:rsid w:val="001530A3"/>
    <w:rsid w:val="001530B0"/>
    <w:rsid w:val="001530D6"/>
    <w:rsid w:val="001530DD"/>
    <w:rsid w:val="00153122"/>
    <w:rsid w:val="00153150"/>
    <w:rsid w:val="001531CC"/>
    <w:rsid w:val="00153294"/>
    <w:rsid w:val="0015334E"/>
    <w:rsid w:val="00153368"/>
    <w:rsid w:val="00153385"/>
    <w:rsid w:val="001533FD"/>
    <w:rsid w:val="00153420"/>
    <w:rsid w:val="00153436"/>
    <w:rsid w:val="0015343F"/>
    <w:rsid w:val="0015349A"/>
    <w:rsid w:val="0015353D"/>
    <w:rsid w:val="001535B8"/>
    <w:rsid w:val="0015364D"/>
    <w:rsid w:val="00153786"/>
    <w:rsid w:val="001537B6"/>
    <w:rsid w:val="00153821"/>
    <w:rsid w:val="0015383A"/>
    <w:rsid w:val="00153860"/>
    <w:rsid w:val="001538D3"/>
    <w:rsid w:val="00153A2A"/>
    <w:rsid w:val="00153B04"/>
    <w:rsid w:val="00153B08"/>
    <w:rsid w:val="00153B25"/>
    <w:rsid w:val="00153B36"/>
    <w:rsid w:val="00153CF4"/>
    <w:rsid w:val="00153D5E"/>
    <w:rsid w:val="00153D9A"/>
    <w:rsid w:val="00153DC7"/>
    <w:rsid w:val="00153EF7"/>
    <w:rsid w:val="00153F58"/>
    <w:rsid w:val="00154035"/>
    <w:rsid w:val="00154038"/>
    <w:rsid w:val="0015412B"/>
    <w:rsid w:val="001542B7"/>
    <w:rsid w:val="001542BC"/>
    <w:rsid w:val="001542F1"/>
    <w:rsid w:val="00154455"/>
    <w:rsid w:val="001544CF"/>
    <w:rsid w:val="0015456F"/>
    <w:rsid w:val="00154581"/>
    <w:rsid w:val="00154590"/>
    <w:rsid w:val="001545AB"/>
    <w:rsid w:val="00154689"/>
    <w:rsid w:val="001546B8"/>
    <w:rsid w:val="001546F5"/>
    <w:rsid w:val="00154739"/>
    <w:rsid w:val="00154754"/>
    <w:rsid w:val="00154777"/>
    <w:rsid w:val="0015477A"/>
    <w:rsid w:val="00154891"/>
    <w:rsid w:val="001549C0"/>
    <w:rsid w:val="00154AE5"/>
    <w:rsid w:val="00154AE8"/>
    <w:rsid w:val="00154BB1"/>
    <w:rsid w:val="00154BC6"/>
    <w:rsid w:val="00154CC0"/>
    <w:rsid w:val="00154CDA"/>
    <w:rsid w:val="00154D89"/>
    <w:rsid w:val="00154ECC"/>
    <w:rsid w:val="00154ED2"/>
    <w:rsid w:val="00154F3A"/>
    <w:rsid w:val="00154FB3"/>
    <w:rsid w:val="00155090"/>
    <w:rsid w:val="001551CD"/>
    <w:rsid w:val="00155211"/>
    <w:rsid w:val="00155238"/>
    <w:rsid w:val="001552A5"/>
    <w:rsid w:val="001552D0"/>
    <w:rsid w:val="0015538C"/>
    <w:rsid w:val="00155394"/>
    <w:rsid w:val="0015545C"/>
    <w:rsid w:val="0015546E"/>
    <w:rsid w:val="0015550D"/>
    <w:rsid w:val="0015558E"/>
    <w:rsid w:val="0015578F"/>
    <w:rsid w:val="00155807"/>
    <w:rsid w:val="00155897"/>
    <w:rsid w:val="001558CF"/>
    <w:rsid w:val="0015595D"/>
    <w:rsid w:val="001559C3"/>
    <w:rsid w:val="00155A2B"/>
    <w:rsid w:val="00155A6A"/>
    <w:rsid w:val="00155A6E"/>
    <w:rsid w:val="00155AA8"/>
    <w:rsid w:val="00155B05"/>
    <w:rsid w:val="00155B34"/>
    <w:rsid w:val="00155B43"/>
    <w:rsid w:val="00155BE7"/>
    <w:rsid w:val="00155C86"/>
    <w:rsid w:val="00155CB7"/>
    <w:rsid w:val="00155DBB"/>
    <w:rsid w:val="00155E60"/>
    <w:rsid w:val="00155EFA"/>
    <w:rsid w:val="00155F35"/>
    <w:rsid w:val="00155F51"/>
    <w:rsid w:val="00155FAB"/>
    <w:rsid w:val="00155FB2"/>
    <w:rsid w:val="00155FC3"/>
    <w:rsid w:val="00156072"/>
    <w:rsid w:val="00156148"/>
    <w:rsid w:val="0015617A"/>
    <w:rsid w:val="001561BE"/>
    <w:rsid w:val="001561E6"/>
    <w:rsid w:val="00156261"/>
    <w:rsid w:val="00156296"/>
    <w:rsid w:val="0015629E"/>
    <w:rsid w:val="001562EA"/>
    <w:rsid w:val="00156353"/>
    <w:rsid w:val="00156357"/>
    <w:rsid w:val="001563AD"/>
    <w:rsid w:val="0015644F"/>
    <w:rsid w:val="001565CB"/>
    <w:rsid w:val="001565EA"/>
    <w:rsid w:val="00156735"/>
    <w:rsid w:val="0015680D"/>
    <w:rsid w:val="00156837"/>
    <w:rsid w:val="00156889"/>
    <w:rsid w:val="001568E7"/>
    <w:rsid w:val="0015690A"/>
    <w:rsid w:val="0015697D"/>
    <w:rsid w:val="00156A53"/>
    <w:rsid w:val="00156A98"/>
    <w:rsid w:val="00156AA3"/>
    <w:rsid w:val="00156AC1"/>
    <w:rsid w:val="00156AE8"/>
    <w:rsid w:val="00156AF8"/>
    <w:rsid w:val="00156BBA"/>
    <w:rsid w:val="00156BED"/>
    <w:rsid w:val="00156BF2"/>
    <w:rsid w:val="00156C98"/>
    <w:rsid w:val="00156CAD"/>
    <w:rsid w:val="00156CB7"/>
    <w:rsid w:val="00156D40"/>
    <w:rsid w:val="00156D4E"/>
    <w:rsid w:val="00156DBB"/>
    <w:rsid w:val="00156E3E"/>
    <w:rsid w:val="00156ECF"/>
    <w:rsid w:val="00156F8A"/>
    <w:rsid w:val="00156FF4"/>
    <w:rsid w:val="001571F3"/>
    <w:rsid w:val="0015722A"/>
    <w:rsid w:val="00157271"/>
    <w:rsid w:val="001572AC"/>
    <w:rsid w:val="001573CD"/>
    <w:rsid w:val="00157508"/>
    <w:rsid w:val="0015773D"/>
    <w:rsid w:val="0015776B"/>
    <w:rsid w:val="001577CB"/>
    <w:rsid w:val="001578A2"/>
    <w:rsid w:val="001578E1"/>
    <w:rsid w:val="001579B0"/>
    <w:rsid w:val="00157B34"/>
    <w:rsid w:val="00157BCF"/>
    <w:rsid w:val="00157C25"/>
    <w:rsid w:val="00157C50"/>
    <w:rsid w:val="00157C52"/>
    <w:rsid w:val="00157C61"/>
    <w:rsid w:val="00157C74"/>
    <w:rsid w:val="00157CC0"/>
    <w:rsid w:val="00157D10"/>
    <w:rsid w:val="00157E9E"/>
    <w:rsid w:val="00157EF8"/>
    <w:rsid w:val="00157F12"/>
    <w:rsid w:val="00157F9F"/>
    <w:rsid w:val="00157FC6"/>
    <w:rsid w:val="001600F0"/>
    <w:rsid w:val="0016012A"/>
    <w:rsid w:val="00160137"/>
    <w:rsid w:val="001602E0"/>
    <w:rsid w:val="001602E3"/>
    <w:rsid w:val="00160310"/>
    <w:rsid w:val="00160387"/>
    <w:rsid w:val="0016040D"/>
    <w:rsid w:val="0016041F"/>
    <w:rsid w:val="001604C9"/>
    <w:rsid w:val="001604E8"/>
    <w:rsid w:val="001606F3"/>
    <w:rsid w:val="001607FC"/>
    <w:rsid w:val="001608C1"/>
    <w:rsid w:val="00160913"/>
    <w:rsid w:val="0016098F"/>
    <w:rsid w:val="00160AFB"/>
    <w:rsid w:val="00160BAF"/>
    <w:rsid w:val="00160BC4"/>
    <w:rsid w:val="00160C40"/>
    <w:rsid w:val="00160CC8"/>
    <w:rsid w:val="00160D60"/>
    <w:rsid w:val="00160E40"/>
    <w:rsid w:val="00160EC1"/>
    <w:rsid w:val="00160EF6"/>
    <w:rsid w:val="001610F9"/>
    <w:rsid w:val="001611A0"/>
    <w:rsid w:val="001612BF"/>
    <w:rsid w:val="001612ED"/>
    <w:rsid w:val="00161305"/>
    <w:rsid w:val="00161378"/>
    <w:rsid w:val="001613EF"/>
    <w:rsid w:val="00161465"/>
    <w:rsid w:val="00161480"/>
    <w:rsid w:val="00161491"/>
    <w:rsid w:val="00161572"/>
    <w:rsid w:val="001615B7"/>
    <w:rsid w:val="00161601"/>
    <w:rsid w:val="00161636"/>
    <w:rsid w:val="00161748"/>
    <w:rsid w:val="00161875"/>
    <w:rsid w:val="00161941"/>
    <w:rsid w:val="00161974"/>
    <w:rsid w:val="00161ABC"/>
    <w:rsid w:val="00161AD6"/>
    <w:rsid w:val="00161BC0"/>
    <w:rsid w:val="00161BC6"/>
    <w:rsid w:val="00161BE3"/>
    <w:rsid w:val="00161C11"/>
    <w:rsid w:val="00161CC0"/>
    <w:rsid w:val="00161CEF"/>
    <w:rsid w:val="00161E61"/>
    <w:rsid w:val="00161E6B"/>
    <w:rsid w:val="00161FB6"/>
    <w:rsid w:val="00161FF2"/>
    <w:rsid w:val="001620E8"/>
    <w:rsid w:val="0016212D"/>
    <w:rsid w:val="001621B9"/>
    <w:rsid w:val="001621DC"/>
    <w:rsid w:val="00162244"/>
    <w:rsid w:val="0016228F"/>
    <w:rsid w:val="0016229C"/>
    <w:rsid w:val="001622ED"/>
    <w:rsid w:val="00162475"/>
    <w:rsid w:val="00162483"/>
    <w:rsid w:val="00162497"/>
    <w:rsid w:val="001624C8"/>
    <w:rsid w:val="0016250B"/>
    <w:rsid w:val="00162530"/>
    <w:rsid w:val="001625AB"/>
    <w:rsid w:val="00162631"/>
    <w:rsid w:val="0016287D"/>
    <w:rsid w:val="001628B5"/>
    <w:rsid w:val="0016292E"/>
    <w:rsid w:val="00162996"/>
    <w:rsid w:val="00162BDD"/>
    <w:rsid w:val="00162C6E"/>
    <w:rsid w:val="00162CAD"/>
    <w:rsid w:val="00162D36"/>
    <w:rsid w:val="00162D3D"/>
    <w:rsid w:val="00162ECB"/>
    <w:rsid w:val="00162F50"/>
    <w:rsid w:val="00162F60"/>
    <w:rsid w:val="00162F6C"/>
    <w:rsid w:val="00162FAB"/>
    <w:rsid w:val="00163087"/>
    <w:rsid w:val="001631B6"/>
    <w:rsid w:val="001631C7"/>
    <w:rsid w:val="00163238"/>
    <w:rsid w:val="00163250"/>
    <w:rsid w:val="0016325B"/>
    <w:rsid w:val="00163276"/>
    <w:rsid w:val="001632DA"/>
    <w:rsid w:val="0016330D"/>
    <w:rsid w:val="00163349"/>
    <w:rsid w:val="00163384"/>
    <w:rsid w:val="0016338B"/>
    <w:rsid w:val="00163457"/>
    <w:rsid w:val="001634E4"/>
    <w:rsid w:val="001635BC"/>
    <w:rsid w:val="00163695"/>
    <w:rsid w:val="001636B9"/>
    <w:rsid w:val="001636C3"/>
    <w:rsid w:val="001636E0"/>
    <w:rsid w:val="001636EA"/>
    <w:rsid w:val="001637BE"/>
    <w:rsid w:val="001637D6"/>
    <w:rsid w:val="0016389E"/>
    <w:rsid w:val="001638D0"/>
    <w:rsid w:val="001638DD"/>
    <w:rsid w:val="0016395C"/>
    <w:rsid w:val="00163A77"/>
    <w:rsid w:val="00163ABE"/>
    <w:rsid w:val="00163B16"/>
    <w:rsid w:val="00163C0E"/>
    <w:rsid w:val="00163C88"/>
    <w:rsid w:val="00163E4A"/>
    <w:rsid w:val="00163E52"/>
    <w:rsid w:val="00163E7B"/>
    <w:rsid w:val="00163F8C"/>
    <w:rsid w:val="00163FEE"/>
    <w:rsid w:val="00164008"/>
    <w:rsid w:val="0016403E"/>
    <w:rsid w:val="0016408C"/>
    <w:rsid w:val="0016410E"/>
    <w:rsid w:val="00164135"/>
    <w:rsid w:val="00164147"/>
    <w:rsid w:val="00164160"/>
    <w:rsid w:val="00164177"/>
    <w:rsid w:val="001641AB"/>
    <w:rsid w:val="001641B8"/>
    <w:rsid w:val="001641FF"/>
    <w:rsid w:val="00164326"/>
    <w:rsid w:val="0016436C"/>
    <w:rsid w:val="001644E4"/>
    <w:rsid w:val="00164509"/>
    <w:rsid w:val="00164513"/>
    <w:rsid w:val="0016457F"/>
    <w:rsid w:val="001645C5"/>
    <w:rsid w:val="001645EF"/>
    <w:rsid w:val="00164603"/>
    <w:rsid w:val="0016468E"/>
    <w:rsid w:val="00164827"/>
    <w:rsid w:val="001649DB"/>
    <w:rsid w:val="00164A10"/>
    <w:rsid w:val="00164A3E"/>
    <w:rsid w:val="00164B4F"/>
    <w:rsid w:val="00164B64"/>
    <w:rsid w:val="00164C01"/>
    <w:rsid w:val="00164C09"/>
    <w:rsid w:val="00164C36"/>
    <w:rsid w:val="00164C41"/>
    <w:rsid w:val="00164D24"/>
    <w:rsid w:val="00164E74"/>
    <w:rsid w:val="00164F5B"/>
    <w:rsid w:val="00164F93"/>
    <w:rsid w:val="00164F9A"/>
    <w:rsid w:val="0016507B"/>
    <w:rsid w:val="0016512D"/>
    <w:rsid w:val="00165154"/>
    <w:rsid w:val="001651CF"/>
    <w:rsid w:val="001651D6"/>
    <w:rsid w:val="001651EF"/>
    <w:rsid w:val="00165227"/>
    <w:rsid w:val="0016524C"/>
    <w:rsid w:val="001652C4"/>
    <w:rsid w:val="00165329"/>
    <w:rsid w:val="001653E3"/>
    <w:rsid w:val="00165432"/>
    <w:rsid w:val="00165434"/>
    <w:rsid w:val="00165519"/>
    <w:rsid w:val="0016551A"/>
    <w:rsid w:val="00165617"/>
    <w:rsid w:val="00165639"/>
    <w:rsid w:val="0016564C"/>
    <w:rsid w:val="001656D8"/>
    <w:rsid w:val="001657E7"/>
    <w:rsid w:val="001657FD"/>
    <w:rsid w:val="00165826"/>
    <w:rsid w:val="0016588C"/>
    <w:rsid w:val="001658F9"/>
    <w:rsid w:val="00165928"/>
    <w:rsid w:val="0016594D"/>
    <w:rsid w:val="0016595F"/>
    <w:rsid w:val="00165975"/>
    <w:rsid w:val="00165983"/>
    <w:rsid w:val="001659CD"/>
    <w:rsid w:val="001659E5"/>
    <w:rsid w:val="00165BAC"/>
    <w:rsid w:val="00165BD3"/>
    <w:rsid w:val="00165BE4"/>
    <w:rsid w:val="00165C04"/>
    <w:rsid w:val="00165C8E"/>
    <w:rsid w:val="00165D7A"/>
    <w:rsid w:val="00165DE0"/>
    <w:rsid w:val="00165E1F"/>
    <w:rsid w:val="00165E66"/>
    <w:rsid w:val="00166049"/>
    <w:rsid w:val="001660E9"/>
    <w:rsid w:val="00166138"/>
    <w:rsid w:val="0016616B"/>
    <w:rsid w:val="00166259"/>
    <w:rsid w:val="00166382"/>
    <w:rsid w:val="001663C3"/>
    <w:rsid w:val="001663E7"/>
    <w:rsid w:val="00166422"/>
    <w:rsid w:val="00166439"/>
    <w:rsid w:val="0016654B"/>
    <w:rsid w:val="001665DD"/>
    <w:rsid w:val="001666B8"/>
    <w:rsid w:val="0016670E"/>
    <w:rsid w:val="00166751"/>
    <w:rsid w:val="0016679E"/>
    <w:rsid w:val="001667CF"/>
    <w:rsid w:val="0016682D"/>
    <w:rsid w:val="00166846"/>
    <w:rsid w:val="001668B9"/>
    <w:rsid w:val="001668C1"/>
    <w:rsid w:val="00166A66"/>
    <w:rsid w:val="00166B03"/>
    <w:rsid w:val="00166B76"/>
    <w:rsid w:val="00166BAE"/>
    <w:rsid w:val="00166BCA"/>
    <w:rsid w:val="00166C2B"/>
    <w:rsid w:val="00166C31"/>
    <w:rsid w:val="00166CE7"/>
    <w:rsid w:val="00166CF1"/>
    <w:rsid w:val="00166D08"/>
    <w:rsid w:val="00166DA3"/>
    <w:rsid w:val="00166E44"/>
    <w:rsid w:val="00166EEC"/>
    <w:rsid w:val="00166FA4"/>
    <w:rsid w:val="001670A9"/>
    <w:rsid w:val="00167116"/>
    <w:rsid w:val="00167122"/>
    <w:rsid w:val="0016712D"/>
    <w:rsid w:val="00167146"/>
    <w:rsid w:val="00167170"/>
    <w:rsid w:val="00167206"/>
    <w:rsid w:val="0016725C"/>
    <w:rsid w:val="00167296"/>
    <w:rsid w:val="0016731F"/>
    <w:rsid w:val="001673D1"/>
    <w:rsid w:val="0016740A"/>
    <w:rsid w:val="00167416"/>
    <w:rsid w:val="001674D3"/>
    <w:rsid w:val="001674D7"/>
    <w:rsid w:val="00167526"/>
    <w:rsid w:val="0016763F"/>
    <w:rsid w:val="001676A1"/>
    <w:rsid w:val="001676FE"/>
    <w:rsid w:val="0016775B"/>
    <w:rsid w:val="00167767"/>
    <w:rsid w:val="001679AD"/>
    <w:rsid w:val="00167AFC"/>
    <w:rsid w:val="00167B67"/>
    <w:rsid w:val="00167C6B"/>
    <w:rsid w:val="00167D0B"/>
    <w:rsid w:val="00167D49"/>
    <w:rsid w:val="00167D50"/>
    <w:rsid w:val="00167DA4"/>
    <w:rsid w:val="00167DF9"/>
    <w:rsid w:val="00167E08"/>
    <w:rsid w:val="00167E1E"/>
    <w:rsid w:val="00167E24"/>
    <w:rsid w:val="00167F60"/>
    <w:rsid w:val="00167FAA"/>
    <w:rsid w:val="00167FEE"/>
    <w:rsid w:val="00167FFA"/>
    <w:rsid w:val="001700AA"/>
    <w:rsid w:val="0017015C"/>
    <w:rsid w:val="001701F4"/>
    <w:rsid w:val="001702ED"/>
    <w:rsid w:val="00170300"/>
    <w:rsid w:val="00170315"/>
    <w:rsid w:val="001703D8"/>
    <w:rsid w:val="001703ED"/>
    <w:rsid w:val="001703F6"/>
    <w:rsid w:val="00170401"/>
    <w:rsid w:val="00170460"/>
    <w:rsid w:val="00170491"/>
    <w:rsid w:val="0017051F"/>
    <w:rsid w:val="00170568"/>
    <w:rsid w:val="00170619"/>
    <w:rsid w:val="00170647"/>
    <w:rsid w:val="00170651"/>
    <w:rsid w:val="001706B3"/>
    <w:rsid w:val="0017080A"/>
    <w:rsid w:val="00170810"/>
    <w:rsid w:val="0017086A"/>
    <w:rsid w:val="00170993"/>
    <w:rsid w:val="00170B5A"/>
    <w:rsid w:val="00170B6F"/>
    <w:rsid w:val="00170BCD"/>
    <w:rsid w:val="00170BDE"/>
    <w:rsid w:val="00170C2F"/>
    <w:rsid w:val="00170CCD"/>
    <w:rsid w:val="00170D36"/>
    <w:rsid w:val="00170D4B"/>
    <w:rsid w:val="00170DED"/>
    <w:rsid w:val="00170E03"/>
    <w:rsid w:val="00170E46"/>
    <w:rsid w:val="00170E5F"/>
    <w:rsid w:val="00170E78"/>
    <w:rsid w:val="00170EA4"/>
    <w:rsid w:val="00170F71"/>
    <w:rsid w:val="00170FD6"/>
    <w:rsid w:val="00171042"/>
    <w:rsid w:val="0017104B"/>
    <w:rsid w:val="0017114C"/>
    <w:rsid w:val="00171154"/>
    <w:rsid w:val="00171246"/>
    <w:rsid w:val="001712E0"/>
    <w:rsid w:val="0017135E"/>
    <w:rsid w:val="00171460"/>
    <w:rsid w:val="0017151D"/>
    <w:rsid w:val="001715DE"/>
    <w:rsid w:val="0017163C"/>
    <w:rsid w:val="001716FE"/>
    <w:rsid w:val="00171844"/>
    <w:rsid w:val="00171885"/>
    <w:rsid w:val="0017190A"/>
    <w:rsid w:val="00171948"/>
    <w:rsid w:val="00171957"/>
    <w:rsid w:val="00171A84"/>
    <w:rsid w:val="00171A93"/>
    <w:rsid w:val="00171B44"/>
    <w:rsid w:val="00171BAF"/>
    <w:rsid w:val="00171C8B"/>
    <w:rsid w:val="00171D68"/>
    <w:rsid w:val="00171E39"/>
    <w:rsid w:val="00171E3A"/>
    <w:rsid w:val="00171E43"/>
    <w:rsid w:val="00171F55"/>
    <w:rsid w:val="001720C1"/>
    <w:rsid w:val="00172101"/>
    <w:rsid w:val="0017217C"/>
    <w:rsid w:val="001721BB"/>
    <w:rsid w:val="001722E7"/>
    <w:rsid w:val="00172411"/>
    <w:rsid w:val="00172469"/>
    <w:rsid w:val="0017256A"/>
    <w:rsid w:val="00172633"/>
    <w:rsid w:val="00172652"/>
    <w:rsid w:val="0017271A"/>
    <w:rsid w:val="001727EE"/>
    <w:rsid w:val="0017287C"/>
    <w:rsid w:val="001728DC"/>
    <w:rsid w:val="001728EB"/>
    <w:rsid w:val="00172907"/>
    <w:rsid w:val="00172A05"/>
    <w:rsid w:val="00172A9C"/>
    <w:rsid w:val="00172B79"/>
    <w:rsid w:val="00172C03"/>
    <w:rsid w:val="00172C5E"/>
    <w:rsid w:val="00172C7D"/>
    <w:rsid w:val="00172C90"/>
    <w:rsid w:val="00172CAB"/>
    <w:rsid w:val="00172D00"/>
    <w:rsid w:val="00172D47"/>
    <w:rsid w:val="00172D7E"/>
    <w:rsid w:val="00172E14"/>
    <w:rsid w:val="00172E59"/>
    <w:rsid w:val="00172ED8"/>
    <w:rsid w:val="00172EDC"/>
    <w:rsid w:val="00172F05"/>
    <w:rsid w:val="00172F7A"/>
    <w:rsid w:val="00172FD4"/>
    <w:rsid w:val="00173092"/>
    <w:rsid w:val="00173098"/>
    <w:rsid w:val="001730D4"/>
    <w:rsid w:val="001730FB"/>
    <w:rsid w:val="0017318C"/>
    <w:rsid w:val="001731EC"/>
    <w:rsid w:val="00173222"/>
    <w:rsid w:val="0017322C"/>
    <w:rsid w:val="001732A8"/>
    <w:rsid w:val="001732DE"/>
    <w:rsid w:val="00173315"/>
    <w:rsid w:val="001733E3"/>
    <w:rsid w:val="00173413"/>
    <w:rsid w:val="001734A7"/>
    <w:rsid w:val="001734E9"/>
    <w:rsid w:val="00173521"/>
    <w:rsid w:val="00173610"/>
    <w:rsid w:val="00173659"/>
    <w:rsid w:val="00173868"/>
    <w:rsid w:val="0017387A"/>
    <w:rsid w:val="00173932"/>
    <w:rsid w:val="001739CF"/>
    <w:rsid w:val="00173A3D"/>
    <w:rsid w:val="00173AAF"/>
    <w:rsid w:val="00173AFA"/>
    <w:rsid w:val="00173B2C"/>
    <w:rsid w:val="00173B4A"/>
    <w:rsid w:val="00173C1E"/>
    <w:rsid w:val="00173C94"/>
    <w:rsid w:val="00173CB1"/>
    <w:rsid w:val="00173E22"/>
    <w:rsid w:val="00173E25"/>
    <w:rsid w:val="00173E65"/>
    <w:rsid w:val="00173EAE"/>
    <w:rsid w:val="00173EDB"/>
    <w:rsid w:val="00173EE1"/>
    <w:rsid w:val="00173FBF"/>
    <w:rsid w:val="00173FC5"/>
    <w:rsid w:val="00174039"/>
    <w:rsid w:val="001740D2"/>
    <w:rsid w:val="001740E5"/>
    <w:rsid w:val="001741B1"/>
    <w:rsid w:val="001741C7"/>
    <w:rsid w:val="001741FB"/>
    <w:rsid w:val="00174264"/>
    <w:rsid w:val="00174302"/>
    <w:rsid w:val="00174326"/>
    <w:rsid w:val="00174355"/>
    <w:rsid w:val="001743AB"/>
    <w:rsid w:val="00174429"/>
    <w:rsid w:val="00174440"/>
    <w:rsid w:val="0017445F"/>
    <w:rsid w:val="00174492"/>
    <w:rsid w:val="00174519"/>
    <w:rsid w:val="0017455D"/>
    <w:rsid w:val="0017458D"/>
    <w:rsid w:val="001745EF"/>
    <w:rsid w:val="00174763"/>
    <w:rsid w:val="001748DC"/>
    <w:rsid w:val="00174951"/>
    <w:rsid w:val="00174988"/>
    <w:rsid w:val="001749F4"/>
    <w:rsid w:val="001749FE"/>
    <w:rsid w:val="00174A52"/>
    <w:rsid w:val="00174A97"/>
    <w:rsid w:val="00174A9E"/>
    <w:rsid w:val="00174D5C"/>
    <w:rsid w:val="00174DBE"/>
    <w:rsid w:val="00174DCA"/>
    <w:rsid w:val="00174DEE"/>
    <w:rsid w:val="00174DF2"/>
    <w:rsid w:val="00174EFF"/>
    <w:rsid w:val="00174F09"/>
    <w:rsid w:val="00174FAF"/>
    <w:rsid w:val="00174FBC"/>
    <w:rsid w:val="0017506B"/>
    <w:rsid w:val="0017516D"/>
    <w:rsid w:val="001751D6"/>
    <w:rsid w:val="001751EB"/>
    <w:rsid w:val="00175273"/>
    <w:rsid w:val="0017527C"/>
    <w:rsid w:val="0017536B"/>
    <w:rsid w:val="001753A9"/>
    <w:rsid w:val="001753D7"/>
    <w:rsid w:val="001754A9"/>
    <w:rsid w:val="001754AD"/>
    <w:rsid w:val="001754CA"/>
    <w:rsid w:val="0017555A"/>
    <w:rsid w:val="001755B8"/>
    <w:rsid w:val="001755F9"/>
    <w:rsid w:val="00175619"/>
    <w:rsid w:val="0017561E"/>
    <w:rsid w:val="0017565D"/>
    <w:rsid w:val="0017565F"/>
    <w:rsid w:val="00175718"/>
    <w:rsid w:val="0017573C"/>
    <w:rsid w:val="0017574A"/>
    <w:rsid w:val="0017583C"/>
    <w:rsid w:val="0017589F"/>
    <w:rsid w:val="001758DA"/>
    <w:rsid w:val="00175A4E"/>
    <w:rsid w:val="00175AEC"/>
    <w:rsid w:val="00175B89"/>
    <w:rsid w:val="00175C0D"/>
    <w:rsid w:val="00175C6D"/>
    <w:rsid w:val="00175CB3"/>
    <w:rsid w:val="00175D54"/>
    <w:rsid w:val="00175DB3"/>
    <w:rsid w:val="0017603E"/>
    <w:rsid w:val="00176044"/>
    <w:rsid w:val="00176054"/>
    <w:rsid w:val="0017608A"/>
    <w:rsid w:val="0017609B"/>
    <w:rsid w:val="001761B0"/>
    <w:rsid w:val="0017625F"/>
    <w:rsid w:val="001762AA"/>
    <w:rsid w:val="001762B2"/>
    <w:rsid w:val="001762EE"/>
    <w:rsid w:val="00176318"/>
    <w:rsid w:val="0017633E"/>
    <w:rsid w:val="00176439"/>
    <w:rsid w:val="0017648E"/>
    <w:rsid w:val="001765D4"/>
    <w:rsid w:val="001766CC"/>
    <w:rsid w:val="001767CD"/>
    <w:rsid w:val="001767DC"/>
    <w:rsid w:val="00176B21"/>
    <w:rsid w:val="00176C48"/>
    <w:rsid w:val="00176C87"/>
    <w:rsid w:val="00176D0D"/>
    <w:rsid w:val="00176D4B"/>
    <w:rsid w:val="00176E59"/>
    <w:rsid w:val="00176E9C"/>
    <w:rsid w:val="00176F0C"/>
    <w:rsid w:val="00176F8F"/>
    <w:rsid w:val="00176FA1"/>
    <w:rsid w:val="00177087"/>
    <w:rsid w:val="00177092"/>
    <w:rsid w:val="0017714C"/>
    <w:rsid w:val="001771D5"/>
    <w:rsid w:val="001772B5"/>
    <w:rsid w:val="001772D4"/>
    <w:rsid w:val="0017733D"/>
    <w:rsid w:val="00177366"/>
    <w:rsid w:val="001773F5"/>
    <w:rsid w:val="0017740E"/>
    <w:rsid w:val="0017742D"/>
    <w:rsid w:val="00177542"/>
    <w:rsid w:val="00177624"/>
    <w:rsid w:val="00177629"/>
    <w:rsid w:val="001776D6"/>
    <w:rsid w:val="00177711"/>
    <w:rsid w:val="00177743"/>
    <w:rsid w:val="0017776E"/>
    <w:rsid w:val="0017787F"/>
    <w:rsid w:val="00177921"/>
    <w:rsid w:val="00177949"/>
    <w:rsid w:val="0017794C"/>
    <w:rsid w:val="00177A34"/>
    <w:rsid w:val="00177A37"/>
    <w:rsid w:val="00177A5C"/>
    <w:rsid w:val="00177B18"/>
    <w:rsid w:val="00177BF3"/>
    <w:rsid w:val="00177C0D"/>
    <w:rsid w:val="00177D6C"/>
    <w:rsid w:val="00177DF6"/>
    <w:rsid w:val="00177E27"/>
    <w:rsid w:val="00177EAB"/>
    <w:rsid w:val="00177F9A"/>
    <w:rsid w:val="00177FF3"/>
    <w:rsid w:val="00180002"/>
    <w:rsid w:val="00180052"/>
    <w:rsid w:val="001801F1"/>
    <w:rsid w:val="0018020C"/>
    <w:rsid w:val="001802A5"/>
    <w:rsid w:val="001802D5"/>
    <w:rsid w:val="00180321"/>
    <w:rsid w:val="00180361"/>
    <w:rsid w:val="001803EC"/>
    <w:rsid w:val="0018044A"/>
    <w:rsid w:val="00180522"/>
    <w:rsid w:val="0018053D"/>
    <w:rsid w:val="00180564"/>
    <w:rsid w:val="00180573"/>
    <w:rsid w:val="00180651"/>
    <w:rsid w:val="00180700"/>
    <w:rsid w:val="00180702"/>
    <w:rsid w:val="00180807"/>
    <w:rsid w:val="00180818"/>
    <w:rsid w:val="001808BC"/>
    <w:rsid w:val="001808C1"/>
    <w:rsid w:val="00180962"/>
    <w:rsid w:val="00180992"/>
    <w:rsid w:val="00180AFB"/>
    <w:rsid w:val="00180B6A"/>
    <w:rsid w:val="00180BB4"/>
    <w:rsid w:val="00180C02"/>
    <w:rsid w:val="00180C91"/>
    <w:rsid w:val="00180D98"/>
    <w:rsid w:val="00180D99"/>
    <w:rsid w:val="00180DEF"/>
    <w:rsid w:val="00180E50"/>
    <w:rsid w:val="00180EE9"/>
    <w:rsid w:val="00180F4D"/>
    <w:rsid w:val="00180FA5"/>
    <w:rsid w:val="00180FF4"/>
    <w:rsid w:val="00181030"/>
    <w:rsid w:val="001811D3"/>
    <w:rsid w:val="00181217"/>
    <w:rsid w:val="00181304"/>
    <w:rsid w:val="0018136C"/>
    <w:rsid w:val="001813FA"/>
    <w:rsid w:val="00181437"/>
    <w:rsid w:val="00181488"/>
    <w:rsid w:val="00181493"/>
    <w:rsid w:val="001814A3"/>
    <w:rsid w:val="00181683"/>
    <w:rsid w:val="001816AA"/>
    <w:rsid w:val="001816D8"/>
    <w:rsid w:val="00181732"/>
    <w:rsid w:val="00181763"/>
    <w:rsid w:val="001817D2"/>
    <w:rsid w:val="00181802"/>
    <w:rsid w:val="0018182F"/>
    <w:rsid w:val="0018190D"/>
    <w:rsid w:val="00181A3A"/>
    <w:rsid w:val="00181B18"/>
    <w:rsid w:val="00181C99"/>
    <w:rsid w:val="00181D06"/>
    <w:rsid w:val="00181D40"/>
    <w:rsid w:val="00181DF2"/>
    <w:rsid w:val="00181E28"/>
    <w:rsid w:val="00181EE5"/>
    <w:rsid w:val="00181F17"/>
    <w:rsid w:val="001820D3"/>
    <w:rsid w:val="00182229"/>
    <w:rsid w:val="0018231E"/>
    <w:rsid w:val="00182339"/>
    <w:rsid w:val="0018233E"/>
    <w:rsid w:val="0018236F"/>
    <w:rsid w:val="001823E5"/>
    <w:rsid w:val="0018245E"/>
    <w:rsid w:val="0018246C"/>
    <w:rsid w:val="0018252B"/>
    <w:rsid w:val="00182539"/>
    <w:rsid w:val="00182556"/>
    <w:rsid w:val="00182574"/>
    <w:rsid w:val="001825A8"/>
    <w:rsid w:val="00182802"/>
    <w:rsid w:val="00182851"/>
    <w:rsid w:val="001828A3"/>
    <w:rsid w:val="001828BA"/>
    <w:rsid w:val="00182932"/>
    <w:rsid w:val="00182979"/>
    <w:rsid w:val="001829A4"/>
    <w:rsid w:val="00182BD1"/>
    <w:rsid w:val="00182CA2"/>
    <w:rsid w:val="00182CEC"/>
    <w:rsid w:val="00182DAA"/>
    <w:rsid w:val="00182EB1"/>
    <w:rsid w:val="00182EB5"/>
    <w:rsid w:val="00182FB3"/>
    <w:rsid w:val="00182FEF"/>
    <w:rsid w:val="0018317C"/>
    <w:rsid w:val="001831B3"/>
    <w:rsid w:val="001832AF"/>
    <w:rsid w:val="001832BD"/>
    <w:rsid w:val="001832D3"/>
    <w:rsid w:val="001832DB"/>
    <w:rsid w:val="00183334"/>
    <w:rsid w:val="00183379"/>
    <w:rsid w:val="00183431"/>
    <w:rsid w:val="001834A1"/>
    <w:rsid w:val="001834B2"/>
    <w:rsid w:val="001834BD"/>
    <w:rsid w:val="001834C3"/>
    <w:rsid w:val="0018353A"/>
    <w:rsid w:val="0018354A"/>
    <w:rsid w:val="00183576"/>
    <w:rsid w:val="0018357A"/>
    <w:rsid w:val="001835C9"/>
    <w:rsid w:val="00183665"/>
    <w:rsid w:val="00183694"/>
    <w:rsid w:val="001836B1"/>
    <w:rsid w:val="00183869"/>
    <w:rsid w:val="0018389A"/>
    <w:rsid w:val="001838EB"/>
    <w:rsid w:val="001839FD"/>
    <w:rsid w:val="00183A20"/>
    <w:rsid w:val="00183A2D"/>
    <w:rsid w:val="00183A81"/>
    <w:rsid w:val="00183AA8"/>
    <w:rsid w:val="00183B5A"/>
    <w:rsid w:val="00183B79"/>
    <w:rsid w:val="00183C10"/>
    <w:rsid w:val="00183C19"/>
    <w:rsid w:val="00183D11"/>
    <w:rsid w:val="00183D39"/>
    <w:rsid w:val="00183E01"/>
    <w:rsid w:val="00183E07"/>
    <w:rsid w:val="00183E0C"/>
    <w:rsid w:val="00183E1B"/>
    <w:rsid w:val="00183E9A"/>
    <w:rsid w:val="00183EBF"/>
    <w:rsid w:val="00183ED8"/>
    <w:rsid w:val="00183EE9"/>
    <w:rsid w:val="00183F27"/>
    <w:rsid w:val="00184014"/>
    <w:rsid w:val="00184076"/>
    <w:rsid w:val="0018409B"/>
    <w:rsid w:val="001840A6"/>
    <w:rsid w:val="00184121"/>
    <w:rsid w:val="0018412A"/>
    <w:rsid w:val="001841F2"/>
    <w:rsid w:val="001841F5"/>
    <w:rsid w:val="0018421F"/>
    <w:rsid w:val="00184243"/>
    <w:rsid w:val="00184249"/>
    <w:rsid w:val="00184268"/>
    <w:rsid w:val="00184273"/>
    <w:rsid w:val="001842DF"/>
    <w:rsid w:val="001842FD"/>
    <w:rsid w:val="001843F1"/>
    <w:rsid w:val="0018440C"/>
    <w:rsid w:val="00184455"/>
    <w:rsid w:val="00184587"/>
    <w:rsid w:val="001845F0"/>
    <w:rsid w:val="00184618"/>
    <w:rsid w:val="00184623"/>
    <w:rsid w:val="0018472A"/>
    <w:rsid w:val="0018474A"/>
    <w:rsid w:val="00184760"/>
    <w:rsid w:val="00184798"/>
    <w:rsid w:val="001847A4"/>
    <w:rsid w:val="00184915"/>
    <w:rsid w:val="0018495F"/>
    <w:rsid w:val="00184992"/>
    <w:rsid w:val="00184B7E"/>
    <w:rsid w:val="00184B93"/>
    <w:rsid w:val="00184BAB"/>
    <w:rsid w:val="00184BC8"/>
    <w:rsid w:val="00184C69"/>
    <w:rsid w:val="00184C91"/>
    <w:rsid w:val="00184DDF"/>
    <w:rsid w:val="00184DE4"/>
    <w:rsid w:val="00184DFA"/>
    <w:rsid w:val="00184EE1"/>
    <w:rsid w:val="00184EED"/>
    <w:rsid w:val="00184F02"/>
    <w:rsid w:val="00184F32"/>
    <w:rsid w:val="00184FFA"/>
    <w:rsid w:val="00185144"/>
    <w:rsid w:val="00185156"/>
    <w:rsid w:val="0018515D"/>
    <w:rsid w:val="0018516A"/>
    <w:rsid w:val="001851A2"/>
    <w:rsid w:val="001851E1"/>
    <w:rsid w:val="00185250"/>
    <w:rsid w:val="001852DC"/>
    <w:rsid w:val="001852EA"/>
    <w:rsid w:val="00185309"/>
    <w:rsid w:val="0018538C"/>
    <w:rsid w:val="001853C3"/>
    <w:rsid w:val="001854C6"/>
    <w:rsid w:val="00185589"/>
    <w:rsid w:val="0018562C"/>
    <w:rsid w:val="0018567F"/>
    <w:rsid w:val="001856F3"/>
    <w:rsid w:val="00185761"/>
    <w:rsid w:val="00185854"/>
    <w:rsid w:val="001858D8"/>
    <w:rsid w:val="00185987"/>
    <w:rsid w:val="001859B9"/>
    <w:rsid w:val="00185A54"/>
    <w:rsid w:val="00185B11"/>
    <w:rsid w:val="00185B21"/>
    <w:rsid w:val="00185BDC"/>
    <w:rsid w:val="00185CE0"/>
    <w:rsid w:val="00185E8D"/>
    <w:rsid w:val="00185E8E"/>
    <w:rsid w:val="00185EA7"/>
    <w:rsid w:val="00186000"/>
    <w:rsid w:val="0018601E"/>
    <w:rsid w:val="00186067"/>
    <w:rsid w:val="00186095"/>
    <w:rsid w:val="001862AA"/>
    <w:rsid w:val="00186475"/>
    <w:rsid w:val="001864F3"/>
    <w:rsid w:val="001864F7"/>
    <w:rsid w:val="001865B5"/>
    <w:rsid w:val="00186673"/>
    <w:rsid w:val="001866C9"/>
    <w:rsid w:val="001866DC"/>
    <w:rsid w:val="001867C2"/>
    <w:rsid w:val="00186826"/>
    <w:rsid w:val="00186839"/>
    <w:rsid w:val="0018694E"/>
    <w:rsid w:val="0018695D"/>
    <w:rsid w:val="00186A05"/>
    <w:rsid w:val="00186A0A"/>
    <w:rsid w:val="00186A57"/>
    <w:rsid w:val="00186B64"/>
    <w:rsid w:val="00186B66"/>
    <w:rsid w:val="00186BC1"/>
    <w:rsid w:val="00186BFF"/>
    <w:rsid w:val="00186C26"/>
    <w:rsid w:val="00186C52"/>
    <w:rsid w:val="00186CB5"/>
    <w:rsid w:val="00186D22"/>
    <w:rsid w:val="00186D87"/>
    <w:rsid w:val="00186DD6"/>
    <w:rsid w:val="00186E15"/>
    <w:rsid w:val="00186E24"/>
    <w:rsid w:val="00186E8D"/>
    <w:rsid w:val="00186EF8"/>
    <w:rsid w:val="00187019"/>
    <w:rsid w:val="001871C7"/>
    <w:rsid w:val="0018729F"/>
    <w:rsid w:val="00187441"/>
    <w:rsid w:val="0018750F"/>
    <w:rsid w:val="00187573"/>
    <w:rsid w:val="001875FB"/>
    <w:rsid w:val="0018760D"/>
    <w:rsid w:val="00187646"/>
    <w:rsid w:val="00187688"/>
    <w:rsid w:val="001876EE"/>
    <w:rsid w:val="001877E9"/>
    <w:rsid w:val="001878B4"/>
    <w:rsid w:val="00187906"/>
    <w:rsid w:val="00187A06"/>
    <w:rsid w:val="00187A09"/>
    <w:rsid w:val="00187AF2"/>
    <w:rsid w:val="00187B28"/>
    <w:rsid w:val="00187C2C"/>
    <w:rsid w:val="00187CA4"/>
    <w:rsid w:val="00187D34"/>
    <w:rsid w:val="00187DA6"/>
    <w:rsid w:val="00187DCE"/>
    <w:rsid w:val="00187E03"/>
    <w:rsid w:val="00187E2F"/>
    <w:rsid w:val="00187E5D"/>
    <w:rsid w:val="00187E74"/>
    <w:rsid w:val="00190061"/>
    <w:rsid w:val="00190097"/>
    <w:rsid w:val="001901A4"/>
    <w:rsid w:val="001901BE"/>
    <w:rsid w:val="00190343"/>
    <w:rsid w:val="00190348"/>
    <w:rsid w:val="001903F0"/>
    <w:rsid w:val="0019040F"/>
    <w:rsid w:val="00190430"/>
    <w:rsid w:val="00190437"/>
    <w:rsid w:val="00190493"/>
    <w:rsid w:val="001904B3"/>
    <w:rsid w:val="001905A2"/>
    <w:rsid w:val="001905CB"/>
    <w:rsid w:val="001905EC"/>
    <w:rsid w:val="00190620"/>
    <w:rsid w:val="0019072A"/>
    <w:rsid w:val="00190758"/>
    <w:rsid w:val="00190873"/>
    <w:rsid w:val="001909AC"/>
    <w:rsid w:val="00190AC8"/>
    <w:rsid w:val="00190B30"/>
    <w:rsid w:val="00190B4E"/>
    <w:rsid w:val="00190B59"/>
    <w:rsid w:val="00190BB9"/>
    <w:rsid w:val="00190BBB"/>
    <w:rsid w:val="00190BC2"/>
    <w:rsid w:val="00190D94"/>
    <w:rsid w:val="00190DBE"/>
    <w:rsid w:val="00190DC8"/>
    <w:rsid w:val="00190E9B"/>
    <w:rsid w:val="00190FAA"/>
    <w:rsid w:val="00190FB1"/>
    <w:rsid w:val="00190FB6"/>
    <w:rsid w:val="0019101C"/>
    <w:rsid w:val="00191096"/>
    <w:rsid w:val="00191097"/>
    <w:rsid w:val="00191136"/>
    <w:rsid w:val="0019135B"/>
    <w:rsid w:val="001913B1"/>
    <w:rsid w:val="001914F9"/>
    <w:rsid w:val="0019158B"/>
    <w:rsid w:val="001915D4"/>
    <w:rsid w:val="001915ED"/>
    <w:rsid w:val="00191606"/>
    <w:rsid w:val="001916B7"/>
    <w:rsid w:val="00191718"/>
    <w:rsid w:val="001918C4"/>
    <w:rsid w:val="00191939"/>
    <w:rsid w:val="001919A5"/>
    <w:rsid w:val="001919E3"/>
    <w:rsid w:val="00191A41"/>
    <w:rsid w:val="00191A61"/>
    <w:rsid w:val="00191A7B"/>
    <w:rsid w:val="00191AB8"/>
    <w:rsid w:val="00191B03"/>
    <w:rsid w:val="00191D35"/>
    <w:rsid w:val="00191DC1"/>
    <w:rsid w:val="00191E07"/>
    <w:rsid w:val="00191E2D"/>
    <w:rsid w:val="00191EB6"/>
    <w:rsid w:val="00191F8B"/>
    <w:rsid w:val="00191F9A"/>
    <w:rsid w:val="00191F9F"/>
    <w:rsid w:val="00191FC7"/>
    <w:rsid w:val="00191FF7"/>
    <w:rsid w:val="00192025"/>
    <w:rsid w:val="00192318"/>
    <w:rsid w:val="001923FE"/>
    <w:rsid w:val="00192527"/>
    <w:rsid w:val="00192657"/>
    <w:rsid w:val="001927A7"/>
    <w:rsid w:val="001927BD"/>
    <w:rsid w:val="001927CA"/>
    <w:rsid w:val="001928D1"/>
    <w:rsid w:val="001929AB"/>
    <w:rsid w:val="00192A46"/>
    <w:rsid w:val="00192A4F"/>
    <w:rsid w:val="00192A97"/>
    <w:rsid w:val="00192AB6"/>
    <w:rsid w:val="00192AD5"/>
    <w:rsid w:val="00192BA0"/>
    <w:rsid w:val="00192BA2"/>
    <w:rsid w:val="00192BFD"/>
    <w:rsid w:val="00192C03"/>
    <w:rsid w:val="00192D88"/>
    <w:rsid w:val="00192DA5"/>
    <w:rsid w:val="00192E51"/>
    <w:rsid w:val="00192E75"/>
    <w:rsid w:val="00192EBC"/>
    <w:rsid w:val="00192F00"/>
    <w:rsid w:val="00192F17"/>
    <w:rsid w:val="00192FA4"/>
    <w:rsid w:val="00192FD3"/>
    <w:rsid w:val="0019303E"/>
    <w:rsid w:val="00193048"/>
    <w:rsid w:val="001930D3"/>
    <w:rsid w:val="00193124"/>
    <w:rsid w:val="0019319B"/>
    <w:rsid w:val="001931C4"/>
    <w:rsid w:val="001931CA"/>
    <w:rsid w:val="0019322C"/>
    <w:rsid w:val="0019323F"/>
    <w:rsid w:val="0019326E"/>
    <w:rsid w:val="001933B5"/>
    <w:rsid w:val="0019346B"/>
    <w:rsid w:val="0019347C"/>
    <w:rsid w:val="00193485"/>
    <w:rsid w:val="001934AC"/>
    <w:rsid w:val="001934B6"/>
    <w:rsid w:val="00193788"/>
    <w:rsid w:val="001937BF"/>
    <w:rsid w:val="00193804"/>
    <w:rsid w:val="00193932"/>
    <w:rsid w:val="0019394D"/>
    <w:rsid w:val="001939FD"/>
    <w:rsid w:val="00193A23"/>
    <w:rsid w:val="00193A6A"/>
    <w:rsid w:val="00193B22"/>
    <w:rsid w:val="00193B44"/>
    <w:rsid w:val="00193B4B"/>
    <w:rsid w:val="00193BCB"/>
    <w:rsid w:val="00193C6B"/>
    <w:rsid w:val="00193D15"/>
    <w:rsid w:val="00193D57"/>
    <w:rsid w:val="00193E88"/>
    <w:rsid w:val="00193EE8"/>
    <w:rsid w:val="00193F4E"/>
    <w:rsid w:val="00193F59"/>
    <w:rsid w:val="00193FCD"/>
    <w:rsid w:val="00194082"/>
    <w:rsid w:val="001940AE"/>
    <w:rsid w:val="00194155"/>
    <w:rsid w:val="001941D1"/>
    <w:rsid w:val="001942A5"/>
    <w:rsid w:val="001942D6"/>
    <w:rsid w:val="00194355"/>
    <w:rsid w:val="001943D9"/>
    <w:rsid w:val="001943EE"/>
    <w:rsid w:val="0019440D"/>
    <w:rsid w:val="0019449D"/>
    <w:rsid w:val="001944CB"/>
    <w:rsid w:val="001945C3"/>
    <w:rsid w:val="001945F2"/>
    <w:rsid w:val="00194661"/>
    <w:rsid w:val="00194697"/>
    <w:rsid w:val="001946A9"/>
    <w:rsid w:val="0019473A"/>
    <w:rsid w:val="0019474A"/>
    <w:rsid w:val="00194780"/>
    <w:rsid w:val="00194844"/>
    <w:rsid w:val="001948F1"/>
    <w:rsid w:val="001949A2"/>
    <w:rsid w:val="001949D2"/>
    <w:rsid w:val="00194AD8"/>
    <w:rsid w:val="00194AFB"/>
    <w:rsid w:val="00194B89"/>
    <w:rsid w:val="00194C65"/>
    <w:rsid w:val="00194CA0"/>
    <w:rsid w:val="00194CFA"/>
    <w:rsid w:val="00194D21"/>
    <w:rsid w:val="00194D27"/>
    <w:rsid w:val="00194D47"/>
    <w:rsid w:val="00194D81"/>
    <w:rsid w:val="00194DB3"/>
    <w:rsid w:val="00194DB5"/>
    <w:rsid w:val="00194E1D"/>
    <w:rsid w:val="00194EB7"/>
    <w:rsid w:val="00194F5F"/>
    <w:rsid w:val="00194F72"/>
    <w:rsid w:val="0019507B"/>
    <w:rsid w:val="0019509B"/>
    <w:rsid w:val="001952A4"/>
    <w:rsid w:val="00195337"/>
    <w:rsid w:val="00195339"/>
    <w:rsid w:val="00195374"/>
    <w:rsid w:val="0019564C"/>
    <w:rsid w:val="00195651"/>
    <w:rsid w:val="0019578F"/>
    <w:rsid w:val="001957DF"/>
    <w:rsid w:val="001957F4"/>
    <w:rsid w:val="00195884"/>
    <w:rsid w:val="001958B4"/>
    <w:rsid w:val="001958C2"/>
    <w:rsid w:val="001958CC"/>
    <w:rsid w:val="001958E0"/>
    <w:rsid w:val="001958E6"/>
    <w:rsid w:val="00195957"/>
    <w:rsid w:val="00195A1F"/>
    <w:rsid w:val="00195AE0"/>
    <w:rsid w:val="00195AFF"/>
    <w:rsid w:val="00195B0A"/>
    <w:rsid w:val="00195B95"/>
    <w:rsid w:val="00195C46"/>
    <w:rsid w:val="00195CCA"/>
    <w:rsid w:val="00195DF6"/>
    <w:rsid w:val="00195E21"/>
    <w:rsid w:val="00195F11"/>
    <w:rsid w:val="00196014"/>
    <w:rsid w:val="001960CC"/>
    <w:rsid w:val="001960F7"/>
    <w:rsid w:val="00196103"/>
    <w:rsid w:val="0019610A"/>
    <w:rsid w:val="0019611F"/>
    <w:rsid w:val="0019613B"/>
    <w:rsid w:val="0019622E"/>
    <w:rsid w:val="00196236"/>
    <w:rsid w:val="0019624C"/>
    <w:rsid w:val="0019636B"/>
    <w:rsid w:val="00196371"/>
    <w:rsid w:val="001963ED"/>
    <w:rsid w:val="001963F3"/>
    <w:rsid w:val="00196408"/>
    <w:rsid w:val="001965F6"/>
    <w:rsid w:val="0019665F"/>
    <w:rsid w:val="001966E7"/>
    <w:rsid w:val="001966F0"/>
    <w:rsid w:val="00196717"/>
    <w:rsid w:val="001967AF"/>
    <w:rsid w:val="00196803"/>
    <w:rsid w:val="00196828"/>
    <w:rsid w:val="00196861"/>
    <w:rsid w:val="00196899"/>
    <w:rsid w:val="001969D1"/>
    <w:rsid w:val="00196A2F"/>
    <w:rsid w:val="00196B4A"/>
    <w:rsid w:val="00196B4C"/>
    <w:rsid w:val="00196C26"/>
    <w:rsid w:val="00196C51"/>
    <w:rsid w:val="00196CED"/>
    <w:rsid w:val="00196D62"/>
    <w:rsid w:val="00196DF8"/>
    <w:rsid w:val="00196DFE"/>
    <w:rsid w:val="00196E90"/>
    <w:rsid w:val="00196EA2"/>
    <w:rsid w:val="00196F55"/>
    <w:rsid w:val="00196F8A"/>
    <w:rsid w:val="0019704E"/>
    <w:rsid w:val="00197103"/>
    <w:rsid w:val="00197113"/>
    <w:rsid w:val="00197158"/>
    <w:rsid w:val="0019717A"/>
    <w:rsid w:val="001971E3"/>
    <w:rsid w:val="0019722D"/>
    <w:rsid w:val="00197338"/>
    <w:rsid w:val="0019735B"/>
    <w:rsid w:val="00197367"/>
    <w:rsid w:val="0019737C"/>
    <w:rsid w:val="00197476"/>
    <w:rsid w:val="001974FF"/>
    <w:rsid w:val="0019752A"/>
    <w:rsid w:val="00197566"/>
    <w:rsid w:val="0019766D"/>
    <w:rsid w:val="001976B1"/>
    <w:rsid w:val="00197716"/>
    <w:rsid w:val="0019771F"/>
    <w:rsid w:val="001977EC"/>
    <w:rsid w:val="00197837"/>
    <w:rsid w:val="00197875"/>
    <w:rsid w:val="001978BE"/>
    <w:rsid w:val="00197951"/>
    <w:rsid w:val="00197966"/>
    <w:rsid w:val="0019796D"/>
    <w:rsid w:val="001979B0"/>
    <w:rsid w:val="00197ABF"/>
    <w:rsid w:val="00197AC8"/>
    <w:rsid w:val="00197AE2"/>
    <w:rsid w:val="00197AF8"/>
    <w:rsid w:val="00197D24"/>
    <w:rsid w:val="00197D2C"/>
    <w:rsid w:val="00197DE1"/>
    <w:rsid w:val="00197E0A"/>
    <w:rsid w:val="00197E5D"/>
    <w:rsid w:val="00197E8F"/>
    <w:rsid w:val="00197EAF"/>
    <w:rsid w:val="00197EE8"/>
    <w:rsid w:val="00197F10"/>
    <w:rsid w:val="00197F1D"/>
    <w:rsid w:val="00197F6F"/>
    <w:rsid w:val="001A0088"/>
    <w:rsid w:val="001A00CB"/>
    <w:rsid w:val="001A0141"/>
    <w:rsid w:val="001A01B8"/>
    <w:rsid w:val="001A0293"/>
    <w:rsid w:val="001A0364"/>
    <w:rsid w:val="001A037C"/>
    <w:rsid w:val="001A0481"/>
    <w:rsid w:val="001A06D2"/>
    <w:rsid w:val="001A0715"/>
    <w:rsid w:val="001A0743"/>
    <w:rsid w:val="001A07D9"/>
    <w:rsid w:val="001A07ED"/>
    <w:rsid w:val="001A0843"/>
    <w:rsid w:val="001A0851"/>
    <w:rsid w:val="001A08F4"/>
    <w:rsid w:val="001A098E"/>
    <w:rsid w:val="001A0A10"/>
    <w:rsid w:val="001A0A45"/>
    <w:rsid w:val="001A0A5D"/>
    <w:rsid w:val="001A0ABD"/>
    <w:rsid w:val="001A0BAC"/>
    <w:rsid w:val="001A0C23"/>
    <w:rsid w:val="001A0C8A"/>
    <w:rsid w:val="001A0CC6"/>
    <w:rsid w:val="001A0CFB"/>
    <w:rsid w:val="001A0E86"/>
    <w:rsid w:val="001A0F6A"/>
    <w:rsid w:val="001A0FC6"/>
    <w:rsid w:val="001A0FE6"/>
    <w:rsid w:val="001A1024"/>
    <w:rsid w:val="001A10A4"/>
    <w:rsid w:val="001A10A7"/>
    <w:rsid w:val="001A10C8"/>
    <w:rsid w:val="001A1154"/>
    <w:rsid w:val="001A1159"/>
    <w:rsid w:val="001A1194"/>
    <w:rsid w:val="001A11AF"/>
    <w:rsid w:val="001A11DC"/>
    <w:rsid w:val="001A12E4"/>
    <w:rsid w:val="001A12EB"/>
    <w:rsid w:val="001A12FC"/>
    <w:rsid w:val="001A133D"/>
    <w:rsid w:val="001A135B"/>
    <w:rsid w:val="001A1395"/>
    <w:rsid w:val="001A13BC"/>
    <w:rsid w:val="001A1431"/>
    <w:rsid w:val="001A1451"/>
    <w:rsid w:val="001A1494"/>
    <w:rsid w:val="001A1512"/>
    <w:rsid w:val="001A156F"/>
    <w:rsid w:val="001A15E9"/>
    <w:rsid w:val="001A1625"/>
    <w:rsid w:val="001A1697"/>
    <w:rsid w:val="001A16A0"/>
    <w:rsid w:val="001A1750"/>
    <w:rsid w:val="001A1802"/>
    <w:rsid w:val="001A183E"/>
    <w:rsid w:val="001A1A66"/>
    <w:rsid w:val="001A1A6F"/>
    <w:rsid w:val="001A1A7B"/>
    <w:rsid w:val="001A1AEF"/>
    <w:rsid w:val="001A1BD2"/>
    <w:rsid w:val="001A1C3F"/>
    <w:rsid w:val="001A1CF6"/>
    <w:rsid w:val="001A1D0B"/>
    <w:rsid w:val="001A1D21"/>
    <w:rsid w:val="001A1DD8"/>
    <w:rsid w:val="001A1E45"/>
    <w:rsid w:val="001A1E52"/>
    <w:rsid w:val="001A1EE5"/>
    <w:rsid w:val="001A1F62"/>
    <w:rsid w:val="001A1F79"/>
    <w:rsid w:val="001A203D"/>
    <w:rsid w:val="001A206B"/>
    <w:rsid w:val="001A20AA"/>
    <w:rsid w:val="001A20D8"/>
    <w:rsid w:val="001A2184"/>
    <w:rsid w:val="001A21B4"/>
    <w:rsid w:val="001A21DD"/>
    <w:rsid w:val="001A222C"/>
    <w:rsid w:val="001A224E"/>
    <w:rsid w:val="001A22EF"/>
    <w:rsid w:val="001A2377"/>
    <w:rsid w:val="001A2391"/>
    <w:rsid w:val="001A2536"/>
    <w:rsid w:val="001A25B1"/>
    <w:rsid w:val="001A261B"/>
    <w:rsid w:val="001A262C"/>
    <w:rsid w:val="001A264B"/>
    <w:rsid w:val="001A26A1"/>
    <w:rsid w:val="001A2772"/>
    <w:rsid w:val="001A27AE"/>
    <w:rsid w:val="001A27F3"/>
    <w:rsid w:val="001A2881"/>
    <w:rsid w:val="001A2978"/>
    <w:rsid w:val="001A2996"/>
    <w:rsid w:val="001A29E0"/>
    <w:rsid w:val="001A2A08"/>
    <w:rsid w:val="001A2A4B"/>
    <w:rsid w:val="001A2A66"/>
    <w:rsid w:val="001A2B91"/>
    <w:rsid w:val="001A2C17"/>
    <w:rsid w:val="001A2C23"/>
    <w:rsid w:val="001A2C2A"/>
    <w:rsid w:val="001A2C91"/>
    <w:rsid w:val="001A2CF1"/>
    <w:rsid w:val="001A2DF3"/>
    <w:rsid w:val="001A2E36"/>
    <w:rsid w:val="001A2EA7"/>
    <w:rsid w:val="001A2EC2"/>
    <w:rsid w:val="001A2F4A"/>
    <w:rsid w:val="001A2F58"/>
    <w:rsid w:val="001A2FD1"/>
    <w:rsid w:val="001A301B"/>
    <w:rsid w:val="001A31D4"/>
    <w:rsid w:val="001A31DB"/>
    <w:rsid w:val="001A31DC"/>
    <w:rsid w:val="001A325C"/>
    <w:rsid w:val="001A3272"/>
    <w:rsid w:val="001A329A"/>
    <w:rsid w:val="001A32FD"/>
    <w:rsid w:val="001A343A"/>
    <w:rsid w:val="001A34EC"/>
    <w:rsid w:val="001A354C"/>
    <w:rsid w:val="001A3571"/>
    <w:rsid w:val="001A3593"/>
    <w:rsid w:val="001A35F0"/>
    <w:rsid w:val="001A363E"/>
    <w:rsid w:val="001A3745"/>
    <w:rsid w:val="001A37E6"/>
    <w:rsid w:val="001A385F"/>
    <w:rsid w:val="001A394D"/>
    <w:rsid w:val="001A3959"/>
    <w:rsid w:val="001A39A6"/>
    <w:rsid w:val="001A3A39"/>
    <w:rsid w:val="001A3A4E"/>
    <w:rsid w:val="001A3A8B"/>
    <w:rsid w:val="001A3ACC"/>
    <w:rsid w:val="001A3B74"/>
    <w:rsid w:val="001A3B77"/>
    <w:rsid w:val="001A3C29"/>
    <w:rsid w:val="001A3C3E"/>
    <w:rsid w:val="001A3C60"/>
    <w:rsid w:val="001A3C96"/>
    <w:rsid w:val="001A3DC6"/>
    <w:rsid w:val="001A3DEA"/>
    <w:rsid w:val="001A3E34"/>
    <w:rsid w:val="001A3EA0"/>
    <w:rsid w:val="001A404B"/>
    <w:rsid w:val="001A40B0"/>
    <w:rsid w:val="001A4208"/>
    <w:rsid w:val="001A4218"/>
    <w:rsid w:val="001A42AC"/>
    <w:rsid w:val="001A4458"/>
    <w:rsid w:val="001A445B"/>
    <w:rsid w:val="001A446F"/>
    <w:rsid w:val="001A44CC"/>
    <w:rsid w:val="001A4519"/>
    <w:rsid w:val="001A466D"/>
    <w:rsid w:val="001A476B"/>
    <w:rsid w:val="001A47D0"/>
    <w:rsid w:val="001A4804"/>
    <w:rsid w:val="001A48A2"/>
    <w:rsid w:val="001A48ED"/>
    <w:rsid w:val="001A493F"/>
    <w:rsid w:val="001A4971"/>
    <w:rsid w:val="001A49B3"/>
    <w:rsid w:val="001A4A26"/>
    <w:rsid w:val="001A4A27"/>
    <w:rsid w:val="001A4AC2"/>
    <w:rsid w:val="001A4AE5"/>
    <w:rsid w:val="001A4B9F"/>
    <w:rsid w:val="001A4BA3"/>
    <w:rsid w:val="001A4BF4"/>
    <w:rsid w:val="001A4CC5"/>
    <w:rsid w:val="001A4D04"/>
    <w:rsid w:val="001A4D72"/>
    <w:rsid w:val="001A4EA5"/>
    <w:rsid w:val="001A4F80"/>
    <w:rsid w:val="001A4FED"/>
    <w:rsid w:val="001A5012"/>
    <w:rsid w:val="001A5066"/>
    <w:rsid w:val="001A5086"/>
    <w:rsid w:val="001A5189"/>
    <w:rsid w:val="001A51D4"/>
    <w:rsid w:val="001A534B"/>
    <w:rsid w:val="001A537E"/>
    <w:rsid w:val="001A53B2"/>
    <w:rsid w:val="001A540E"/>
    <w:rsid w:val="001A5446"/>
    <w:rsid w:val="001A54C4"/>
    <w:rsid w:val="001A54E1"/>
    <w:rsid w:val="001A54F0"/>
    <w:rsid w:val="001A5560"/>
    <w:rsid w:val="001A5590"/>
    <w:rsid w:val="001A55F4"/>
    <w:rsid w:val="001A560C"/>
    <w:rsid w:val="001A5649"/>
    <w:rsid w:val="001A56C6"/>
    <w:rsid w:val="001A5733"/>
    <w:rsid w:val="001A575F"/>
    <w:rsid w:val="001A57DD"/>
    <w:rsid w:val="001A583B"/>
    <w:rsid w:val="001A5947"/>
    <w:rsid w:val="001A594B"/>
    <w:rsid w:val="001A5990"/>
    <w:rsid w:val="001A59B7"/>
    <w:rsid w:val="001A59FE"/>
    <w:rsid w:val="001A5A5B"/>
    <w:rsid w:val="001A5A80"/>
    <w:rsid w:val="001A5A86"/>
    <w:rsid w:val="001A5AB8"/>
    <w:rsid w:val="001A5B9F"/>
    <w:rsid w:val="001A5C2F"/>
    <w:rsid w:val="001A5C71"/>
    <w:rsid w:val="001A5C9D"/>
    <w:rsid w:val="001A5EE2"/>
    <w:rsid w:val="001A5F30"/>
    <w:rsid w:val="001A62F2"/>
    <w:rsid w:val="001A6316"/>
    <w:rsid w:val="001A6330"/>
    <w:rsid w:val="001A633C"/>
    <w:rsid w:val="001A6395"/>
    <w:rsid w:val="001A63D9"/>
    <w:rsid w:val="001A6413"/>
    <w:rsid w:val="001A656A"/>
    <w:rsid w:val="001A657E"/>
    <w:rsid w:val="001A658B"/>
    <w:rsid w:val="001A664F"/>
    <w:rsid w:val="001A6743"/>
    <w:rsid w:val="001A6752"/>
    <w:rsid w:val="001A67E6"/>
    <w:rsid w:val="001A6817"/>
    <w:rsid w:val="001A6830"/>
    <w:rsid w:val="001A693A"/>
    <w:rsid w:val="001A695A"/>
    <w:rsid w:val="001A6AB9"/>
    <w:rsid w:val="001A6AEC"/>
    <w:rsid w:val="001A6B4A"/>
    <w:rsid w:val="001A6BF3"/>
    <w:rsid w:val="001A6CDA"/>
    <w:rsid w:val="001A6CFF"/>
    <w:rsid w:val="001A6DC8"/>
    <w:rsid w:val="001A6DD1"/>
    <w:rsid w:val="001A6E80"/>
    <w:rsid w:val="001A6F79"/>
    <w:rsid w:val="001A6F97"/>
    <w:rsid w:val="001A6FF5"/>
    <w:rsid w:val="001A7003"/>
    <w:rsid w:val="001A7101"/>
    <w:rsid w:val="001A7165"/>
    <w:rsid w:val="001A71A5"/>
    <w:rsid w:val="001A71CA"/>
    <w:rsid w:val="001A734B"/>
    <w:rsid w:val="001A73CD"/>
    <w:rsid w:val="001A7457"/>
    <w:rsid w:val="001A7485"/>
    <w:rsid w:val="001A749E"/>
    <w:rsid w:val="001A74C7"/>
    <w:rsid w:val="001A74D1"/>
    <w:rsid w:val="001A7558"/>
    <w:rsid w:val="001A7597"/>
    <w:rsid w:val="001A75F8"/>
    <w:rsid w:val="001A765C"/>
    <w:rsid w:val="001A76FC"/>
    <w:rsid w:val="001A7792"/>
    <w:rsid w:val="001A77A8"/>
    <w:rsid w:val="001A7868"/>
    <w:rsid w:val="001A79E8"/>
    <w:rsid w:val="001A7C51"/>
    <w:rsid w:val="001A7D96"/>
    <w:rsid w:val="001A7DB8"/>
    <w:rsid w:val="001A7F52"/>
    <w:rsid w:val="001A7F9C"/>
    <w:rsid w:val="001B0044"/>
    <w:rsid w:val="001B01B9"/>
    <w:rsid w:val="001B02CC"/>
    <w:rsid w:val="001B03E7"/>
    <w:rsid w:val="001B0402"/>
    <w:rsid w:val="001B0451"/>
    <w:rsid w:val="001B05AA"/>
    <w:rsid w:val="001B05DC"/>
    <w:rsid w:val="001B05FA"/>
    <w:rsid w:val="001B06FC"/>
    <w:rsid w:val="001B0700"/>
    <w:rsid w:val="001B08C6"/>
    <w:rsid w:val="001B0A77"/>
    <w:rsid w:val="001B0AE8"/>
    <w:rsid w:val="001B0B15"/>
    <w:rsid w:val="001B0B24"/>
    <w:rsid w:val="001B0BBE"/>
    <w:rsid w:val="001B0BC7"/>
    <w:rsid w:val="001B0C17"/>
    <w:rsid w:val="001B0C36"/>
    <w:rsid w:val="001B0D0E"/>
    <w:rsid w:val="001B0DF8"/>
    <w:rsid w:val="001B0E05"/>
    <w:rsid w:val="001B0E1C"/>
    <w:rsid w:val="001B0E45"/>
    <w:rsid w:val="001B0FAE"/>
    <w:rsid w:val="001B100F"/>
    <w:rsid w:val="001B1037"/>
    <w:rsid w:val="001B10BC"/>
    <w:rsid w:val="001B10C2"/>
    <w:rsid w:val="001B1151"/>
    <w:rsid w:val="001B11D7"/>
    <w:rsid w:val="001B11E4"/>
    <w:rsid w:val="001B1292"/>
    <w:rsid w:val="001B12DB"/>
    <w:rsid w:val="001B1335"/>
    <w:rsid w:val="001B1348"/>
    <w:rsid w:val="001B144C"/>
    <w:rsid w:val="001B1454"/>
    <w:rsid w:val="001B1457"/>
    <w:rsid w:val="001B1582"/>
    <w:rsid w:val="001B15CB"/>
    <w:rsid w:val="001B15F4"/>
    <w:rsid w:val="001B1658"/>
    <w:rsid w:val="001B1662"/>
    <w:rsid w:val="001B168E"/>
    <w:rsid w:val="001B1715"/>
    <w:rsid w:val="001B171E"/>
    <w:rsid w:val="001B175F"/>
    <w:rsid w:val="001B1781"/>
    <w:rsid w:val="001B1782"/>
    <w:rsid w:val="001B1883"/>
    <w:rsid w:val="001B18A3"/>
    <w:rsid w:val="001B18D4"/>
    <w:rsid w:val="001B198A"/>
    <w:rsid w:val="001B1993"/>
    <w:rsid w:val="001B1998"/>
    <w:rsid w:val="001B1A39"/>
    <w:rsid w:val="001B1A44"/>
    <w:rsid w:val="001B1A67"/>
    <w:rsid w:val="001B1A84"/>
    <w:rsid w:val="001B1AF3"/>
    <w:rsid w:val="001B1B45"/>
    <w:rsid w:val="001B1B47"/>
    <w:rsid w:val="001B1BAB"/>
    <w:rsid w:val="001B1BBD"/>
    <w:rsid w:val="001B1C14"/>
    <w:rsid w:val="001B1C40"/>
    <w:rsid w:val="001B1C7C"/>
    <w:rsid w:val="001B1D74"/>
    <w:rsid w:val="001B1DD9"/>
    <w:rsid w:val="001B1F4C"/>
    <w:rsid w:val="001B1FD8"/>
    <w:rsid w:val="001B2001"/>
    <w:rsid w:val="001B2058"/>
    <w:rsid w:val="001B208C"/>
    <w:rsid w:val="001B20D2"/>
    <w:rsid w:val="001B211E"/>
    <w:rsid w:val="001B2125"/>
    <w:rsid w:val="001B2127"/>
    <w:rsid w:val="001B21AD"/>
    <w:rsid w:val="001B21D4"/>
    <w:rsid w:val="001B22C8"/>
    <w:rsid w:val="001B2309"/>
    <w:rsid w:val="001B2493"/>
    <w:rsid w:val="001B24A7"/>
    <w:rsid w:val="001B24E3"/>
    <w:rsid w:val="001B24F9"/>
    <w:rsid w:val="001B2553"/>
    <w:rsid w:val="001B259E"/>
    <w:rsid w:val="001B25A4"/>
    <w:rsid w:val="001B25EB"/>
    <w:rsid w:val="001B25F6"/>
    <w:rsid w:val="001B263E"/>
    <w:rsid w:val="001B26F9"/>
    <w:rsid w:val="001B27CD"/>
    <w:rsid w:val="001B286D"/>
    <w:rsid w:val="001B28E4"/>
    <w:rsid w:val="001B29CF"/>
    <w:rsid w:val="001B2A51"/>
    <w:rsid w:val="001B2AB8"/>
    <w:rsid w:val="001B2AF0"/>
    <w:rsid w:val="001B2B44"/>
    <w:rsid w:val="001B2B75"/>
    <w:rsid w:val="001B2B7D"/>
    <w:rsid w:val="001B2BCE"/>
    <w:rsid w:val="001B2C4F"/>
    <w:rsid w:val="001B2D95"/>
    <w:rsid w:val="001B2E91"/>
    <w:rsid w:val="001B2EB3"/>
    <w:rsid w:val="001B2EF7"/>
    <w:rsid w:val="001B3003"/>
    <w:rsid w:val="001B3044"/>
    <w:rsid w:val="001B30AA"/>
    <w:rsid w:val="001B31B9"/>
    <w:rsid w:val="001B31C4"/>
    <w:rsid w:val="001B32EE"/>
    <w:rsid w:val="001B3302"/>
    <w:rsid w:val="001B3325"/>
    <w:rsid w:val="001B33FE"/>
    <w:rsid w:val="001B3472"/>
    <w:rsid w:val="001B34D6"/>
    <w:rsid w:val="001B3507"/>
    <w:rsid w:val="001B36DE"/>
    <w:rsid w:val="001B383B"/>
    <w:rsid w:val="001B3924"/>
    <w:rsid w:val="001B3961"/>
    <w:rsid w:val="001B39BA"/>
    <w:rsid w:val="001B39BD"/>
    <w:rsid w:val="001B3A31"/>
    <w:rsid w:val="001B3A91"/>
    <w:rsid w:val="001B3C41"/>
    <w:rsid w:val="001B3C7A"/>
    <w:rsid w:val="001B3CC7"/>
    <w:rsid w:val="001B3D5C"/>
    <w:rsid w:val="001B3D8F"/>
    <w:rsid w:val="001B3E22"/>
    <w:rsid w:val="001B3E50"/>
    <w:rsid w:val="001B3F1B"/>
    <w:rsid w:val="001B3F6A"/>
    <w:rsid w:val="001B3F7F"/>
    <w:rsid w:val="001B3FBF"/>
    <w:rsid w:val="001B402E"/>
    <w:rsid w:val="001B4045"/>
    <w:rsid w:val="001B4049"/>
    <w:rsid w:val="001B409A"/>
    <w:rsid w:val="001B4124"/>
    <w:rsid w:val="001B41E2"/>
    <w:rsid w:val="001B41FE"/>
    <w:rsid w:val="001B425F"/>
    <w:rsid w:val="001B4322"/>
    <w:rsid w:val="001B43ED"/>
    <w:rsid w:val="001B4415"/>
    <w:rsid w:val="001B4424"/>
    <w:rsid w:val="001B4508"/>
    <w:rsid w:val="001B453A"/>
    <w:rsid w:val="001B453E"/>
    <w:rsid w:val="001B45A3"/>
    <w:rsid w:val="001B4626"/>
    <w:rsid w:val="001B462C"/>
    <w:rsid w:val="001B4684"/>
    <w:rsid w:val="001B46B0"/>
    <w:rsid w:val="001B474E"/>
    <w:rsid w:val="001B47E6"/>
    <w:rsid w:val="001B493E"/>
    <w:rsid w:val="001B49F5"/>
    <w:rsid w:val="001B4C0C"/>
    <w:rsid w:val="001B4C4F"/>
    <w:rsid w:val="001B4E9D"/>
    <w:rsid w:val="001B4ECB"/>
    <w:rsid w:val="001B4F06"/>
    <w:rsid w:val="001B4FA1"/>
    <w:rsid w:val="001B5038"/>
    <w:rsid w:val="001B503D"/>
    <w:rsid w:val="001B504F"/>
    <w:rsid w:val="001B5057"/>
    <w:rsid w:val="001B5072"/>
    <w:rsid w:val="001B50FE"/>
    <w:rsid w:val="001B5137"/>
    <w:rsid w:val="001B51C8"/>
    <w:rsid w:val="001B5230"/>
    <w:rsid w:val="001B5235"/>
    <w:rsid w:val="001B529B"/>
    <w:rsid w:val="001B52E2"/>
    <w:rsid w:val="001B532A"/>
    <w:rsid w:val="001B547B"/>
    <w:rsid w:val="001B54D8"/>
    <w:rsid w:val="001B54DC"/>
    <w:rsid w:val="001B55FB"/>
    <w:rsid w:val="001B5638"/>
    <w:rsid w:val="001B5640"/>
    <w:rsid w:val="001B5727"/>
    <w:rsid w:val="001B5876"/>
    <w:rsid w:val="001B5959"/>
    <w:rsid w:val="001B5A12"/>
    <w:rsid w:val="001B5AF1"/>
    <w:rsid w:val="001B5B2A"/>
    <w:rsid w:val="001B5B30"/>
    <w:rsid w:val="001B5B68"/>
    <w:rsid w:val="001B5BAD"/>
    <w:rsid w:val="001B5BC2"/>
    <w:rsid w:val="001B5C69"/>
    <w:rsid w:val="001B5D2B"/>
    <w:rsid w:val="001B5D48"/>
    <w:rsid w:val="001B5D4D"/>
    <w:rsid w:val="001B5D86"/>
    <w:rsid w:val="001B5E33"/>
    <w:rsid w:val="001B5F05"/>
    <w:rsid w:val="001B5F53"/>
    <w:rsid w:val="001B5FE4"/>
    <w:rsid w:val="001B601C"/>
    <w:rsid w:val="001B6061"/>
    <w:rsid w:val="001B606F"/>
    <w:rsid w:val="001B615A"/>
    <w:rsid w:val="001B61AE"/>
    <w:rsid w:val="001B61C7"/>
    <w:rsid w:val="001B631C"/>
    <w:rsid w:val="001B63D1"/>
    <w:rsid w:val="001B652A"/>
    <w:rsid w:val="001B653B"/>
    <w:rsid w:val="001B6542"/>
    <w:rsid w:val="001B6576"/>
    <w:rsid w:val="001B659F"/>
    <w:rsid w:val="001B65DB"/>
    <w:rsid w:val="001B662A"/>
    <w:rsid w:val="001B672A"/>
    <w:rsid w:val="001B67AA"/>
    <w:rsid w:val="001B67F7"/>
    <w:rsid w:val="001B6863"/>
    <w:rsid w:val="001B68B3"/>
    <w:rsid w:val="001B69AD"/>
    <w:rsid w:val="001B69E1"/>
    <w:rsid w:val="001B6A57"/>
    <w:rsid w:val="001B6A8A"/>
    <w:rsid w:val="001B6B09"/>
    <w:rsid w:val="001B6B12"/>
    <w:rsid w:val="001B6B98"/>
    <w:rsid w:val="001B6BDB"/>
    <w:rsid w:val="001B6C60"/>
    <w:rsid w:val="001B6CF3"/>
    <w:rsid w:val="001B6D86"/>
    <w:rsid w:val="001B6DB5"/>
    <w:rsid w:val="001B6DD4"/>
    <w:rsid w:val="001B6E20"/>
    <w:rsid w:val="001B6E36"/>
    <w:rsid w:val="001B6F06"/>
    <w:rsid w:val="001B6F34"/>
    <w:rsid w:val="001B6FF2"/>
    <w:rsid w:val="001B70DB"/>
    <w:rsid w:val="001B70E0"/>
    <w:rsid w:val="001B714A"/>
    <w:rsid w:val="001B720B"/>
    <w:rsid w:val="001B7236"/>
    <w:rsid w:val="001B7335"/>
    <w:rsid w:val="001B7349"/>
    <w:rsid w:val="001B738A"/>
    <w:rsid w:val="001B73D8"/>
    <w:rsid w:val="001B7400"/>
    <w:rsid w:val="001B7436"/>
    <w:rsid w:val="001B75A1"/>
    <w:rsid w:val="001B75C0"/>
    <w:rsid w:val="001B75E0"/>
    <w:rsid w:val="001B760B"/>
    <w:rsid w:val="001B7663"/>
    <w:rsid w:val="001B7788"/>
    <w:rsid w:val="001B7798"/>
    <w:rsid w:val="001B7883"/>
    <w:rsid w:val="001B7930"/>
    <w:rsid w:val="001B7B14"/>
    <w:rsid w:val="001B7B54"/>
    <w:rsid w:val="001B7BB4"/>
    <w:rsid w:val="001B7C34"/>
    <w:rsid w:val="001B7C51"/>
    <w:rsid w:val="001B7CBB"/>
    <w:rsid w:val="001B7D51"/>
    <w:rsid w:val="001B7DEA"/>
    <w:rsid w:val="001B7E4D"/>
    <w:rsid w:val="001B7FC2"/>
    <w:rsid w:val="001C011E"/>
    <w:rsid w:val="001C015E"/>
    <w:rsid w:val="001C0203"/>
    <w:rsid w:val="001C0207"/>
    <w:rsid w:val="001C0228"/>
    <w:rsid w:val="001C02B1"/>
    <w:rsid w:val="001C02E0"/>
    <w:rsid w:val="001C02F1"/>
    <w:rsid w:val="001C032F"/>
    <w:rsid w:val="001C03AA"/>
    <w:rsid w:val="001C0419"/>
    <w:rsid w:val="001C0489"/>
    <w:rsid w:val="001C048E"/>
    <w:rsid w:val="001C05E2"/>
    <w:rsid w:val="001C0601"/>
    <w:rsid w:val="001C061D"/>
    <w:rsid w:val="001C06EA"/>
    <w:rsid w:val="001C078A"/>
    <w:rsid w:val="001C07AE"/>
    <w:rsid w:val="001C0872"/>
    <w:rsid w:val="001C089B"/>
    <w:rsid w:val="001C093E"/>
    <w:rsid w:val="001C09E3"/>
    <w:rsid w:val="001C0B16"/>
    <w:rsid w:val="001C0B3C"/>
    <w:rsid w:val="001C0B76"/>
    <w:rsid w:val="001C0B8A"/>
    <w:rsid w:val="001C0BD3"/>
    <w:rsid w:val="001C0C58"/>
    <w:rsid w:val="001C0C64"/>
    <w:rsid w:val="001C0D7B"/>
    <w:rsid w:val="001C0DB4"/>
    <w:rsid w:val="001C0E64"/>
    <w:rsid w:val="001C0E67"/>
    <w:rsid w:val="001C0FB3"/>
    <w:rsid w:val="001C1005"/>
    <w:rsid w:val="001C109E"/>
    <w:rsid w:val="001C10C8"/>
    <w:rsid w:val="001C1146"/>
    <w:rsid w:val="001C1191"/>
    <w:rsid w:val="001C124C"/>
    <w:rsid w:val="001C12BA"/>
    <w:rsid w:val="001C1410"/>
    <w:rsid w:val="001C14A5"/>
    <w:rsid w:val="001C1565"/>
    <w:rsid w:val="001C171C"/>
    <w:rsid w:val="001C174C"/>
    <w:rsid w:val="001C1751"/>
    <w:rsid w:val="001C17BD"/>
    <w:rsid w:val="001C17EF"/>
    <w:rsid w:val="001C1908"/>
    <w:rsid w:val="001C1980"/>
    <w:rsid w:val="001C199C"/>
    <w:rsid w:val="001C1A51"/>
    <w:rsid w:val="001C1A97"/>
    <w:rsid w:val="001C1CCF"/>
    <w:rsid w:val="001C1D41"/>
    <w:rsid w:val="001C1D87"/>
    <w:rsid w:val="001C1DA4"/>
    <w:rsid w:val="001C1DC7"/>
    <w:rsid w:val="001C1E29"/>
    <w:rsid w:val="001C1E7F"/>
    <w:rsid w:val="001C1E97"/>
    <w:rsid w:val="001C1F4E"/>
    <w:rsid w:val="001C1FA6"/>
    <w:rsid w:val="001C1FCB"/>
    <w:rsid w:val="001C2064"/>
    <w:rsid w:val="001C20F9"/>
    <w:rsid w:val="001C2193"/>
    <w:rsid w:val="001C21D6"/>
    <w:rsid w:val="001C21E4"/>
    <w:rsid w:val="001C228A"/>
    <w:rsid w:val="001C22F5"/>
    <w:rsid w:val="001C2302"/>
    <w:rsid w:val="001C2321"/>
    <w:rsid w:val="001C23FE"/>
    <w:rsid w:val="001C2492"/>
    <w:rsid w:val="001C24F3"/>
    <w:rsid w:val="001C252E"/>
    <w:rsid w:val="001C25B2"/>
    <w:rsid w:val="001C25CC"/>
    <w:rsid w:val="001C25EA"/>
    <w:rsid w:val="001C2663"/>
    <w:rsid w:val="001C275F"/>
    <w:rsid w:val="001C2765"/>
    <w:rsid w:val="001C2782"/>
    <w:rsid w:val="001C27CB"/>
    <w:rsid w:val="001C2815"/>
    <w:rsid w:val="001C2818"/>
    <w:rsid w:val="001C2886"/>
    <w:rsid w:val="001C293E"/>
    <w:rsid w:val="001C2A34"/>
    <w:rsid w:val="001C2AA8"/>
    <w:rsid w:val="001C2ADF"/>
    <w:rsid w:val="001C2B2E"/>
    <w:rsid w:val="001C2B81"/>
    <w:rsid w:val="001C2C00"/>
    <w:rsid w:val="001C2C5E"/>
    <w:rsid w:val="001C2CA5"/>
    <w:rsid w:val="001C2E4C"/>
    <w:rsid w:val="001C2E7A"/>
    <w:rsid w:val="001C2EAB"/>
    <w:rsid w:val="001C2EB8"/>
    <w:rsid w:val="001C2F5D"/>
    <w:rsid w:val="001C2F93"/>
    <w:rsid w:val="001C2FF8"/>
    <w:rsid w:val="001C3067"/>
    <w:rsid w:val="001C30B1"/>
    <w:rsid w:val="001C30EA"/>
    <w:rsid w:val="001C3180"/>
    <w:rsid w:val="001C32F5"/>
    <w:rsid w:val="001C33F3"/>
    <w:rsid w:val="001C3471"/>
    <w:rsid w:val="001C352D"/>
    <w:rsid w:val="001C3658"/>
    <w:rsid w:val="001C37C8"/>
    <w:rsid w:val="001C37FD"/>
    <w:rsid w:val="001C3816"/>
    <w:rsid w:val="001C39B3"/>
    <w:rsid w:val="001C39FF"/>
    <w:rsid w:val="001C3A8B"/>
    <w:rsid w:val="001C3B67"/>
    <w:rsid w:val="001C3CE8"/>
    <w:rsid w:val="001C3D44"/>
    <w:rsid w:val="001C3E32"/>
    <w:rsid w:val="001C3E41"/>
    <w:rsid w:val="001C3E4C"/>
    <w:rsid w:val="001C3E67"/>
    <w:rsid w:val="001C3EB2"/>
    <w:rsid w:val="001C3F59"/>
    <w:rsid w:val="001C3F85"/>
    <w:rsid w:val="001C3FF3"/>
    <w:rsid w:val="001C40EA"/>
    <w:rsid w:val="001C40EB"/>
    <w:rsid w:val="001C4191"/>
    <w:rsid w:val="001C4192"/>
    <w:rsid w:val="001C4239"/>
    <w:rsid w:val="001C424A"/>
    <w:rsid w:val="001C426A"/>
    <w:rsid w:val="001C4332"/>
    <w:rsid w:val="001C4342"/>
    <w:rsid w:val="001C4420"/>
    <w:rsid w:val="001C4460"/>
    <w:rsid w:val="001C4536"/>
    <w:rsid w:val="001C45B4"/>
    <w:rsid w:val="001C4673"/>
    <w:rsid w:val="001C46B2"/>
    <w:rsid w:val="001C476E"/>
    <w:rsid w:val="001C4831"/>
    <w:rsid w:val="001C4A45"/>
    <w:rsid w:val="001C4ABE"/>
    <w:rsid w:val="001C4AD3"/>
    <w:rsid w:val="001C4BB5"/>
    <w:rsid w:val="001C4C8C"/>
    <w:rsid w:val="001C4CD2"/>
    <w:rsid w:val="001C4DA4"/>
    <w:rsid w:val="001C4DAA"/>
    <w:rsid w:val="001C4E84"/>
    <w:rsid w:val="001C4E86"/>
    <w:rsid w:val="001C4ECF"/>
    <w:rsid w:val="001C4F0C"/>
    <w:rsid w:val="001C4F1A"/>
    <w:rsid w:val="001C4F23"/>
    <w:rsid w:val="001C4F9A"/>
    <w:rsid w:val="001C50B3"/>
    <w:rsid w:val="001C5170"/>
    <w:rsid w:val="001C52A3"/>
    <w:rsid w:val="001C5327"/>
    <w:rsid w:val="001C535B"/>
    <w:rsid w:val="001C53F0"/>
    <w:rsid w:val="001C541A"/>
    <w:rsid w:val="001C54A9"/>
    <w:rsid w:val="001C55B9"/>
    <w:rsid w:val="001C55D4"/>
    <w:rsid w:val="001C56A2"/>
    <w:rsid w:val="001C570A"/>
    <w:rsid w:val="001C5723"/>
    <w:rsid w:val="001C5746"/>
    <w:rsid w:val="001C57AE"/>
    <w:rsid w:val="001C582C"/>
    <w:rsid w:val="001C5834"/>
    <w:rsid w:val="001C585D"/>
    <w:rsid w:val="001C58E6"/>
    <w:rsid w:val="001C596E"/>
    <w:rsid w:val="001C59A9"/>
    <w:rsid w:val="001C59B9"/>
    <w:rsid w:val="001C5A79"/>
    <w:rsid w:val="001C5B75"/>
    <w:rsid w:val="001C5C26"/>
    <w:rsid w:val="001C5C8F"/>
    <w:rsid w:val="001C5D04"/>
    <w:rsid w:val="001C5D34"/>
    <w:rsid w:val="001C5D57"/>
    <w:rsid w:val="001C5DEA"/>
    <w:rsid w:val="001C5E05"/>
    <w:rsid w:val="001C5E13"/>
    <w:rsid w:val="001C5E4A"/>
    <w:rsid w:val="001C5EBF"/>
    <w:rsid w:val="001C5EFB"/>
    <w:rsid w:val="001C5FD7"/>
    <w:rsid w:val="001C6032"/>
    <w:rsid w:val="001C6051"/>
    <w:rsid w:val="001C60E1"/>
    <w:rsid w:val="001C619A"/>
    <w:rsid w:val="001C61B1"/>
    <w:rsid w:val="001C62B9"/>
    <w:rsid w:val="001C633C"/>
    <w:rsid w:val="001C6389"/>
    <w:rsid w:val="001C63A4"/>
    <w:rsid w:val="001C640C"/>
    <w:rsid w:val="001C6413"/>
    <w:rsid w:val="001C64B5"/>
    <w:rsid w:val="001C653F"/>
    <w:rsid w:val="001C65F0"/>
    <w:rsid w:val="001C663C"/>
    <w:rsid w:val="001C66A1"/>
    <w:rsid w:val="001C670F"/>
    <w:rsid w:val="001C67E7"/>
    <w:rsid w:val="001C67FC"/>
    <w:rsid w:val="001C6809"/>
    <w:rsid w:val="001C689C"/>
    <w:rsid w:val="001C68E5"/>
    <w:rsid w:val="001C69E2"/>
    <w:rsid w:val="001C69FD"/>
    <w:rsid w:val="001C6A62"/>
    <w:rsid w:val="001C6BCB"/>
    <w:rsid w:val="001C6C27"/>
    <w:rsid w:val="001C6CB5"/>
    <w:rsid w:val="001C6CB8"/>
    <w:rsid w:val="001C6CBD"/>
    <w:rsid w:val="001C6CE2"/>
    <w:rsid w:val="001C6DB2"/>
    <w:rsid w:val="001C6E00"/>
    <w:rsid w:val="001C6E24"/>
    <w:rsid w:val="001C6F20"/>
    <w:rsid w:val="001C6FDB"/>
    <w:rsid w:val="001C70FC"/>
    <w:rsid w:val="001C717B"/>
    <w:rsid w:val="001C7195"/>
    <w:rsid w:val="001C7239"/>
    <w:rsid w:val="001C7340"/>
    <w:rsid w:val="001C74E4"/>
    <w:rsid w:val="001C7534"/>
    <w:rsid w:val="001C7547"/>
    <w:rsid w:val="001C7578"/>
    <w:rsid w:val="001C757C"/>
    <w:rsid w:val="001C75A8"/>
    <w:rsid w:val="001C771E"/>
    <w:rsid w:val="001C773F"/>
    <w:rsid w:val="001C7743"/>
    <w:rsid w:val="001C787F"/>
    <w:rsid w:val="001C7936"/>
    <w:rsid w:val="001C7966"/>
    <w:rsid w:val="001C7AC1"/>
    <w:rsid w:val="001C7AED"/>
    <w:rsid w:val="001C7B29"/>
    <w:rsid w:val="001C7B67"/>
    <w:rsid w:val="001C7BBA"/>
    <w:rsid w:val="001C7CDE"/>
    <w:rsid w:val="001C7D53"/>
    <w:rsid w:val="001C7D7C"/>
    <w:rsid w:val="001C7E2D"/>
    <w:rsid w:val="001C7E5C"/>
    <w:rsid w:val="001C7EE3"/>
    <w:rsid w:val="001C7F2A"/>
    <w:rsid w:val="001D0036"/>
    <w:rsid w:val="001D00EE"/>
    <w:rsid w:val="001D01D2"/>
    <w:rsid w:val="001D0203"/>
    <w:rsid w:val="001D0247"/>
    <w:rsid w:val="001D028E"/>
    <w:rsid w:val="001D02C1"/>
    <w:rsid w:val="001D0382"/>
    <w:rsid w:val="001D0387"/>
    <w:rsid w:val="001D03BB"/>
    <w:rsid w:val="001D03E0"/>
    <w:rsid w:val="001D04D6"/>
    <w:rsid w:val="001D0556"/>
    <w:rsid w:val="001D0646"/>
    <w:rsid w:val="001D06BF"/>
    <w:rsid w:val="001D0813"/>
    <w:rsid w:val="001D08E4"/>
    <w:rsid w:val="001D0930"/>
    <w:rsid w:val="001D09E0"/>
    <w:rsid w:val="001D0B99"/>
    <w:rsid w:val="001D0D2B"/>
    <w:rsid w:val="001D0D2C"/>
    <w:rsid w:val="001D0E7C"/>
    <w:rsid w:val="001D0ED6"/>
    <w:rsid w:val="001D0EE2"/>
    <w:rsid w:val="001D0F5D"/>
    <w:rsid w:val="001D104A"/>
    <w:rsid w:val="001D105F"/>
    <w:rsid w:val="001D1148"/>
    <w:rsid w:val="001D11B8"/>
    <w:rsid w:val="001D11D5"/>
    <w:rsid w:val="001D11D7"/>
    <w:rsid w:val="001D137F"/>
    <w:rsid w:val="001D14DA"/>
    <w:rsid w:val="001D15B4"/>
    <w:rsid w:val="001D1647"/>
    <w:rsid w:val="001D16FE"/>
    <w:rsid w:val="001D18D8"/>
    <w:rsid w:val="001D1963"/>
    <w:rsid w:val="001D19BA"/>
    <w:rsid w:val="001D1A1F"/>
    <w:rsid w:val="001D1A6B"/>
    <w:rsid w:val="001D1A7B"/>
    <w:rsid w:val="001D1AA2"/>
    <w:rsid w:val="001D1AF6"/>
    <w:rsid w:val="001D1BB5"/>
    <w:rsid w:val="001D1C16"/>
    <w:rsid w:val="001D1CB5"/>
    <w:rsid w:val="001D1CB7"/>
    <w:rsid w:val="001D1CFB"/>
    <w:rsid w:val="001D1D0B"/>
    <w:rsid w:val="001D1D0F"/>
    <w:rsid w:val="001D1D64"/>
    <w:rsid w:val="001D1DFC"/>
    <w:rsid w:val="001D1EAD"/>
    <w:rsid w:val="001D1EE8"/>
    <w:rsid w:val="001D1F16"/>
    <w:rsid w:val="001D20BB"/>
    <w:rsid w:val="001D2151"/>
    <w:rsid w:val="001D2156"/>
    <w:rsid w:val="001D219F"/>
    <w:rsid w:val="001D21E6"/>
    <w:rsid w:val="001D2274"/>
    <w:rsid w:val="001D232C"/>
    <w:rsid w:val="001D2359"/>
    <w:rsid w:val="001D23A7"/>
    <w:rsid w:val="001D2421"/>
    <w:rsid w:val="001D2463"/>
    <w:rsid w:val="001D24DD"/>
    <w:rsid w:val="001D24F2"/>
    <w:rsid w:val="001D2524"/>
    <w:rsid w:val="001D2563"/>
    <w:rsid w:val="001D2605"/>
    <w:rsid w:val="001D2623"/>
    <w:rsid w:val="001D276C"/>
    <w:rsid w:val="001D280B"/>
    <w:rsid w:val="001D2902"/>
    <w:rsid w:val="001D290C"/>
    <w:rsid w:val="001D2981"/>
    <w:rsid w:val="001D2B35"/>
    <w:rsid w:val="001D2B4D"/>
    <w:rsid w:val="001D2B92"/>
    <w:rsid w:val="001D2BD9"/>
    <w:rsid w:val="001D2BEB"/>
    <w:rsid w:val="001D2C7C"/>
    <w:rsid w:val="001D2C8E"/>
    <w:rsid w:val="001D2DA7"/>
    <w:rsid w:val="001D2DE8"/>
    <w:rsid w:val="001D2EC7"/>
    <w:rsid w:val="001D2F04"/>
    <w:rsid w:val="001D2F33"/>
    <w:rsid w:val="001D2F69"/>
    <w:rsid w:val="001D3015"/>
    <w:rsid w:val="001D3033"/>
    <w:rsid w:val="001D30A4"/>
    <w:rsid w:val="001D3116"/>
    <w:rsid w:val="001D31A7"/>
    <w:rsid w:val="001D31C8"/>
    <w:rsid w:val="001D320B"/>
    <w:rsid w:val="001D323C"/>
    <w:rsid w:val="001D3259"/>
    <w:rsid w:val="001D32E2"/>
    <w:rsid w:val="001D3396"/>
    <w:rsid w:val="001D33C8"/>
    <w:rsid w:val="001D33E8"/>
    <w:rsid w:val="001D3515"/>
    <w:rsid w:val="001D364F"/>
    <w:rsid w:val="001D3700"/>
    <w:rsid w:val="001D3750"/>
    <w:rsid w:val="001D3764"/>
    <w:rsid w:val="001D3786"/>
    <w:rsid w:val="001D379F"/>
    <w:rsid w:val="001D3856"/>
    <w:rsid w:val="001D38C6"/>
    <w:rsid w:val="001D3904"/>
    <w:rsid w:val="001D3913"/>
    <w:rsid w:val="001D39BB"/>
    <w:rsid w:val="001D3A81"/>
    <w:rsid w:val="001D3A82"/>
    <w:rsid w:val="001D3C06"/>
    <w:rsid w:val="001D3C29"/>
    <w:rsid w:val="001D3C3C"/>
    <w:rsid w:val="001D3CE0"/>
    <w:rsid w:val="001D3D13"/>
    <w:rsid w:val="001D3D17"/>
    <w:rsid w:val="001D3D47"/>
    <w:rsid w:val="001D3D52"/>
    <w:rsid w:val="001D3F31"/>
    <w:rsid w:val="001D3F6C"/>
    <w:rsid w:val="001D3F93"/>
    <w:rsid w:val="001D40EB"/>
    <w:rsid w:val="001D40F0"/>
    <w:rsid w:val="001D417C"/>
    <w:rsid w:val="001D41E1"/>
    <w:rsid w:val="001D421E"/>
    <w:rsid w:val="001D42A2"/>
    <w:rsid w:val="001D42F6"/>
    <w:rsid w:val="001D4482"/>
    <w:rsid w:val="001D44D3"/>
    <w:rsid w:val="001D462A"/>
    <w:rsid w:val="001D4640"/>
    <w:rsid w:val="001D4689"/>
    <w:rsid w:val="001D478A"/>
    <w:rsid w:val="001D47C7"/>
    <w:rsid w:val="001D47D9"/>
    <w:rsid w:val="001D47E1"/>
    <w:rsid w:val="001D487B"/>
    <w:rsid w:val="001D48F9"/>
    <w:rsid w:val="001D49A5"/>
    <w:rsid w:val="001D49CD"/>
    <w:rsid w:val="001D49F0"/>
    <w:rsid w:val="001D4A37"/>
    <w:rsid w:val="001D4AD1"/>
    <w:rsid w:val="001D4B8A"/>
    <w:rsid w:val="001D4C40"/>
    <w:rsid w:val="001D4D16"/>
    <w:rsid w:val="001D4D64"/>
    <w:rsid w:val="001D4DD5"/>
    <w:rsid w:val="001D4E7F"/>
    <w:rsid w:val="001D505C"/>
    <w:rsid w:val="001D5100"/>
    <w:rsid w:val="001D51F3"/>
    <w:rsid w:val="001D531C"/>
    <w:rsid w:val="001D532E"/>
    <w:rsid w:val="001D53BD"/>
    <w:rsid w:val="001D53F7"/>
    <w:rsid w:val="001D54C0"/>
    <w:rsid w:val="001D55DE"/>
    <w:rsid w:val="001D5603"/>
    <w:rsid w:val="001D56E2"/>
    <w:rsid w:val="001D5833"/>
    <w:rsid w:val="001D586E"/>
    <w:rsid w:val="001D5945"/>
    <w:rsid w:val="001D5ACC"/>
    <w:rsid w:val="001D5AE0"/>
    <w:rsid w:val="001D5B1C"/>
    <w:rsid w:val="001D5B94"/>
    <w:rsid w:val="001D5BAA"/>
    <w:rsid w:val="001D5BFF"/>
    <w:rsid w:val="001D5CB5"/>
    <w:rsid w:val="001D5CC4"/>
    <w:rsid w:val="001D5CCF"/>
    <w:rsid w:val="001D5CD7"/>
    <w:rsid w:val="001D5CE2"/>
    <w:rsid w:val="001D5D0B"/>
    <w:rsid w:val="001D5DA4"/>
    <w:rsid w:val="001D5E7E"/>
    <w:rsid w:val="001D5E99"/>
    <w:rsid w:val="001D5F5F"/>
    <w:rsid w:val="001D5FBA"/>
    <w:rsid w:val="001D6035"/>
    <w:rsid w:val="001D6043"/>
    <w:rsid w:val="001D60E8"/>
    <w:rsid w:val="001D612C"/>
    <w:rsid w:val="001D616D"/>
    <w:rsid w:val="001D619B"/>
    <w:rsid w:val="001D620E"/>
    <w:rsid w:val="001D6296"/>
    <w:rsid w:val="001D6365"/>
    <w:rsid w:val="001D64F7"/>
    <w:rsid w:val="001D65B4"/>
    <w:rsid w:val="001D65D0"/>
    <w:rsid w:val="001D65D8"/>
    <w:rsid w:val="001D66AF"/>
    <w:rsid w:val="001D6717"/>
    <w:rsid w:val="001D67A6"/>
    <w:rsid w:val="001D67B9"/>
    <w:rsid w:val="001D67F9"/>
    <w:rsid w:val="001D684E"/>
    <w:rsid w:val="001D6882"/>
    <w:rsid w:val="001D6916"/>
    <w:rsid w:val="001D693F"/>
    <w:rsid w:val="001D69F2"/>
    <w:rsid w:val="001D6A06"/>
    <w:rsid w:val="001D6A16"/>
    <w:rsid w:val="001D6AEF"/>
    <w:rsid w:val="001D6B03"/>
    <w:rsid w:val="001D6BFA"/>
    <w:rsid w:val="001D6C53"/>
    <w:rsid w:val="001D6C59"/>
    <w:rsid w:val="001D6C68"/>
    <w:rsid w:val="001D6D11"/>
    <w:rsid w:val="001D6D22"/>
    <w:rsid w:val="001D6D76"/>
    <w:rsid w:val="001D6D77"/>
    <w:rsid w:val="001D6D92"/>
    <w:rsid w:val="001D6D96"/>
    <w:rsid w:val="001D6DD3"/>
    <w:rsid w:val="001D6E01"/>
    <w:rsid w:val="001D6EBA"/>
    <w:rsid w:val="001D6F3D"/>
    <w:rsid w:val="001D6F66"/>
    <w:rsid w:val="001D70BD"/>
    <w:rsid w:val="001D70D3"/>
    <w:rsid w:val="001D70E1"/>
    <w:rsid w:val="001D7102"/>
    <w:rsid w:val="001D7153"/>
    <w:rsid w:val="001D7214"/>
    <w:rsid w:val="001D72E7"/>
    <w:rsid w:val="001D7372"/>
    <w:rsid w:val="001D7397"/>
    <w:rsid w:val="001D73F6"/>
    <w:rsid w:val="001D7465"/>
    <w:rsid w:val="001D763F"/>
    <w:rsid w:val="001D7899"/>
    <w:rsid w:val="001D7976"/>
    <w:rsid w:val="001D79C0"/>
    <w:rsid w:val="001D7A25"/>
    <w:rsid w:val="001D7A4A"/>
    <w:rsid w:val="001D7BA3"/>
    <w:rsid w:val="001D7BC7"/>
    <w:rsid w:val="001D7BFB"/>
    <w:rsid w:val="001D7C0B"/>
    <w:rsid w:val="001D7CB1"/>
    <w:rsid w:val="001D7E3A"/>
    <w:rsid w:val="001D7EF1"/>
    <w:rsid w:val="001D7F45"/>
    <w:rsid w:val="001D7FC3"/>
    <w:rsid w:val="001E005C"/>
    <w:rsid w:val="001E020C"/>
    <w:rsid w:val="001E055B"/>
    <w:rsid w:val="001E05FE"/>
    <w:rsid w:val="001E0632"/>
    <w:rsid w:val="001E0708"/>
    <w:rsid w:val="001E0751"/>
    <w:rsid w:val="001E08EE"/>
    <w:rsid w:val="001E0914"/>
    <w:rsid w:val="001E09E6"/>
    <w:rsid w:val="001E09F4"/>
    <w:rsid w:val="001E0A5F"/>
    <w:rsid w:val="001E0A80"/>
    <w:rsid w:val="001E0A89"/>
    <w:rsid w:val="001E0A8E"/>
    <w:rsid w:val="001E0B66"/>
    <w:rsid w:val="001E0C9B"/>
    <w:rsid w:val="001E0D52"/>
    <w:rsid w:val="001E0DB5"/>
    <w:rsid w:val="001E0E1B"/>
    <w:rsid w:val="001E0E23"/>
    <w:rsid w:val="001E0E6F"/>
    <w:rsid w:val="001E0F3D"/>
    <w:rsid w:val="001E0F51"/>
    <w:rsid w:val="001E0FC5"/>
    <w:rsid w:val="001E1013"/>
    <w:rsid w:val="001E1018"/>
    <w:rsid w:val="001E1176"/>
    <w:rsid w:val="001E1198"/>
    <w:rsid w:val="001E11AB"/>
    <w:rsid w:val="001E11CF"/>
    <w:rsid w:val="001E127D"/>
    <w:rsid w:val="001E1399"/>
    <w:rsid w:val="001E13EF"/>
    <w:rsid w:val="001E13FE"/>
    <w:rsid w:val="001E1429"/>
    <w:rsid w:val="001E143C"/>
    <w:rsid w:val="001E155A"/>
    <w:rsid w:val="001E157E"/>
    <w:rsid w:val="001E15D6"/>
    <w:rsid w:val="001E15E8"/>
    <w:rsid w:val="001E1609"/>
    <w:rsid w:val="001E1636"/>
    <w:rsid w:val="001E1746"/>
    <w:rsid w:val="001E1763"/>
    <w:rsid w:val="001E17DE"/>
    <w:rsid w:val="001E181B"/>
    <w:rsid w:val="001E195C"/>
    <w:rsid w:val="001E1960"/>
    <w:rsid w:val="001E1988"/>
    <w:rsid w:val="001E1A78"/>
    <w:rsid w:val="001E1A80"/>
    <w:rsid w:val="001E1AEF"/>
    <w:rsid w:val="001E1B45"/>
    <w:rsid w:val="001E1BE5"/>
    <w:rsid w:val="001E1C1F"/>
    <w:rsid w:val="001E1CE1"/>
    <w:rsid w:val="001E1DFA"/>
    <w:rsid w:val="001E1FE6"/>
    <w:rsid w:val="001E2047"/>
    <w:rsid w:val="001E20A9"/>
    <w:rsid w:val="001E20AE"/>
    <w:rsid w:val="001E211F"/>
    <w:rsid w:val="001E2161"/>
    <w:rsid w:val="001E2181"/>
    <w:rsid w:val="001E2191"/>
    <w:rsid w:val="001E21A4"/>
    <w:rsid w:val="001E2243"/>
    <w:rsid w:val="001E224D"/>
    <w:rsid w:val="001E22A7"/>
    <w:rsid w:val="001E2362"/>
    <w:rsid w:val="001E23C4"/>
    <w:rsid w:val="001E2449"/>
    <w:rsid w:val="001E2454"/>
    <w:rsid w:val="001E248A"/>
    <w:rsid w:val="001E251E"/>
    <w:rsid w:val="001E2535"/>
    <w:rsid w:val="001E2564"/>
    <w:rsid w:val="001E25F3"/>
    <w:rsid w:val="001E26A7"/>
    <w:rsid w:val="001E26DC"/>
    <w:rsid w:val="001E26EC"/>
    <w:rsid w:val="001E2756"/>
    <w:rsid w:val="001E282D"/>
    <w:rsid w:val="001E2838"/>
    <w:rsid w:val="001E28C1"/>
    <w:rsid w:val="001E2930"/>
    <w:rsid w:val="001E29D2"/>
    <w:rsid w:val="001E2A07"/>
    <w:rsid w:val="001E2A26"/>
    <w:rsid w:val="001E2AB0"/>
    <w:rsid w:val="001E2AB6"/>
    <w:rsid w:val="001E2C0C"/>
    <w:rsid w:val="001E2D8B"/>
    <w:rsid w:val="001E2D9F"/>
    <w:rsid w:val="001E2E43"/>
    <w:rsid w:val="001E2E4F"/>
    <w:rsid w:val="001E2EDD"/>
    <w:rsid w:val="001E2F1F"/>
    <w:rsid w:val="001E2FBB"/>
    <w:rsid w:val="001E2FC1"/>
    <w:rsid w:val="001E3055"/>
    <w:rsid w:val="001E30FC"/>
    <w:rsid w:val="001E311E"/>
    <w:rsid w:val="001E3247"/>
    <w:rsid w:val="001E3281"/>
    <w:rsid w:val="001E329C"/>
    <w:rsid w:val="001E32A0"/>
    <w:rsid w:val="001E32D5"/>
    <w:rsid w:val="001E32FF"/>
    <w:rsid w:val="001E3366"/>
    <w:rsid w:val="001E343E"/>
    <w:rsid w:val="001E3451"/>
    <w:rsid w:val="001E34D8"/>
    <w:rsid w:val="001E3581"/>
    <w:rsid w:val="001E3639"/>
    <w:rsid w:val="001E3660"/>
    <w:rsid w:val="001E3718"/>
    <w:rsid w:val="001E372F"/>
    <w:rsid w:val="001E3738"/>
    <w:rsid w:val="001E3843"/>
    <w:rsid w:val="001E3845"/>
    <w:rsid w:val="001E38C3"/>
    <w:rsid w:val="001E39FD"/>
    <w:rsid w:val="001E3AD1"/>
    <w:rsid w:val="001E3B04"/>
    <w:rsid w:val="001E3B49"/>
    <w:rsid w:val="001E3BF5"/>
    <w:rsid w:val="001E3C48"/>
    <w:rsid w:val="001E3D02"/>
    <w:rsid w:val="001E3E58"/>
    <w:rsid w:val="001E3F06"/>
    <w:rsid w:val="001E3F5C"/>
    <w:rsid w:val="001E3F5E"/>
    <w:rsid w:val="001E3FA6"/>
    <w:rsid w:val="001E3FC6"/>
    <w:rsid w:val="001E3FC8"/>
    <w:rsid w:val="001E4041"/>
    <w:rsid w:val="001E4077"/>
    <w:rsid w:val="001E4132"/>
    <w:rsid w:val="001E4183"/>
    <w:rsid w:val="001E4194"/>
    <w:rsid w:val="001E41E2"/>
    <w:rsid w:val="001E41E3"/>
    <w:rsid w:val="001E428A"/>
    <w:rsid w:val="001E439A"/>
    <w:rsid w:val="001E43B7"/>
    <w:rsid w:val="001E4656"/>
    <w:rsid w:val="001E46FE"/>
    <w:rsid w:val="001E4755"/>
    <w:rsid w:val="001E476F"/>
    <w:rsid w:val="001E4871"/>
    <w:rsid w:val="001E4937"/>
    <w:rsid w:val="001E49AD"/>
    <w:rsid w:val="001E4A02"/>
    <w:rsid w:val="001E4ABB"/>
    <w:rsid w:val="001E4C57"/>
    <w:rsid w:val="001E4D10"/>
    <w:rsid w:val="001E4D51"/>
    <w:rsid w:val="001E4D6E"/>
    <w:rsid w:val="001E4D88"/>
    <w:rsid w:val="001E4DBA"/>
    <w:rsid w:val="001E4E6F"/>
    <w:rsid w:val="001E4F00"/>
    <w:rsid w:val="001E4F4E"/>
    <w:rsid w:val="001E4F72"/>
    <w:rsid w:val="001E4F7D"/>
    <w:rsid w:val="001E4F92"/>
    <w:rsid w:val="001E5096"/>
    <w:rsid w:val="001E50A0"/>
    <w:rsid w:val="001E5116"/>
    <w:rsid w:val="001E5236"/>
    <w:rsid w:val="001E523B"/>
    <w:rsid w:val="001E526F"/>
    <w:rsid w:val="001E527F"/>
    <w:rsid w:val="001E53A2"/>
    <w:rsid w:val="001E549F"/>
    <w:rsid w:val="001E551D"/>
    <w:rsid w:val="001E55C6"/>
    <w:rsid w:val="001E55FA"/>
    <w:rsid w:val="001E564B"/>
    <w:rsid w:val="001E570D"/>
    <w:rsid w:val="001E5734"/>
    <w:rsid w:val="001E57AA"/>
    <w:rsid w:val="001E584F"/>
    <w:rsid w:val="001E5909"/>
    <w:rsid w:val="001E595E"/>
    <w:rsid w:val="001E59C9"/>
    <w:rsid w:val="001E5C1D"/>
    <w:rsid w:val="001E5CC6"/>
    <w:rsid w:val="001E5D16"/>
    <w:rsid w:val="001E5D4C"/>
    <w:rsid w:val="001E5E1F"/>
    <w:rsid w:val="001E5E82"/>
    <w:rsid w:val="001E5EBA"/>
    <w:rsid w:val="001E5F30"/>
    <w:rsid w:val="001E5F62"/>
    <w:rsid w:val="001E606C"/>
    <w:rsid w:val="001E6087"/>
    <w:rsid w:val="001E60A7"/>
    <w:rsid w:val="001E60F7"/>
    <w:rsid w:val="001E6146"/>
    <w:rsid w:val="001E61DA"/>
    <w:rsid w:val="001E6220"/>
    <w:rsid w:val="001E6265"/>
    <w:rsid w:val="001E62EA"/>
    <w:rsid w:val="001E6327"/>
    <w:rsid w:val="001E632E"/>
    <w:rsid w:val="001E6386"/>
    <w:rsid w:val="001E63FA"/>
    <w:rsid w:val="001E6460"/>
    <w:rsid w:val="001E659C"/>
    <w:rsid w:val="001E65BC"/>
    <w:rsid w:val="001E6603"/>
    <w:rsid w:val="001E6636"/>
    <w:rsid w:val="001E66DA"/>
    <w:rsid w:val="001E67A9"/>
    <w:rsid w:val="001E6870"/>
    <w:rsid w:val="001E68A2"/>
    <w:rsid w:val="001E6903"/>
    <w:rsid w:val="001E691B"/>
    <w:rsid w:val="001E6949"/>
    <w:rsid w:val="001E69F5"/>
    <w:rsid w:val="001E6A62"/>
    <w:rsid w:val="001E6ABA"/>
    <w:rsid w:val="001E6B44"/>
    <w:rsid w:val="001E6B79"/>
    <w:rsid w:val="001E6CE9"/>
    <w:rsid w:val="001E6CF0"/>
    <w:rsid w:val="001E6DDC"/>
    <w:rsid w:val="001E6E32"/>
    <w:rsid w:val="001E6E9C"/>
    <w:rsid w:val="001E6F13"/>
    <w:rsid w:val="001E6FCE"/>
    <w:rsid w:val="001E7050"/>
    <w:rsid w:val="001E709F"/>
    <w:rsid w:val="001E70EB"/>
    <w:rsid w:val="001E71C4"/>
    <w:rsid w:val="001E71F6"/>
    <w:rsid w:val="001E720F"/>
    <w:rsid w:val="001E7249"/>
    <w:rsid w:val="001E728A"/>
    <w:rsid w:val="001E72DA"/>
    <w:rsid w:val="001E72EF"/>
    <w:rsid w:val="001E7313"/>
    <w:rsid w:val="001E7347"/>
    <w:rsid w:val="001E7440"/>
    <w:rsid w:val="001E74B5"/>
    <w:rsid w:val="001E7529"/>
    <w:rsid w:val="001E754C"/>
    <w:rsid w:val="001E7565"/>
    <w:rsid w:val="001E7581"/>
    <w:rsid w:val="001E7672"/>
    <w:rsid w:val="001E77B5"/>
    <w:rsid w:val="001E77C8"/>
    <w:rsid w:val="001E77E6"/>
    <w:rsid w:val="001E7942"/>
    <w:rsid w:val="001E7966"/>
    <w:rsid w:val="001E799C"/>
    <w:rsid w:val="001E79D1"/>
    <w:rsid w:val="001E7A5C"/>
    <w:rsid w:val="001E7B1C"/>
    <w:rsid w:val="001E7B3C"/>
    <w:rsid w:val="001E7C43"/>
    <w:rsid w:val="001E7C49"/>
    <w:rsid w:val="001E7C5A"/>
    <w:rsid w:val="001E7D52"/>
    <w:rsid w:val="001E7D75"/>
    <w:rsid w:val="001E7DB7"/>
    <w:rsid w:val="001E7DCD"/>
    <w:rsid w:val="001E7E04"/>
    <w:rsid w:val="001F009D"/>
    <w:rsid w:val="001F00D1"/>
    <w:rsid w:val="001F0110"/>
    <w:rsid w:val="001F0202"/>
    <w:rsid w:val="001F0207"/>
    <w:rsid w:val="001F020A"/>
    <w:rsid w:val="001F02B3"/>
    <w:rsid w:val="001F02DA"/>
    <w:rsid w:val="001F02E8"/>
    <w:rsid w:val="001F0300"/>
    <w:rsid w:val="001F03AC"/>
    <w:rsid w:val="001F03B3"/>
    <w:rsid w:val="001F03EB"/>
    <w:rsid w:val="001F050E"/>
    <w:rsid w:val="001F05B0"/>
    <w:rsid w:val="001F05C8"/>
    <w:rsid w:val="001F05D8"/>
    <w:rsid w:val="001F0605"/>
    <w:rsid w:val="001F063F"/>
    <w:rsid w:val="001F0657"/>
    <w:rsid w:val="001F06B3"/>
    <w:rsid w:val="001F0760"/>
    <w:rsid w:val="001F08A8"/>
    <w:rsid w:val="001F08B2"/>
    <w:rsid w:val="001F0A10"/>
    <w:rsid w:val="001F0A3C"/>
    <w:rsid w:val="001F0A94"/>
    <w:rsid w:val="001F0B88"/>
    <w:rsid w:val="001F0C74"/>
    <w:rsid w:val="001F0E30"/>
    <w:rsid w:val="001F0EEF"/>
    <w:rsid w:val="001F0EFD"/>
    <w:rsid w:val="001F0F05"/>
    <w:rsid w:val="001F0F31"/>
    <w:rsid w:val="001F0FF3"/>
    <w:rsid w:val="001F1017"/>
    <w:rsid w:val="001F1077"/>
    <w:rsid w:val="001F12BC"/>
    <w:rsid w:val="001F12C5"/>
    <w:rsid w:val="001F13CB"/>
    <w:rsid w:val="001F13F2"/>
    <w:rsid w:val="001F14E6"/>
    <w:rsid w:val="001F1612"/>
    <w:rsid w:val="001F16BB"/>
    <w:rsid w:val="001F1884"/>
    <w:rsid w:val="001F18C4"/>
    <w:rsid w:val="001F18D1"/>
    <w:rsid w:val="001F1996"/>
    <w:rsid w:val="001F19F1"/>
    <w:rsid w:val="001F1A68"/>
    <w:rsid w:val="001F1ABD"/>
    <w:rsid w:val="001F1AD5"/>
    <w:rsid w:val="001F1BD2"/>
    <w:rsid w:val="001F1C51"/>
    <w:rsid w:val="001F1D5E"/>
    <w:rsid w:val="001F1DAC"/>
    <w:rsid w:val="001F1DFE"/>
    <w:rsid w:val="001F1E8D"/>
    <w:rsid w:val="001F1EC3"/>
    <w:rsid w:val="001F1F29"/>
    <w:rsid w:val="001F1F31"/>
    <w:rsid w:val="001F201C"/>
    <w:rsid w:val="001F20B0"/>
    <w:rsid w:val="001F20B2"/>
    <w:rsid w:val="001F2159"/>
    <w:rsid w:val="001F21D9"/>
    <w:rsid w:val="001F223A"/>
    <w:rsid w:val="001F224A"/>
    <w:rsid w:val="001F22B7"/>
    <w:rsid w:val="001F2338"/>
    <w:rsid w:val="001F2350"/>
    <w:rsid w:val="001F237D"/>
    <w:rsid w:val="001F23DC"/>
    <w:rsid w:val="001F2452"/>
    <w:rsid w:val="001F250B"/>
    <w:rsid w:val="001F256A"/>
    <w:rsid w:val="001F25AB"/>
    <w:rsid w:val="001F25B7"/>
    <w:rsid w:val="001F25D4"/>
    <w:rsid w:val="001F2643"/>
    <w:rsid w:val="001F26B6"/>
    <w:rsid w:val="001F2770"/>
    <w:rsid w:val="001F27C2"/>
    <w:rsid w:val="001F27CC"/>
    <w:rsid w:val="001F2864"/>
    <w:rsid w:val="001F2931"/>
    <w:rsid w:val="001F295D"/>
    <w:rsid w:val="001F2A2E"/>
    <w:rsid w:val="001F2A71"/>
    <w:rsid w:val="001F2A97"/>
    <w:rsid w:val="001F2AC1"/>
    <w:rsid w:val="001F2B52"/>
    <w:rsid w:val="001F2BA0"/>
    <w:rsid w:val="001F2C94"/>
    <w:rsid w:val="001F2CFC"/>
    <w:rsid w:val="001F2D64"/>
    <w:rsid w:val="001F2D89"/>
    <w:rsid w:val="001F2DFE"/>
    <w:rsid w:val="001F2E6F"/>
    <w:rsid w:val="001F2EC9"/>
    <w:rsid w:val="001F2F10"/>
    <w:rsid w:val="001F2F8A"/>
    <w:rsid w:val="001F2FAC"/>
    <w:rsid w:val="001F2FD4"/>
    <w:rsid w:val="001F30CE"/>
    <w:rsid w:val="001F3120"/>
    <w:rsid w:val="001F31D2"/>
    <w:rsid w:val="001F31F3"/>
    <w:rsid w:val="001F320C"/>
    <w:rsid w:val="001F3230"/>
    <w:rsid w:val="001F327E"/>
    <w:rsid w:val="001F328E"/>
    <w:rsid w:val="001F3299"/>
    <w:rsid w:val="001F32B7"/>
    <w:rsid w:val="001F33C8"/>
    <w:rsid w:val="001F345D"/>
    <w:rsid w:val="001F3488"/>
    <w:rsid w:val="001F34D8"/>
    <w:rsid w:val="001F3618"/>
    <w:rsid w:val="001F3672"/>
    <w:rsid w:val="001F369E"/>
    <w:rsid w:val="001F3702"/>
    <w:rsid w:val="001F3714"/>
    <w:rsid w:val="001F3717"/>
    <w:rsid w:val="001F374F"/>
    <w:rsid w:val="001F3788"/>
    <w:rsid w:val="001F3836"/>
    <w:rsid w:val="001F38CC"/>
    <w:rsid w:val="001F38CE"/>
    <w:rsid w:val="001F394B"/>
    <w:rsid w:val="001F395C"/>
    <w:rsid w:val="001F3A3D"/>
    <w:rsid w:val="001F3A76"/>
    <w:rsid w:val="001F3AD3"/>
    <w:rsid w:val="001F3AD6"/>
    <w:rsid w:val="001F3AE7"/>
    <w:rsid w:val="001F3AF7"/>
    <w:rsid w:val="001F3B54"/>
    <w:rsid w:val="001F3BAB"/>
    <w:rsid w:val="001F3BF1"/>
    <w:rsid w:val="001F3C52"/>
    <w:rsid w:val="001F3D22"/>
    <w:rsid w:val="001F3D74"/>
    <w:rsid w:val="001F3DB0"/>
    <w:rsid w:val="001F3DFE"/>
    <w:rsid w:val="001F3E6F"/>
    <w:rsid w:val="001F3EE3"/>
    <w:rsid w:val="001F3EFE"/>
    <w:rsid w:val="001F3F38"/>
    <w:rsid w:val="001F3F43"/>
    <w:rsid w:val="001F4009"/>
    <w:rsid w:val="001F4018"/>
    <w:rsid w:val="001F4023"/>
    <w:rsid w:val="001F4045"/>
    <w:rsid w:val="001F405A"/>
    <w:rsid w:val="001F40BF"/>
    <w:rsid w:val="001F40C6"/>
    <w:rsid w:val="001F414B"/>
    <w:rsid w:val="001F41B9"/>
    <w:rsid w:val="001F41D7"/>
    <w:rsid w:val="001F4279"/>
    <w:rsid w:val="001F4283"/>
    <w:rsid w:val="001F42E7"/>
    <w:rsid w:val="001F4400"/>
    <w:rsid w:val="001F459B"/>
    <w:rsid w:val="001F45D2"/>
    <w:rsid w:val="001F45EA"/>
    <w:rsid w:val="001F4618"/>
    <w:rsid w:val="001F4691"/>
    <w:rsid w:val="001F4726"/>
    <w:rsid w:val="001F4779"/>
    <w:rsid w:val="001F478F"/>
    <w:rsid w:val="001F4790"/>
    <w:rsid w:val="001F479D"/>
    <w:rsid w:val="001F48F1"/>
    <w:rsid w:val="001F4933"/>
    <w:rsid w:val="001F49F8"/>
    <w:rsid w:val="001F4A27"/>
    <w:rsid w:val="001F4A4F"/>
    <w:rsid w:val="001F4A50"/>
    <w:rsid w:val="001F4A58"/>
    <w:rsid w:val="001F4A87"/>
    <w:rsid w:val="001F4AD5"/>
    <w:rsid w:val="001F4B0D"/>
    <w:rsid w:val="001F4B21"/>
    <w:rsid w:val="001F4C31"/>
    <w:rsid w:val="001F4C36"/>
    <w:rsid w:val="001F4D00"/>
    <w:rsid w:val="001F4D42"/>
    <w:rsid w:val="001F4E7D"/>
    <w:rsid w:val="001F4EC2"/>
    <w:rsid w:val="001F4F67"/>
    <w:rsid w:val="001F4FEA"/>
    <w:rsid w:val="001F5019"/>
    <w:rsid w:val="001F501A"/>
    <w:rsid w:val="001F508C"/>
    <w:rsid w:val="001F5092"/>
    <w:rsid w:val="001F509F"/>
    <w:rsid w:val="001F50A1"/>
    <w:rsid w:val="001F515E"/>
    <w:rsid w:val="001F51CB"/>
    <w:rsid w:val="001F53C2"/>
    <w:rsid w:val="001F54D4"/>
    <w:rsid w:val="001F5511"/>
    <w:rsid w:val="001F553B"/>
    <w:rsid w:val="001F5646"/>
    <w:rsid w:val="001F5724"/>
    <w:rsid w:val="001F5771"/>
    <w:rsid w:val="001F57E7"/>
    <w:rsid w:val="001F592C"/>
    <w:rsid w:val="001F594C"/>
    <w:rsid w:val="001F595E"/>
    <w:rsid w:val="001F598B"/>
    <w:rsid w:val="001F59EF"/>
    <w:rsid w:val="001F59FD"/>
    <w:rsid w:val="001F5A0D"/>
    <w:rsid w:val="001F5A6A"/>
    <w:rsid w:val="001F5A6C"/>
    <w:rsid w:val="001F5ACA"/>
    <w:rsid w:val="001F5B11"/>
    <w:rsid w:val="001F5B50"/>
    <w:rsid w:val="001F5C01"/>
    <w:rsid w:val="001F5C3A"/>
    <w:rsid w:val="001F5CB6"/>
    <w:rsid w:val="001F5CBA"/>
    <w:rsid w:val="001F5CE1"/>
    <w:rsid w:val="001F5D3C"/>
    <w:rsid w:val="001F5D7E"/>
    <w:rsid w:val="001F5DAF"/>
    <w:rsid w:val="001F5E17"/>
    <w:rsid w:val="001F5E89"/>
    <w:rsid w:val="001F5E8E"/>
    <w:rsid w:val="001F5EB5"/>
    <w:rsid w:val="001F5EBA"/>
    <w:rsid w:val="001F5F65"/>
    <w:rsid w:val="001F5FA1"/>
    <w:rsid w:val="001F6011"/>
    <w:rsid w:val="001F6036"/>
    <w:rsid w:val="001F606B"/>
    <w:rsid w:val="001F60A1"/>
    <w:rsid w:val="001F6109"/>
    <w:rsid w:val="001F6300"/>
    <w:rsid w:val="001F637E"/>
    <w:rsid w:val="001F63B0"/>
    <w:rsid w:val="001F63BE"/>
    <w:rsid w:val="001F63D6"/>
    <w:rsid w:val="001F64A9"/>
    <w:rsid w:val="001F66B2"/>
    <w:rsid w:val="001F66C4"/>
    <w:rsid w:val="001F66D0"/>
    <w:rsid w:val="001F6715"/>
    <w:rsid w:val="001F676A"/>
    <w:rsid w:val="001F6817"/>
    <w:rsid w:val="001F6845"/>
    <w:rsid w:val="001F688A"/>
    <w:rsid w:val="001F68A4"/>
    <w:rsid w:val="001F68AC"/>
    <w:rsid w:val="001F6926"/>
    <w:rsid w:val="001F6A31"/>
    <w:rsid w:val="001F6A85"/>
    <w:rsid w:val="001F6B56"/>
    <w:rsid w:val="001F6B5C"/>
    <w:rsid w:val="001F6B6D"/>
    <w:rsid w:val="001F6B81"/>
    <w:rsid w:val="001F6B89"/>
    <w:rsid w:val="001F6BCB"/>
    <w:rsid w:val="001F6C0A"/>
    <w:rsid w:val="001F6C4F"/>
    <w:rsid w:val="001F6D69"/>
    <w:rsid w:val="001F6E3E"/>
    <w:rsid w:val="001F6EDC"/>
    <w:rsid w:val="001F6F8E"/>
    <w:rsid w:val="001F7017"/>
    <w:rsid w:val="001F7073"/>
    <w:rsid w:val="001F70B9"/>
    <w:rsid w:val="001F70FD"/>
    <w:rsid w:val="001F713B"/>
    <w:rsid w:val="001F71C2"/>
    <w:rsid w:val="001F7206"/>
    <w:rsid w:val="001F7281"/>
    <w:rsid w:val="001F728A"/>
    <w:rsid w:val="001F729B"/>
    <w:rsid w:val="001F72C3"/>
    <w:rsid w:val="001F73BB"/>
    <w:rsid w:val="001F73F4"/>
    <w:rsid w:val="001F74C5"/>
    <w:rsid w:val="001F7506"/>
    <w:rsid w:val="001F7622"/>
    <w:rsid w:val="001F76A3"/>
    <w:rsid w:val="001F76CE"/>
    <w:rsid w:val="001F76EC"/>
    <w:rsid w:val="001F771D"/>
    <w:rsid w:val="001F7752"/>
    <w:rsid w:val="001F7762"/>
    <w:rsid w:val="001F78C1"/>
    <w:rsid w:val="001F78C2"/>
    <w:rsid w:val="001F78EC"/>
    <w:rsid w:val="001F7930"/>
    <w:rsid w:val="001F797D"/>
    <w:rsid w:val="001F7A2D"/>
    <w:rsid w:val="001F7A32"/>
    <w:rsid w:val="001F7B42"/>
    <w:rsid w:val="001F7B77"/>
    <w:rsid w:val="001F7C6E"/>
    <w:rsid w:val="001F7C95"/>
    <w:rsid w:val="001F7CE0"/>
    <w:rsid w:val="001F7D12"/>
    <w:rsid w:val="001F7EE6"/>
    <w:rsid w:val="001F7FAB"/>
    <w:rsid w:val="001F7FAE"/>
    <w:rsid w:val="001F7FE9"/>
    <w:rsid w:val="0020002C"/>
    <w:rsid w:val="0020005A"/>
    <w:rsid w:val="002000C8"/>
    <w:rsid w:val="002000F8"/>
    <w:rsid w:val="002001A1"/>
    <w:rsid w:val="002001AF"/>
    <w:rsid w:val="002002E4"/>
    <w:rsid w:val="0020045F"/>
    <w:rsid w:val="0020047B"/>
    <w:rsid w:val="0020047F"/>
    <w:rsid w:val="00200481"/>
    <w:rsid w:val="002004AF"/>
    <w:rsid w:val="00200520"/>
    <w:rsid w:val="00200534"/>
    <w:rsid w:val="00200594"/>
    <w:rsid w:val="0020063A"/>
    <w:rsid w:val="00200684"/>
    <w:rsid w:val="00200691"/>
    <w:rsid w:val="002006B6"/>
    <w:rsid w:val="0020072F"/>
    <w:rsid w:val="002007A0"/>
    <w:rsid w:val="002007A1"/>
    <w:rsid w:val="002007B0"/>
    <w:rsid w:val="002007E2"/>
    <w:rsid w:val="0020086D"/>
    <w:rsid w:val="002008C1"/>
    <w:rsid w:val="002008D4"/>
    <w:rsid w:val="00200AC4"/>
    <w:rsid w:val="00200B14"/>
    <w:rsid w:val="00200B6E"/>
    <w:rsid w:val="00200BA7"/>
    <w:rsid w:val="00200BBF"/>
    <w:rsid w:val="00200BD9"/>
    <w:rsid w:val="00200C9B"/>
    <w:rsid w:val="00200CC9"/>
    <w:rsid w:val="00200DAC"/>
    <w:rsid w:val="00200E88"/>
    <w:rsid w:val="00200E8A"/>
    <w:rsid w:val="00200EDE"/>
    <w:rsid w:val="00201061"/>
    <w:rsid w:val="0020110A"/>
    <w:rsid w:val="0020110D"/>
    <w:rsid w:val="002011C1"/>
    <w:rsid w:val="0020122C"/>
    <w:rsid w:val="002012CB"/>
    <w:rsid w:val="00201323"/>
    <w:rsid w:val="0020137F"/>
    <w:rsid w:val="00201429"/>
    <w:rsid w:val="002014DE"/>
    <w:rsid w:val="002015F0"/>
    <w:rsid w:val="00201636"/>
    <w:rsid w:val="002016C8"/>
    <w:rsid w:val="002017E0"/>
    <w:rsid w:val="00201847"/>
    <w:rsid w:val="0020185E"/>
    <w:rsid w:val="00201896"/>
    <w:rsid w:val="00201897"/>
    <w:rsid w:val="002018D1"/>
    <w:rsid w:val="00201961"/>
    <w:rsid w:val="00201975"/>
    <w:rsid w:val="00201B4F"/>
    <w:rsid w:val="00201CD3"/>
    <w:rsid w:val="00201E58"/>
    <w:rsid w:val="00201EEB"/>
    <w:rsid w:val="00201FFF"/>
    <w:rsid w:val="0020200B"/>
    <w:rsid w:val="00202021"/>
    <w:rsid w:val="00202064"/>
    <w:rsid w:val="00202164"/>
    <w:rsid w:val="002021C5"/>
    <w:rsid w:val="002022AB"/>
    <w:rsid w:val="002022FE"/>
    <w:rsid w:val="00202316"/>
    <w:rsid w:val="0020236C"/>
    <w:rsid w:val="002023CD"/>
    <w:rsid w:val="0020240D"/>
    <w:rsid w:val="00202450"/>
    <w:rsid w:val="0020245B"/>
    <w:rsid w:val="00202465"/>
    <w:rsid w:val="00202485"/>
    <w:rsid w:val="002024B1"/>
    <w:rsid w:val="002026B6"/>
    <w:rsid w:val="0020270D"/>
    <w:rsid w:val="0020274D"/>
    <w:rsid w:val="00202757"/>
    <w:rsid w:val="0020275A"/>
    <w:rsid w:val="002028AB"/>
    <w:rsid w:val="00202911"/>
    <w:rsid w:val="00202955"/>
    <w:rsid w:val="00202964"/>
    <w:rsid w:val="00202967"/>
    <w:rsid w:val="00202976"/>
    <w:rsid w:val="002029C1"/>
    <w:rsid w:val="002029C5"/>
    <w:rsid w:val="00202A28"/>
    <w:rsid w:val="00202A4F"/>
    <w:rsid w:val="00202AAE"/>
    <w:rsid w:val="00202B63"/>
    <w:rsid w:val="00202BC5"/>
    <w:rsid w:val="00202C69"/>
    <w:rsid w:val="00202D2D"/>
    <w:rsid w:val="00202D2F"/>
    <w:rsid w:val="00202D93"/>
    <w:rsid w:val="00202EA2"/>
    <w:rsid w:val="00202F20"/>
    <w:rsid w:val="00202FA1"/>
    <w:rsid w:val="00202FB5"/>
    <w:rsid w:val="00203001"/>
    <w:rsid w:val="00203033"/>
    <w:rsid w:val="00203036"/>
    <w:rsid w:val="00203136"/>
    <w:rsid w:val="00203266"/>
    <w:rsid w:val="002032AA"/>
    <w:rsid w:val="002033DA"/>
    <w:rsid w:val="002034A2"/>
    <w:rsid w:val="002035E0"/>
    <w:rsid w:val="00203654"/>
    <w:rsid w:val="002036C7"/>
    <w:rsid w:val="00203740"/>
    <w:rsid w:val="00203778"/>
    <w:rsid w:val="00203799"/>
    <w:rsid w:val="002037D7"/>
    <w:rsid w:val="0020388B"/>
    <w:rsid w:val="00203948"/>
    <w:rsid w:val="0020395E"/>
    <w:rsid w:val="00203961"/>
    <w:rsid w:val="002039B3"/>
    <w:rsid w:val="00203B13"/>
    <w:rsid w:val="00203B73"/>
    <w:rsid w:val="00203BC1"/>
    <w:rsid w:val="00203C97"/>
    <w:rsid w:val="00203D1C"/>
    <w:rsid w:val="00203DA1"/>
    <w:rsid w:val="00203DE6"/>
    <w:rsid w:val="00203E36"/>
    <w:rsid w:val="00203F18"/>
    <w:rsid w:val="00203F6D"/>
    <w:rsid w:val="00203F90"/>
    <w:rsid w:val="00203FA1"/>
    <w:rsid w:val="0020405E"/>
    <w:rsid w:val="00204062"/>
    <w:rsid w:val="0020408E"/>
    <w:rsid w:val="00204147"/>
    <w:rsid w:val="00204195"/>
    <w:rsid w:val="0020419B"/>
    <w:rsid w:val="0020424A"/>
    <w:rsid w:val="002042A6"/>
    <w:rsid w:val="002042C8"/>
    <w:rsid w:val="00204322"/>
    <w:rsid w:val="002043BC"/>
    <w:rsid w:val="002043C4"/>
    <w:rsid w:val="002043C5"/>
    <w:rsid w:val="0020445E"/>
    <w:rsid w:val="002044BE"/>
    <w:rsid w:val="0020453F"/>
    <w:rsid w:val="00204598"/>
    <w:rsid w:val="002045B5"/>
    <w:rsid w:val="00204696"/>
    <w:rsid w:val="002046B5"/>
    <w:rsid w:val="00204776"/>
    <w:rsid w:val="002047D9"/>
    <w:rsid w:val="002048A7"/>
    <w:rsid w:val="0020494D"/>
    <w:rsid w:val="0020495C"/>
    <w:rsid w:val="002049F0"/>
    <w:rsid w:val="00204A22"/>
    <w:rsid w:val="00204A38"/>
    <w:rsid w:val="00204A71"/>
    <w:rsid w:val="00204A76"/>
    <w:rsid w:val="00204B69"/>
    <w:rsid w:val="00204BCD"/>
    <w:rsid w:val="00204BE8"/>
    <w:rsid w:val="00204C0F"/>
    <w:rsid w:val="00204CED"/>
    <w:rsid w:val="00204D40"/>
    <w:rsid w:val="00204D82"/>
    <w:rsid w:val="00204E0E"/>
    <w:rsid w:val="002050A3"/>
    <w:rsid w:val="00205160"/>
    <w:rsid w:val="00205293"/>
    <w:rsid w:val="002052ED"/>
    <w:rsid w:val="002054D0"/>
    <w:rsid w:val="0020550E"/>
    <w:rsid w:val="00205552"/>
    <w:rsid w:val="0020567D"/>
    <w:rsid w:val="002058EA"/>
    <w:rsid w:val="00205920"/>
    <w:rsid w:val="0020595E"/>
    <w:rsid w:val="00205985"/>
    <w:rsid w:val="00205A0F"/>
    <w:rsid w:val="00205A4C"/>
    <w:rsid w:val="00205AB8"/>
    <w:rsid w:val="00205AC2"/>
    <w:rsid w:val="00205AF3"/>
    <w:rsid w:val="00205B06"/>
    <w:rsid w:val="00205B17"/>
    <w:rsid w:val="00205B42"/>
    <w:rsid w:val="00205B73"/>
    <w:rsid w:val="00205BA7"/>
    <w:rsid w:val="00205BD1"/>
    <w:rsid w:val="00205C03"/>
    <w:rsid w:val="00205C62"/>
    <w:rsid w:val="00205D38"/>
    <w:rsid w:val="00205D3E"/>
    <w:rsid w:val="00205D5B"/>
    <w:rsid w:val="00205DDE"/>
    <w:rsid w:val="00205E0F"/>
    <w:rsid w:val="00205EB1"/>
    <w:rsid w:val="00205ED8"/>
    <w:rsid w:val="0020601E"/>
    <w:rsid w:val="0020604C"/>
    <w:rsid w:val="0020608C"/>
    <w:rsid w:val="002060D2"/>
    <w:rsid w:val="0020611B"/>
    <w:rsid w:val="00206180"/>
    <w:rsid w:val="002061B2"/>
    <w:rsid w:val="00206298"/>
    <w:rsid w:val="002062AA"/>
    <w:rsid w:val="002063D0"/>
    <w:rsid w:val="002065B3"/>
    <w:rsid w:val="002065BD"/>
    <w:rsid w:val="002065D5"/>
    <w:rsid w:val="00206616"/>
    <w:rsid w:val="0020663C"/>
    <w:rsid w:val="00206698"/>
    <w:rsid w:val="002066BB"/>
    <w:rsid w:val="002066F4"/>
    <w:rsid w:val="00206742"/>
    <w:rsid w:val="0020675E"/>
    <w:rsid w:val="00206809"/>
    <w:rsid w:val="00206935"/>
    <w:rsid w:val="0020695A"/>
    <w:rsid w:val="002069AC"/>
    <w:rsid w:val="00206A90"/>
    <w:rsid w:val="00206AFE"/>
    <w:rsid w:val="00206B01"/>
    <w:rsid w:val="00206B41"/>
    <w:rsid w:val="00206D62"/>
    <w:rsid w:val="00206DF1"/>
    <w:rsid w:val="00206E11"/>
    <w:rsid w:val="00206E80"/>
    <w:rsid w:val="00206EA2"/>
    <w:rsid w:val="00206ECB"/>
    <w:rsid w:val="00206F1F"/>
    <w:rsid w:val="00206FEC"/>
    <w:rsid w:val="0020702A"/>
    <w:rsid w:val="00207069"/>
    <w:rsid w:val="002070B1"/>
    <w:rsid w:val="002070CF"/>
    <w:rsid w:val="00207183"/>
    <w:rsid w:val="00207241"/>
    <w:rsid w:val="002072B9"/>
    <w:rsid w:val="00207304"/>
    <w:rsid w:val="002073CC"/>
    <w:rsid w:val="0020748B"/>
    <w:rsid w:val="002075B8"/>
    <w:rsid w:val="0020772A"/>
    <w:rsid w:val="0020774F"/>
    <w:rsid w:val="0020776C"/>
    <w:rsid w:val="002077AB"/>
    <w:rsid w:val="002077D2"/>
    <w:rsid w:val="002078A3"/>
    <w:rsid w:val="002078AB"/>
    <w:rsid w:val="002078CA"/>
    <w:rsid w:val="00207AA2"/>
    <w:rsid w:val="00207AED"/>
    <w:rsid w:val="00207AF6"/>
    <w:rsid w:val="00207B12"/>
    <w:rsid w:val="00207B7B"/>
    <w:rsid w:val="00207B90"/>
    <w:rsid w:val="00207BF6"/>
    <w:rsid w:val="00207C83"/>
    <w:rsid w:val="00207D86"/>
    <w:rsid w:val="00207D8F"/>
    <w:rsid w:val="00207E03"/>
    <w:rsid w:val="00207ED4"/>
    <w:rsid w:val="00207F07"/>
    <w:rsid w:val="00207F3D"/>
    <w:rsid w:val="00207F92"/>
    <w:rsid w:val="00210074"/>
    <w:rsid w:val="0021019E"/>
    <w:rsid w:val="00210229"/>
    <w:rsid w:val="0021029E"/>
    <w:rsid w:val="002102C8"/>
    <w:rsid w:val="0021037E"/>
    <w:rsid w:val="00210436"/>
    <w:rsid w:val="00210439"/>
    <w:rsid w:val="002104B9"/>
    <w:rsid w:val="002104C6"/>
    <w:rsid w:val="00210603"/>
    <w:rsid w:val="00210612"/>
    <w:rsid w:val="002106F1"/>
    <w:rsid w:val="00210755"/>
    <w:rsid w:val="0021079C"/>
    <w:rsid w:val="00210837"/>
    <w:rsid w:val="00210940"/>
    <w:rsid w:val="002109D7"/>
    <w:rsid w:val="00210A1A"/>
    <w:rsid w:val="00210A60"/>
    <w:rsid w:val="00210A89"/>
    <w:rsid w:val="00210A99"/>
    <w:rsid w:val="00210B6A"/>
    <w:rsid w:val="00210C57"/>
    <w:rsid w:val="00210CD4"/>
    <w:rsid w:val="00210DA2"/>
    <w:rsid w:val="00210DBB"/>
    <w:rsid w:val="00210E16"/>
    <w:rsid w:val="00210E19"/>
    <w:rsid w:val="00210E44"/>
    <w:rsid w:val="00210E94"/>
    <w:rsid w:val="00210EB3"/>
    <w:rsid w:val="00210EC7"/>
    <w:rsid w:val="00210F6D"/>
    <w:rsid w:val="0021103C"/>
    <w:rsid w:val="00211047"/>
    <w:rsid w:val="002110C0"/>
    <w:rsid w:val="002110D3"/>
    <w:rsid w:val="002110FD"/>
    <w:rsid w:val="00211164"/>
    <w:rsid w:val="002111D3"/>
    <w:rsid w:val="002111EA"/>
    <w:rsid w:val="002112A7"/>
    <w:rsid w:val="00211448"/>
    <w:rsid w:val="00211449"/>
    <w:rsid w:val="0021148A"/>
    <w:rsid w:val="002114A6"/>
    <w:rsid w:val="002114E0"/>
    <w:rsid w:val="00211568"/>
    <w:rsid w:val="00211604"/>
    <w:rsid w:val="0021163C"/>
    <w:rsid w:val="0021164D"/>
    <w:rsid w:val="002116EC"/>
    <w:rsid w:val="002116FB"/>
    <w:rsid w:val="00211738"/>
    <w:rsid w:val="00211753"/>
    <w:rsid w:val="00211886"/>
    <w:rsid w:val="002118C8"/>
    <w:rsid w:val="002118CD"/>
    <w:rsid w:val="002118D3"/>
    <w:rsid w:val="00211A14"/>
    <w:rsid w:val="00211AEA"/>
    <w:rsid w:val="00211B04"/>
    <w:rsid w:val="00211B66"/>
    <w:rsid w:val="00211B6E"/>
    <w:rsid w:val="00211B9F"/>
    <w:rsid w:val="00211BC2"/>
    <w:rsid w:val="00211C01"/>
    <w:rsid w:val="00211C71"/>
    <w:rsid w:val="00211D18"/>
    <w:rsid w:val="00211E32"/>
    <w:rsid w:val="00211E85"/>
    <w:rsid w:val="00211F3B"/>
    <w:rsid w:val="00212060"/>
    <w:rsid w:val="0021209C"/>
    <w:rsid w:val="002120D1"/>
    <w:rsid w:val="002120DF"/>
    <w:rsid w:val="002120EF"/>
    <w:rsid w:val="0021215D"/>
    <w:rsid w:val="00212164"/>
    <w:rsid w:val="0021217C"/>
    <w:rsid w:val="002121AA"/>
    <w:rsid w:val="002121C5"/>
    <w:rsid w:val="002121E7"/>
    <w:rsid w:val="002121EE"/>
    <w:rsid w:val="0021229A"/>
    <w:rsid w:val="00212311"/>
    <w:rsid w:val="00212327"/>
    <w:rsid w:val="002123C0"/>
    <w:rsid w:val="00212410"/>
    <w:rsid w:val="00212412"/>
    <w:rsid w:val="00212423"/>
    <w:rsid w:val="002125AC"/>
    <w:rsid w:val="002125B4"/>
    <w:rsid w:val="00212649"/>
    <w:rsid w:val="00212666"/>
    <w:rsid w:val="002126C5"/>
    <w:rsid w:val="00212719"/>
    <w:rsid w:val="00212781"/>
    <w:rsid w:val="002127C3"/>
    <w:rsid w:val="0021299E"/>
    <w:rsid w:val="002129B6"/>
    <w:rsid w:val="00212ACC"/>
    <w:rsid w:val="00212AF9"/>
    <w:rsid w:val="00212C2C"/>
    <w:rsid w:val="00212C48"/>
    <w:rsid w:val="00212CE5"/>
    <w:rsid w:val="00212D21"/>
    <w:rsid w:val="00212D36"/>
    <w:rsid w:val="00212E54"/>
    <w:rsid w:val="00212F67"/>
    <w:rsid w:val="00212F81"/>
    <w:rsid w:val="00213057"/>
    <w:rsid w:val="00213071"/>
    <w:rsid w:val="0021313F"/>
    <w:rsid w:val="00213218"/>
    <w:rsid w:val="00213240"/>
    <w:rsid w:val="00213287"/>
    <w:rsid w:val="00213386"/>
    <w:rsid w:val="002133CC"/>
    <w:rsid w:val="00213401"/>
    <w:rsid w:val="00213462"/>
    <w:rsid w:val="00213469"/>
    <w:rsid w:val="0021349D"/>
    <w:rsid w:val="002134FE"/>
    <w:rsid w:val="0021354D"/>
    <w:rsid w:val="002135AB"/>
    <w:rsid w:val="002135F6"/>
    <w:rsid w:val="002135F9"/>
    <w:rsid w:val="00213600"/>
    <w:rsid w:val="00213640"/>
    <w:rsid w:val="0021369D"/>
    <w:rsid w:val="00213716"/>
    <w:rsid w:val="00213A9F"/>
    <w:rsid w:val="00213B67"/>
    <w:rsid w:val="00213B7C"/>
    <w:rsid w:val="00213BDC"/>
    <w:rsid w:val="00213C5F"/>
    <w:rsid w:val="00213C8F"/>
    <w:rsid w:val="00213D51"/>
    <w:rsid w:val="00213E12"/>
    <w:rsid w:val="00213E4A"/>
    <w:rsid w:val="00213EA0"/>
    <w:rsid w:val="00213ED6"/>
    <w:rsid w:val="00213F43"/>
    <w:rsid w:val="00213F76"/>
    <w:rsid w:val="00214134"/>
    <w:rsid w:val="00214194"/>
    <w:rsid w:val="002141A2"/>
    <w:rsid w:val="002141CA"/>
    <w:rsid w:val="002141E7"/>
    <w:rsid w:val="00214220"/>
    <w:rsid w:val="00214281"/>
    <w:rsid w:val="00214326"/>
    <w:rsid w:val="0021434A"/>
    <w:rsid w:val="002143C7"/>
    <w:rsid w:val="002143D5"/>
    <w:rsid w:val="00214476"/>
    <w:rsid w:val="002144BD"/>
    <w:rsid w:val="002145C0"/>
    <w:rsid w:val="0021462D"/>
    <w:rsid w:val="002147C1"/>
    <w:rsid w:val="002147C2"/>
    <w:rsid w:val="00214875"/>
    <w:rsid w:val="0021488A"/>
    <w:rsid w:val="002148AC"/>
    <w:rsid w:val="002148E0"/>
    <w:rsid w:val="00214958"/>
    <w:rsid w:val="002149D2"/>
    <w:rsid w:val="002149E8"/>
    <w:rsid w:val="00214A0A"/>
    <w:rsid w:val="00214A1F"/>
    <w:rsid w:val="00214BDA"/>
    <w:rsid w:val="00214C07"/>
    <w:rsid w:val="00214D45"/>
    <w:rsid w:val="00214D58"/>
    <w:rsid w:val="00214E9B"/>
    <w:rsid w:val="00214F13"/>
    <w:rsid w:val="00214F39"/>
    <w:rsid w:val="00214FA5"/>
    <w:rsid w:val="00214FBB"/>
    <w:rsid w:val="00214FDB"/>
    <w:rsid w:val="00215028"/>
    <w:rsid w:val="0021505B"/>
    <w:rsid w:val="00215070"/>
    <w:rsid w:val="002150C9"/>
    <w:rsid w:val="002151DB"/>
    <w:rsid w:val="0021525E"/>
    <w:rsid w:val="00215382"/>
    <w:rsid w:val="002153B2"/>
    <w:rsid w:val="002153F5"/>
    <w:rsid w:val="002154A1"/>
    <w:rsid w:val="0021553A"/>
    <w:rsid w:val="0021554A"/>
    <w:rsid w:val="002155D4"/>
    <w:rsid w:val="002155DF"/>
    <w:rsid w:val="00215603"/>
    <w:rsid w:val="00215665"/>
    <w:rsid w:val="0021575C"/>
    <w:rsid w:val="0021576F"/>
    <w:rsid w:val="00215792"/>
    <w:rsid w:val="002157BD"/>
    <w:rsid w:val="00215813"/>
    <w:rsid w:val="00215861"/>
    <w:rsid w:val="002158EA"/>
    <w:rsid w:val="002158FE"/>
    <w:rsid w:val="002159F5"/>
    <w:rsid w:val="00215A70"/>
    <w:rsid w:val="00215A81"/>
    <w:rsid w:val="00215AE9"/>
    <w:rsid w:val="00215B5E"/>
    <w:rsid w:val="00215B91"/>
    <w:rsid w:val="00215CF9"/>
    <w:rsid w:val="00215E41"/>
    <w:rsid w:val="00215EBC"/>
    <w:rsid w:val="00215EFC"/>
    <w:rsid w:val="00215F00"/>
    <w:rsid w:val="00215F3D"/>
    <w:rsid w:val="00215FA7"/>
    <w:rsid w:val="00215FD9"/>
    <w:rsid w:val="00216016"/>
    <w:rsid w:val="0021620A"/>
    <w:rsid w:val="0021635F"/>
    <w:rsid w:val="00216413"/>
    <w:rsid w:val="002164EE"/>
    <w:rsid w:val="0021667D"/>
    <w:rsid w:val="002166F1"/>
    <w:rsid w:val="002167DB"/>
    <w:rsid w:val="002167F2"/>
    <w:rsid w:val="0021694C"/>
    <w:rsid w:val="00216980"/>
    <w:rsid w:val="002169CA"/>
    <w:rsid w:val="00216A1F"/>
    <w:rsid w:val="00216A85"/>
    <w:rsid w:val="00216ADB"/>
    <w:rsid w:val="00216B05"/>
    <w:rsid w:val="00216B6E"/>
    <w:rsid w:val="00216BA6"/>
    <w:rsid w:val="00216C44"/>
    <w:rsid w:val="00216D5B"/>
    <w:rsid w:val="00216DCE"/>
    <w:rsid w:val="00216F2D"/>
    <w:rsid w:val="00216F31"/>
    <w:rsid w:val="00216FA6"/>
    <w:rsid w:val="002170AB"/>
    <w:rsid w:val="002170F3"/>
    <w:rsid w:val="0021711B"/>
    <w:rsid w:val="002171CC"/>
    <w:rsid w:val="002171FF"/>
    <w:rsid w:val="00217216"/>
    <w:rsid w:val="002173AB"/>
    <w:rsid w:val="002173B0"/>
    <w:rsid w:val="002173DE"/>
    <w:rsid w:val="00217479"/>
    <w:rsid w:val="002174B9"/>
    <w:rsid w:val="0021755A"/>
    <w:rsid w:val="002175A3"/>
    <w:rsid w:val="002175CB"/>
    <w:rsid w:val="0021774D"/>
    <w:rsid w:val="002178D7"/>
    <w:rsid w:val="00217906"/>
    <w:rsid w:val="00217928"/>
    <w:rsid w:val="00217967"/>
    <w:rsid w:val="00217985"/>
    <w:rsid w:val="002179A1"/>
    <w:rsid w:val="002179F6"/>
    <w:rsid w:val="002179F8"/>
    <w:rsid w:val="00217A74"/>
    <w:rsid w:val="00217AF8"/>
    <w:rsid w:val="00217B63"/>
    <w:rsid w:val="00217BC0"/>
    <w:rsid w:val="00217BE6"/>
    <w:rsid w:val="00217C92"/>
    <w:rsid w:val="00217D5B"/>
    <w:rsid w:val="00217D8D"/>
    <w:rsid w:val="00217DB0"/>
    <w:rsid w:val="00217E1D"/>
    <w:rsid w:val="00217E6E"/>
    <w:rsid w:val="00217E8D"/>
    <w:rsid w:val="00217E97"/>
    <w:rsid w:val="00217EE8"/>
    <w:rsid w:val="00217F3B"/>
    <w:rsid w:val="00217F66"/>
    <w:rsid w:val="00217F74"/>
    <w:rsid w:val="00217F8D"/>
    <w:rsid w:val="0022005E"/>
    <w:rsid w:val="00220080"/>
    <w:rsid w:val="00220088"/>
    <w:rsid w:val="002200E7"/>
    <w:rsid w:val="002201E9"/>
    <w:rsid w:val="00220209"/>
    <w:rsid w:val="00220220"/>
    <w:rsid w:val="00220265"/>
    <w:rsid w:val="00220291"/>
    <w:rsid w:val="002202B2"/>
    <w:rsid w:val="002202FC"/>
    <w:rsid w:val="0022035D"/>
    <w:rsid w:val="0022037F"/>
    <w:rsid w:val="00220391"/>
    <w:rsid w:val="002203C1"/>
    <w:rsid w:val="00220468"/>
    <w:rsid w:val="002205D6"/>
    <w:rsid w:val="00220738"/>
    <w:rsid w:val="002207F1"/>
    <w:rsid w:val="0022093B"/>
    <w:rsid w:val="00220A3B"/>
    <w:rsid w:val="00220AAC"/>
    <w:rsid w:val="00220AAF"/>
    <w:rsid w:val="00220AFF"/>
    <w:rsid w:val="00220BE0"/>
    <w:rsid w:val="00220C4F"/>
    <w:rsid w:val="00220C5E"/>
    <w:rsid w:val="00220C73"/>
    <w:rsid w:val="00220C76"/>
    <w:rsid w:val="00220D51"/>
    <w:rsid w:val="00220D86"/>
    <w:rsid w:val="00220DF4"/>
    <w:rsid w:val="00220E1E"/>
    <w:rsid w:val="00220F3C"/>
    <w:rsid w:val="0022104B"/>
    <w:rsid w:val="00221248"/>
    <w:rsid w:val="00221295"/>
    <w:rsid w:val="002212CA"/>
    <w:rsid w:val="002212EC"/>
    <w:rsid w:val="002212F1"/>
    <w:rsid w:val="002212F8"/>
    <w:rsid w:val="00221426"/>
    <w:rsid w:val="0022142E"/>
    <w:rsid w:val="0022144A"/>
    <w:rsid w:val="00221470"/>
    <w:rsid w:val="002214B0"/>
    <w:rsid w:val="0022158A"/>
    <w:rsid w:val="002215EF"/>
    <w:rsid w:val="002215FD"/>
    <w:rsid w:val="00221689"/>
    <w:rsid w:val="00221773"/>
    <w:rsid w:val="00221794"/>
    <w:rsid w:val="0022191D"/>
    <w:rsid w:val="00221996"/>
    <w:rsid w:val="002219A8"/>
    <w:rsid w:val="00221A21"/>
    <w:rsid w:val="00221B2D"/>
    <w:rsid w:val="00221BB1"/>
    <w:rsid w:val="00221BC1"/>
    <w:rsid w:val="00221BCF"/>
    <w:rsid w:val="00221CC4"/>
    <w:rsid w:val="00221D14"/>
    <w:rsid w:val="00221D19"/>
    <w:rsid w:val="00221D94"/>
    <w:rsid w:val="00221E22"/>
    <w:rsid w:val="00221E38"/>
    <w:rsid w:val="00221E5F"/>
    <w:rsid w:val="00221EF4"/>
    <w:rsid w:val="00221F54"/>
    <w:rsid w:val="00221F71"/>
    <w:rsid w:val="002220AD"/>
    <w:rsid w:val="00222119"/>
    <w:rsid w:val="0022214D"/>
    <w:rsid w:val="00222265"/>
    <w:rsid w:val="00222291"/>
    <w:rsid w:val="00222296"/>
    <w:rsid w:val="00222405"/>
    <w:rsid w:val="002224A9"/>
    <w:rsid w:val="00222606"/>
    <w:rsid w:val="00222620"/>
    <w:rsid w:val="0022265C"/>
    <w:rsid w:val="0022268C"/>
    <w:rsid w:val="002226D7"/>
    <w:rsid w:val="0022292B"/>
    <w:rsid w:val="002229FA"/>
    <w:rsid w:val="00222A31"/>
    <w:rsid w:val="00222A4F"/>
    <w:rsid w:val="00222A50"/>
    <w:rsid w:val="00222AC8"/>
    <w:rsid w:val="00222B3C"/>
    <w:rsid w:val="00222BA3"/>
    <w:rsid w:val="00222BC2"/>
    <w:rsid w:val="00222BE9"/>
    <w:rsid w:val="00222C2B"/>
    <w:rsid w:val="00222C36"/>
    <w:rsid w:val="00222D21"/>
    <w:rsid w:val="00222DBB"/>
    <w:rsid w:val="00222E14"/>
    <w:rsid w:val="00222E32"/>
    <w:rsid w:val="00222E54"/>
    <w:rsid w:val="00222F0A"/>
    <w:rsid w:val="00222F19"/>
    <w:rsid w:val="0022303F"/>
    <w:rsid w:val="0022306D"/>
    <w:rsid w:val="00223099"/>
    <w:rsid w:val="002231A1"/>
    <w:rsid w:val="00223317"/>
    <w:rsid w:val="0022332B"/>
    <w:rsid w:val="0022336E"/>
    <w:rsid w:val="002233BE"/>
    <w:rsid w:val="002235EC"/>
    <w:rsid w:val="002235FA"/>
    <w:rsid w:val="0022362A"/>
    <w:rsid w:val="00223661"/>
    <w:rsid w:val="00223668"/>
    <w:rsid w:val="00223703"/>
    <w:rsid w:val="002237B7"/>
    <w:rsid w:val="00223811"/>
    <w:rsid w:val="00223812"/>
    <w:rsid w:val="0022388F"/>
    <w:rsid w:val="00223926"/>
    <w:rsid w:val="002239B9"/>
    <w:rsid w:val="002239D2"/>
    <w:rsid w:val="00223A28"/>
    <w:rsid w:val="00223AA1"/>
    <w:rsid w:val="00223AA4"/>
    <w:rsid w:val="00223AB1"/>
    <w:rsid w:val="00223AB8"/>
    <w:rsid w:val="00223AEA"/>
    <w:rsid w:val="00223C3D"/>
    <w:rsid w:val="00223CB7"/>
    <w:rsid w:val="00223D7A"/>
    <w:rsid w:val="00223EE7"/>
    <w:rsid w:val="00223FD4"/>
    <w:rsid w:val="00223FD7"/>
    <w:rsid w:val="00223FE7"/>
    <w:rsid w:val="00224002"/>
    <w:rsid w:val="002240B8"/>
    <w:rsid w:val="002240BA"/>
    <w:rsid w:val="0022413D"/>
    <w:rsid w:val="0022419F"/>
    <w:rsid w:val="002241B8"/>
    <w:rsid w:val="002241E2"/>
    <w:rsid w:val="00224211"/>
    <w:rsid w:val="00224399"/>
    <w:rsid w:val="00224419"/>
    <w:rsid w:val="00224552"/>
    <w:rsid w:val="00224615"/>
    <w:rsid w:val="0022461D"/>
    <w:rsid w:val="002246BF"/>
    <w:rsid w:val="00224700"/>
    <w:rsid w:val="00224720"/>
    <w:rsid w:val="002248A8"/>
    <w:rsid w:val="002248E8"/>
    <w:rsid w:val="0022492E"/>
    <w:rsid w:val="00224A12"/>
    <w:rsid w:val="00224B05"/>
    <w:rsid w:val="00224B5C"/>
    <w:rsid w:val="00224C6E"/>
    <w:rsid w:val="00224C89"/>
    <w:rsid w:val="00224D11"/>
    <w:rsid w:val="00224DEF"/>
    <w:rsid w:val="00224E49"/>
    <w:rsid w:val="00224E6E"/>
    <w:rsid w:val="00224E89"/>
    <w:rsid w:val="00224EA9"/>
    <w:rsid w:val="00224F11"/>
    <w:rsid w:val="00224F12"/>
    <w:rsid w:val="00224F1B"/>
    <w:rsid w:val="00224F35"/>
    <w:rsid w:val="00224F8F"/>
    <w:rsid w:val="0022500B"/>
    <w:rsid w:val="00225099"/>
    <w:rsid w:val="0022510B"/>
    <w:rsid w:val="00225195"/>
    <w:rsid w:val="002251A5"/>
    <w:rsid w:val="002251EE"/>
    <w:rsid w:val="00225266"/>
    <w:rsid w:val="0022528E"/>
    <w:rsid w:val="00225345"/>
    <w:rsid w:val="00225363"/>
    <w:rsid w:val="00225373"/>
    <w:rsid w:val="00225486"/>
    <w:rsid w:val="002254B3"/>
    <w:rsid w:val="002254D0"/>
    <w:rsid w:val="0022554D"/>
    <w:rsid w:val="00225563"/>
    <w:rsid w:val="0022559A"/>
    <w:rsid w:val="0022559B"/>
    <w:rsid w:val="002255EA"/>
    <w:rsid w:val="002257CC"/>
    <w:rsid w:val="00225805"/>
    <w:rsid w:val="00225812"/>
    <w:rsid w:val="002258A4"/>
    <w:rsid w:val="0022591B"/>
    <w:rsid w:val="002259E4"/>
    <w:rsid w:val="00225A0F"/>
    <w:rsid w:val="00225A9D"/>
    <w:rsid w:val="00225AA5"/>
    <w:rsid w:val="00225AFC"/>
    <w:rsid w:val="00225BA8"/>
    <w:rsid w:val="00225C01"/>
    <w:rsid w:val="00225C5A"/>
    <w:rsid w:val="00225CC1"/>
    <w:rsid w:val="00225CC7"/>
    <w:rsid w:val="00225CC8"/>
    <w:rsid w:val="00225CEE"/>
    <w:rsid w:val="00225D32"/>
    <w:rsid w:val="00225D62"/>
    <w:rsid w:val="00225DFE"/>
    <w:rsid w:val="00225E24"/>
    <w:rsid w:val="00225E5D"/>
    <w:rsid w:val="00225E8C"/>
    <w:rsid w:val="00225EE3"/>
    <w:rsid w:val="00225EEB"/>
    <w:rsid w:val="00225F00"/>
    <w:rsid w:val="00225F05"/>
    <w:rsid w:val="00225FCE"/>
    <w:rsid w:val="00226051"/>
    <w:rsid w:val="002260C1"/>
    <w:rsid w:val="002260DE"/>
    <w:rsid w:val="0022610E"/>
    <w:rsid w:val="00226159"/>
    <w:rsid w:val="0022617D"/>
    <w:rsid w:val="0022618E"/>
    <w:rsid w:val="00226255"/>
    <w:rsid w:val="00226285"/>
    <w:rsid w:val="00226318"/>
    <w:rsid w:val="002263AC"/>
    <w:rsid w:val="002263B8"/>
    <w:rsid w:val="002263BB"/>
    <w:rsid w:val="002263D7"/>
    <w:rsid w:val="00226425"/>
    <w:rsid w:val="00226493"/>
    <w:rsid w:val="0022650C"/>
    <w:rsid w:val="002266CE"/>
    <w:rsid w:val="002266EC"/>
    <w:rsid w:val="00226798"/>
    <w:rsid w:val="002268C9"/>
    <w:rsid w:val="002268DB"/>
    <w:rsid w:val="0022696C"/>
    <w:rsid w:val="00226A94"/>
    <w:rsid w:val="00226C19"/>
    <w:rsid w:val="00226CFF"/>
    <w:rsid w:val="00226D36"/>
    <w:rsid w:val="00226D7B"/>
    <w:rsid w:val="00226E46"/>
    <w:rsid w:val="00226E50"/>
    <w:rsid w:val="00226E9D"/>
    <w:rsid w:val="00226EAA"/>
    <w:rsid w:val="00226F4E"/>
    <w:rsid w:val="00226F5C"/>
    <w:rsid w:val="00226F75"/>
    <w:rsid w:val="00226FB8"/>
    <w:rsid w:val="00226FDA"/>
    <w:rsid w:val="0022701E"/>
    <w:rsid w:val="00227039"/>
    <w:rsid w:val="00227183"/>
    <w:rsid w:val="00227195"/>
    <w:rsid w:val="002271BA"/>
    <w:rsid w:val="0022723D"/>
    <w:rsid w:val="0022738F"/>
    <w:rsid w:val="0022739B"/>
    <w:rsid w:val="0022739F"/>
    <w:rsid w:val="002273CE"/>
    <w:rsid w:val="00227495"/>
    <w:rsid w:val="002274FA"/>
    <w:rsid w:val="00227545"/>
    <w:rsid w:val="002275AE"/>
    <w:rsid w:val="0022761B"/>
    <w:rsid w:val="002277BE"/>
    <w:rsid w:val="002277DB"/>
    <w:rsid w:val="002278A8"/>
    <w:rsid w:val="002278F3"/>
    <w:rsid w:val="0022790A"/>
    <w:rsid w:val="0022791B"/>
    <w:rsid w:val="0022798F"/>
    <w:rsid w:val="00227A8B"/>
    <w:rsid w:val="00227B18"/>
    <w:rsid w:val="00227B57"/>
    <w:rsid w:val="00227BB1"/>
    <w:rsid w:val="00227BBF"/>
    <w:rsid w:val="00227C07"/>
    <w:rsid w:val="00227CA4"/>
    <w:rsid w:val="00227D38"/>
    <w:rsid w:val="00227D61"/>
    <w:rsid w:val="00227D70"/>
    <w:rsid w:val="00227D84"/>
    <w:rsid w:val="00227E1B"/>
    <w:rsid w:val="00227E21"/>
    <w:rsid w:val="00227E3B"/>
    <w:rsid w:val="00227F4F"/>
    <w:rsid w:val="00227F6B"/>
    <w:rsid w:val="00227F7F"/>
    <w:rsid w:val="00227F82"/>
    <w:rsid w:val="00227FA1"/>
    <w:rsid w:val="00227FE5"/>
    <w:rsid w:val="0023004B"/>
    <w:rsid w:val="00230066"/>
    <w:rsid w:val="002300DE"/>
    <w:rsid w:val="0023012D"/>
    <w:rsid w:val="00230195"/>
    <w:rsid w:val="0023039D"/>
    <w:rsid w:val="00230405"/>
    <w:rsid w:val="0023043A"/>
    <w:rsid w:val="00230482"/>
    <w:rsid w:val="002304A7"/>
    <w:rsid w:val="002305C9"/>
    <w:rsid w:val="00230631"/>
    <w:rsid w:val="0023066D"/>
    <w:rsid w:val="002306E1"/>
    <w:rsid w:val="002307E6"/>
    <w:rsid w:val="0023081F"/>
    <w:rsid w:val="0023091C"/>
    <w:rsid w:val="00230926"/>
    <w:rsid w:val="002309A1"/>
    <w:rsid w:val="00230B06"/>
    <w:rsid w:val="00230B13"/>
    <w:rsid w:val="00230B2F"/>
    <w:rsid w:val="00230C62"/>
    <w:rsid w:val="00230D4F"/>
    <w:rsid w:val="00230E24"/>
    <w:rsid w:val="00230E99"/>
    <w:rsid w:val="00230ED0"/>
    <w:rsid w:val="00230ED2"/>
    <w:rsid w:val="00230F60"/>
    <w:rsid w:val="00230F66"/>
    <w:rsid w:val="00230F68"/>
    <w:rsid w:val="00230F93"/>
    <w:rsid w:val="00231016"/>
    <w:rsid w:val="00231070"/>
    <w:rsid w:val="0023119B"/>
    <w:rsid w:val="0023119E"/>
    <w:rsid w:val="002311B2"/>
    <w:rsid w:val="002311D7"/>
    <w:rsid w:val="002312AD"/>
    <w:rsid w:val="002312C7"/>
    <w:rsid w:val="002312E9"/>
    <w:rsid w:val="0023139F"/>
    <w:rsid w:val="002313AC"/>
    <w:rsid w:val="002313F0"/>
    <w:rsid w:val="002314CD"/>
    <w:rsid w:val="002314DD"/>
    <w:rsid w:val="002315B9"/>
    <w:rsid w:val="002315F0"/>
    <w:rsid w:val="00231627"/>
    <w:rsid w:val="0023164D"/>
    <w:rsid w:val="002316D8"/>
    <w:rsid w:val="0023174D"/>
    <w:rsid w:val="002317AB"/>
    <w:rsid w:val="00231827"/>
    <w:rsid w:val="0023185D"/>
    <w:rsid w:val="002318AF"/>
    <w:rsid w:val="002319BE"/>
    <w:rsid w:val="002319CF"/>
    <w:rsid w:val="00231A26"/>
    <w:rsid w:val="00231A70"/>
    <w:rsid w:val="00231A92"/>
    <w:rsid w:val="00231AED"/>
    <w:rsid w:val="00231B46"/>
    <w:rsid w:val="00231BAB"/>
    <w:rsid w:val="00231C1E"/>
    <w:rsid w:val="00231D04"/>
    <w:rsid w:val="00231D4E"/>
    <w:rsid w:val="00231DA8"/>
    <w:rsid w:val="00231DB3"/>
    <w:rsid w:val="00231E4A"/>
    <w:rsid w:val="00231E70"/>
    <w:rsid w:val="00231FBC"/>
    <w:rsid w:val="0023205D"/>
    <w:rsid w:val="002320F1"/>
    <w:rsid w:val="0023213D"/>
    <w:rsid w:val="002321BF"/>
    <w:rsid w:val="002321FC"/>
    <w:rsid w:val="00232309"/>
    <w:rsid w:val="0023232B"/>
    <w:rsid w:val="002323EF"/>
    <w:rsid w:val="0023242C"/>
    <w:rsid w:val="0023247E"/>
    <w:rsid w:val="0023248D"/>
    <w:rsid w:val="002325EE"/>
    <w:rsid w:val="00232681"/>
    <w:rsid w:val="00232710"/>
    <w:rsid w:val="00232811"/>
    <w:rsid w:val="002328BF"/>
    <w:rsid w:val="00232948"/>
    <w:rsid w:val="002329A2"/>
    <w:rsid w:val="00232A3E"/>
    <w:rsid w:val="00232AB1"/>
    <w:rsid w:val="00232AE1"/>
    <w:rsid w:val="00232BC6"/>
    <w:rsid w:val="00232BE5"/>
    <w:rsid w:val="00232C3C"/>
    <w:rsid w:val="00232C73"/>
    <w:rsid w:val="00232D53"/>
    <w:rsid w:val="00232D99"/>
    <w:rsid w:val="00232EAE"/>
    <w:rsid w:val="00232EF2"/>
    <w:rsid w:val="00232F17"/>
    <w:rsid w:val="00233021"/>
    <w:rsid w:val="00233022"/>
    <w:rsid w:val="0023305D"/>
    <w:rsid w:val="002330E2"/>
    <w:rsid w:val="00233183"/>
    <w:rsid w:val="00233218"/>
    <w:rsid w:val="002332F0"/>
    <w:rsid w:val="00233320"/>
    <w:rsid w:val="0023332E"/>
    <w:rsid w:val="0023333B"/>
    <w:rsid w:val="00233436"/>
    <w:rsid w:val="002334EC"/>
    <w:rsid w:val="00233541"/>
    <w:rsid w:val="00233543"/>
    <w:rsid w:val="002335BD"/>
    <w:rsid w:val="0023360F"/>
    <w:rsid w:val="00233625"/>
    <w:rsid w:val="00233647"/>
    <w:rsid w:val="002336F3"/>
    <w:rsid w:val="0023374A"/>
    <w:rsid w:val="0023379F"/>
    <w:rsid w:val="00233829"/>
    <w:rsid w:val="0023389E"/>
    <w:rsid w:val="002338EC"/>
    <w:rsid w:val="00233958"/>
    <w:rsid w:val="00233AF0"/>
    <w:rsid w:val="00233C00"/>
    <w:rsid w:val="00233C5E"/>
    <w:rsid w:val="00233C92"/>
    <w:rsid w:val="00233D04"/>
    <w:rsid w:val="00233D74"/>
    <w:rsid w:val="00233DB6"/>
    <w:rsid w:val="00233E00"/>
    <w:rsid w:val="00233E3C"/>
    <w:rsid w:val="00233E70"/>
    <w:rsid w:val="00233F1A"/>
    <w:rsid w:val="00233F39"/>
    <w:rsid w:val="00233F51"/>
    <w:rsid w:val="00233F75"/>
    <w:rsid w:val="00234014"/>
    <w:rsid w:val="00234073"/>
    <w:rsid w:val="00234180"/>
    <w:rsid w:val="002341DD"/>
    <w:rsid w:val="002341FD"/>
    <w:rsid w:val="00234252"/>
    <w:rsid w:val="002342B5"/>
    <w:rsid w:val="002342C4"/>
    <w:rsid w:val="002343C6"/>
    <w:rsid w:val="00234429"/>
    <w:rsid w:val="00234450"/>
    <w:rsid w:val="002344BF"/>
    <w:rsid w:val="00234520"/>
    <w:rsid w:val="00234598"/>
    <w:rsid w:val="00234613"/>
    <w:rsid w:val="00234620"/>
    <w:rsid w:val="00234625"/>
    <w:rsid w:val="00234670"/>
    <w:rsid w:val="00234682"/>
    <w:rsid w:val="002346D7"/>
    <w:rsid w:val="00234707"/>
    <w:rsid w:val="0023478F"/>
    <w:rsid w:val="0023481E"/>
    <w:rsid w:val="00234855"/>
    <w:rsid w:val="002348AF"/>
    <w:rsid w:val="00234A27"/>
    <w:rsid w:val="00234A34"/>
    <w:rsid w:val="00234A39"/>
    <w:rsid w:val="00234A41"/>
    <w:rsid w:val="00234A5F"/>
    <w:rsid w:val="00234AC0"/>
    <w:rsid w:val="00234DBE"/>
    <w:rsid w:val="00234E17"/>
    <w:rsid w:val="00234E4A"/>
    <w:rsid w:val="00234E91"/>
    <w:rsid w:val="00234F4E"/>
    <w:rsid w:val="00234FA0"/>
    <w:rsid w:val="00234FB6"/>
    <w:rsid w:val="002350B3"/>
    <w:rsid w:val="002350E7"/>
    <w:rsid w:val="00235193"/>
    <w:rsid w:val="002351C0"/>
    <w:rsid w:val="00235239"/>
    <w:rsid w:val="00235263"/>
    <w:rsid w:val="002355BF"/>
    <w:rsid w:val="00235624"/>
    <w:rsid w:val="00235630"/>
    <w:rsid w:val="002356A0"/>
    <w:rsid w:val="00235862"/>
    <w:rsid w:val="002358A5"/>
    <w:rsid w:val="00235953"/>
    <w:rsid w:val="00235956"/>
    <w:rsid w:val="00235966"/>
    <w:rsid w:val="00235A2F"/>
    <w:rsid w:val="00235B42"/>
    <w:rsid w:val="00235BCF"/>
    <w:rsid w:val="00235C40"/>
    <w:rsid w:val="00235C9C"/>
    <w:rsid w:val="00235CFB"/>
    <w:rsid w:val="00235D80"/>
    <w:rsid w:val="00235DD2"/>
    <w:rsid w:val="00235DF0"/>
    <w:rsid w:val="00235F43"/>
    <w:rsid w:val="00235F68"/>
    <w:rsid w:val="0023601A"/>
    <w:rsid w:val="0023605C"/>
    <w:rsid w:val="0023606C"/>
    <w:rsid w:val="002360A2"/>
    <w:rsid w:val="002360E1"/>
    <w:rsid w:val="00236111"/>
    <w:rsid w:val="00236197"/>
    <w:rsid w:val="00236214"/>
    <w:rsid w:val="00236264"/>
    <w:rsid w:val="0023629F"/>
    <w:rsid w:val="0023630F"/>
    <w:rsid w:val="002363B8"/>
    <w:rsid w:val="002364AE"/>
    <w:rsid w:val="002364AF"/>
    <w:rsid w:val="002364C6"/>
    <w:rsid w:val="00236518"/>
    <w:rsid w:val="00236665"/>
    <w:rsid w:val="00236747"/>
    <w:rsid w:val="0023679A"/>
    <w:rsid w:val="002367A7"/>
    <w:rsid w:val="002367DE"/>
    <w:rsid w:val="002368DE"/>
    <w:rsid w:val="002368EA"/>
    <w:rsid w:val="00236962"/>
    <w:rsid w:val="00236973"/>
    <w:rsid w:val="002369BE"/>
    <w:rsid w:val="00236A7E"/>
    <w:rsid w:val="00236AC3"/>
    <w:rsid w:val="00236B17"/>
    <w:rsid w:val="00236CBA"/>
    <w:rsid w:val="00236CE9"/>
    <w:rsid w:val="00236D9E"/>
    <w:rsid w:val="00236E02"/>
    <w:rsid w:val="00236E59"/>
    <w:rsid w:val="00236E78"/>
    <w:rsid w:val="00236EA0"/>
    <w:rsid w:val="00236EF7"/>
    <w:rsid w:val="00236F14"/>
    <w:rsid w:val="00236F51"/>
    <w:rsid w:val="00236FC6"/>
    <w:rsid w:val="00236FEA"/>
    <w:rsid w:val="002370FA"/>
    <w:rsid w:val="00237146"/>
    <w:rsid w:val="00237172"/>
    <w:rsid w:val="002371A8"/>
    <w:rsid w:val="00237200"/>
    <w:rsid w:val="00237284"/>
    <w:rsid w:val="002372AA"/>
    <w:rsid w:val="002372DD"/>
    <w:rsid w:val="0023730B"/>
    <w:rsid w:val="002373A5"/>
    <w:rsid w:val="002373C9"/>
    <w:rsid w:val="0023744A"/>
    <w:rsid w:val="002374F3"/>
    <w:rsid w:val="002374FA"/>
    <w:rsid w:val="00237594"/>
    <w:rsid w:val="002375A4"/>
    <w:rsid w:val="002375B5"/>
    <w:rsid w:val="00237656"/>
    <w:rsid w:val="00237688"/>
    <w:rsid w:val="002378B7"/>
    <w:rsid w:val="002378FC"/>
    <w:rsid w:val="0023791D"/>
    <w:rsid w:val="0023793F"/>
    <w:rsid w:val="002379D8"/>
    <w:rsid w:val="00237C70"/>
    <w:rsid w:val="00237C9B"/>
    <w:rsid w:val="00237CB9"/>
    <w:rsid w:val="00237CC6"/>
    <w:rsid w:val="00237CF7"/>
    <w:rsid w:val="00237E36"/>
    <w:rsid w:val="00237E3A"/>
    <w:rsid w:val="00237E55"/>
    <w:rsid w:val="00237E8C"/>
    <w:rsid w:val="00237F8B"/>
    <w:rsid w:val="002401E1"/>
    <w:rsid w:val="0024020B"/>
    <w:rsid w:val="0024022C"/>
    <w:rsid w:val="002402A9"/>
    <w:rsid w:val="00240380"/>
    <w:rsid w:val="002403CC"/>
    <w:rsid w:val="0024042F"/>
    <w:rsid w:val="00240456"/>
    <w:rsid w:val="0024046C"/>
    <w:rsid w:val="002404D1"/>
    <w:rsid w:val="0024053B"/>
    <w:rsid w:val="002405D6"/>
    <w:rsid w:val="002405DE"/>
    <w:rsid w:val="00240724"/>
    <w:rsid w:val="002407B7"/>
    <w:rsid w:val="00240826"/>
    <w:rsid w:val="00240829"/>
    <w:rsid w:val="002408A7"/>
    <w:rsid w:val="002408D9"/>
    <w:rsid w:val="00240926"/>
    <w:rsid w:val="0024098F"/>
    <w:rsid w:val="002409BF"/>
    <w:rsid w:val="002409E5"/>
    <w:rsid w:val="00240B2B"/>
    <w:rsid w:val="00240B62"/>
    <w:rsid w:val="00240BB6"/>
    <w:rsid w:val="00240BE3"/>
    <w:rsid w:val="00240C51"/>
    <w:rsid w:val="00240C7A"/>
    <w:rsid w:val="00240D8F"/>
    <w:rsid w:val="00240DCD"/>
    <w:rsid w:val="00240DDB"/>
    <w:rsid w:val="00240DE0"/>
    <w:rsid w:val="00240DF9"/>
    <w:rsid w:val="00240E35"/>
    <w:rsid w:val="00240ED3"/>
    <w:rsid w:val="00240FB0"/>
    <w:rsid w:val="002410AD"/>
    <w:rsid w:val="002410B1"/>
    <w:rsid w:val="002410CF"/>
    <w:rsid w:val="002410EF"/>
    <w:rsid w:val="002411A3"/>
    <w:rsid w:val="00241221"/>
    <w:rsid w:val="00241263"/>
    <w:rsid w:val="0024129D"/>
    <w:rsid w:val="00241301"/>
    <w:rsid w:val="00241309"/>
    <w:rsid w:val="0024132C"/>
    <w:rsid w:val="00241370"/>
    <w:rsid w:val="00241389"/>
    <w:rsid w:val="002414F6"/>
    <w:rsid w:val="00241579"/>
    <w:rsid w:val="002415A3"/>
    <w:rsid w:val="00241627"/>
    <w:rsid w:val="0024166E"/>
    <w:rsid w:val="002416F0"/>
    <w:rsid w:val="002417F5"/>
    <w:rsid w:val="0024181B"/>
    <w:rsid w:val="0024183F"/>
    <w:rsid w:val="0024184D"/>
    <w:rsid w:val="00241897"/>
    <w:rsid w:val="002418E2"/>
    <w:rsid w:val="00241900"/>
    <w:rsid w:val="00241963"/>
    <w:rsid w:val="0024199F"/>
    <w:rsid w:val="002419AC"/>
    <w:rsid w:val="002419C5"/>
    <w:rsid w:val="002419C8"/>
    <w:rsid w:val="00241AF2"/>
    <w:rsid w:val="00241B0B"/>
    <w:rsid w:val="00241B13"/>
    <w:rsid w:val="00241BB4"/>
    <w:rsid w:val="00241BBF"/>
    <w:rsid w:val="00241BF5"/>
    <w:rsid w:val="00241C03"/>
    <w:rsid w:val="00241C66"/>
    <w:rsid w:val="00241E61"/>
    <w:rsid w:val="00241F01"/>
    <w:rsid w:val="00242031"/>
    <w:rsid w:val="0024208C"/>
    <w:rsid w:val="002420D3"/>
    <w:rsid w:val="002420E7"/>
    <w:rsid w:val="00242133"/>
    <w:rsid w:val="002421ED"/>
    <w:rsid w:val="002421F1"/>
    <w:rsid w:val="0024224E"/>
    <w:rsid w:val="00242300"/>
    <w:rsid w:val="00242307"/>
    <w:rsid w:val="00242393"/>
    <w:rsid w:val="0024239F"/>
    <w:rsid w:val="002424A1"/>
    <w:rsid w:val="0024250A"/>
    <w:rsid w:val="00242542"/>
    <w:rsid w:val="00242546"/>
    <w:rsid w:val="0024257C"/>
    <w:rsid w:val="0024267A"/>
    <w:rsid w:val="002426A8"/>
    <w:rsid w:val="002426C3"/>
    <w:rsid w:val="002426E9"/>
    <w:rsid w:val="0024271B"/>
    <w:rsid w:val="002427D1"/>
    <w:rsid w:val="002427F2"/>
    <w:rsid w:val="00242816"/>
    <w:rsid w:val="00242833"/>
    <w:rsid w:val="00242898"/>
    <w:rsid w:val="002428F1"/>
    <w:rsid w:val="002428F9"/>
    <w:rsid w:val="00242900"/>
    <w:rsid w:val="0024292D"/>
    <w:rsid w:val="00242932"/>
    <w:rsid w:val="00242981"/>
    <w:rsid w:val="00242982"/>
    <w:rsid w:val="002429B3"/>
    <w:rsid w:val="00242A6B"/>
    <w:rsid w:val="00242AC2"/>
    <w:rsid w:val="00242B1C"/>
    <w:rsid w:val="00242B65"/>
    <w:rsid w:val="00242C08"/>
    <w:rsid w:val="00242CA2"/>
    <w:rsid w:val="00242CB9"/>
    <w:rsid w:val="00242D3A"/>
    <w:rsid w:val="00242D4E"/>
    <w:rsid w:val="00242D69"/>
    <w:rsid w:val="00242E0A"/>
    <w:rsid w:val="00242E0D"/>
    <w:rsid w:val="00242E14"/>
    <w:rsid w:val="00242E8D"/>
    <w:rsid w:val="00242ED9"/>
    <w:rsid w:val="00242EF2"/>
    <w:rsid w:val="00242F3A"/>
    <w:rsid w:val="00242F55"/>
    <w:rsid w:val="00243004"/>
    <w:rsid w:val="00243040"/>
    <w:rsid w:val="00243049"/>
    <w:rsid w:val="002430B6"/>
    <w:rsid w:val="002430CB"/>
    <w:rsid w:val="00243149"/>
    <w:rsid w:val="00243175"/>
    <w:rsid w:val="00243275"/>
    <w:rsid w:val="002433AF"/>
    <w:rsid w:val="00243464"/>
    <w:rsid w:val="0024352A"/>
    <w:rsid w:val="00243554"/>
    <w:rsid w:val="002435C8"/>
    <w:rsid w:val="002435DE"/>
    <w:rsid w:val="00243700"/>
    <w:rsid w:val="00243732"/>
    <w:rsid w:val="0024380D"/>
    <w:rsid w:val="00243850"/>
    <w:rsid w:val="00243892"/>
    <w:rsid w:val="00243997"/>
    <w:rsid w:val="00243A1C"/>
    <w:rsid w:val="00243A38"/>
    <w:rsid w:val="00243A50"/>
    <w:rsid w:val="00243ADE"/>
    <w:rsid w:val="00243B5C"/>
    <w:rsid w:val="00243BCA"/>
    <w:rsid w:val="00243C42"/>
    <w:rsid w:val="00243CEF"/>
    <w:rsid w:val="00243E08"/>
    <w:rsid w:val="00243E72"/>
    <w:rsid w:val="00243EB3"/>
    <w:rsid w:val="00243F55"/>
    <w:rsid w:val="00243F78"/>
    <w:rsid w:val="0024400E"/>
    <w:rsid w:val="0024402A"/>
    <w:rsid w:val="0024409D"/>
    <w:rsid w:val="002440D3"/>
    <w:rsid w:val="002440FC"/>
    <w:rsid w:val="0024428E"/>
    <w:rsid w:val="002442CA"/>
    <w:rsid w:val="002442FF"/>
    <w:rsid w:val="00244374"/>
    <w:rsid w:val="002443C5"/>
    <w:rsid w:val="00244445"/>
    <w:rsid w:val="0024447F"/>
    <w:rsid w:val="002444F8"/>
    <w:rsid w:val="002445A4"/>
    <w:rsid w:val="002445A5"/>
    <w:rsid w:val="00244681"/>
    <w:rsid w:val="0024479A"/>
    <w:rsid w:val="00244896"/>
    <w:rsid w:val="002448E2"/>
    <w:rsid w:val="00244902"/>
    <w:rsid w:val="0024495F"/>
    <w:rsid w:val="00244989"/>
    <w:rsid w:val="002449D9"/>
    <w:rsid w:val="002449FC"/>
    <w:rsid w:val="00244A6F"/>
    <w:rsid w:val="00244BC4"/>
    <w:rsid w:val="00244BD1"/>
    <w:rsid w:val="00244C16"/>
    <w:rsid w:val="00244D77"/>
    <w:rsid w:val="00244EB3"/>
    <w:rsid w:val="00244EB7"/>
    <w:rsid w:val="00244F3E"/>
    <w:rsid w:val="00244F6F"/>
    <w:rsid w:val="00244F78"/>
    <w:rsid w:val="00244FFD"/>
    <w:rsid w:val="0024505E"/>
    <w:rsid w:val="002450E6"/>
    <w:rsid w:val="0024510F"/>
    <w:rsid w:val="0024516B"/>
    <w:rsid w:val="002451D3"/>
    <w:rsid w:val="002451E2"/>
    <w:rsid w:val="002452C9"/>
    <w:rsid w:val="00245335"/>
    <w:rsid w:val="002453DF"/>
    <w:rsid w:val="00245475"/>
    <w:rsid w:val="0024549C"/>
    <w:rsid w:val="0024549F"/>
    <w:rsid w:val="002454F3"/>
    <w:rsid w:val="002454FB"/>
    <w:rsid w:val="00245523"/>
    <w:rsid w:val="00245535"/>
    <w:rsid w:val="00245546"/>
    <w:rsid w:val="0024556D"/>
    <w:rsid w:val="002455C4"/>
    <w:rsid w:val="002455F5"/>
    <w:rsid w:val="0024561A"/>
    <w:rsid w:val="00245621"/>
    <w:rsid w:val="00245630"/>
    <w:rsid w:val="00245670"/>
    <w:rsid w:val="002456E6"/>
    <w:rsid w:val="002456EA"/>
    <w:rsid w:val="002456F4"/>
    <w:rsid w:val="0024578E"/>
    <w:rsid w:val="0024582F"/>
    <w:rsid w:val="0024588B"/>
    <w:rsid w:val="002458D0"/>
    <w:rsid w:val="002458FE"/>
    <w:rsid w:val="00245957"/>
    <w:rsid w:val="0024595A"/>
    <w:rsid w:val="002459B0"/>
    <w:rsid w:val="002459BC"/>
    <w:rsid w:val="00245A40"/>
    <w:rsid w:val="00245AA3"/>
    <w:rsid w:val="00245BAA"/>
    <w:rsid w:val="00245C4D"/>
    <w:rsid w:val="00245CC4"/>
    <w:rsid w:val="00245CF3"/>
    <w:rsid w:val="00245D04"/>
    <w:rsid w:val="00245D65"/>
    <w:rsid w:val="00245DAC"/>
    <w:rsid w:val="00245E5C"/>
    <w:rsid w:val="00245ED6"/>
    <w:rsid w:val="00245F6F"/>
    <w:rsid w:val="002460ED"/>
    <w:rsid w:val="0024617E"/>
    <w:rsid w:val="0024618E"/>
    <w:rsid w:val="0024627F"/>
    <w:rsid w:val="002462CA"/>
    <w:rsid w:val="002462FD"/>
    <w:rsid w:val="002464CD"/>
    <w:rsid w:val="002464F7"/>
    <w:rsid w:val="00246548"/>
    <w:rsid w:val="0024664D"/>
    <w:rsid w:val="0024669A"/>
    <w:rsid w:val="002466CC"/>
    <w:rsid w:val="00246717"/>
    <w:rsid w:val="0024672F"/>
    <w:rsid w:val="0024679F"/>
    <w:rsid w:val="002468DC"/>
    <w:rsid w:val="002468FB"/>
    <w:rsid w:val="0024693E"/>
    <w:rsid w:val="00246A32"/>
    <w:rsid w:val="00246A73"/>
    <w:rsid w:val="00246ACC"/>
    <w:rsid w:val="00246AF7"/>
    <w:rsid w:val="00246B53"/>
    <w:rsid w:val="00246B88"/>
    <w:rsid w:val="00246B8E"/>
    <w:rsid w:val="00246BDF"/>
    <w:rsid w:val="00246C06"/>
    <w:rsid w:val="00246C14"/>
    <w:rsid w:val="00246C4F"/>
    <w:rsid w:val="00246D0D"/>
    <w:rsid w:val="00246D35"/>
    <w:rsid w:val="00246D3A"/>
    <w:rsid w:val="00246D85"/>
    <w:rsid w:val="00246DF0"/>
    <w:rsid w:val="00246E8F"/>
    <w:rsid w:val="00246E9A"/>
    <w:rsid w:val="00247047"/>
    <w:rsid w:val="002470CF"/>
    <w:rsid w:val="002470E3"/>
    <w:rsid w:val="00247140"/>
    <w:rsid w:val="002471C1"/>
    <w:rsid w:val="002471DB"/>
    <w:rsid w:val="00247301"/>
    <w:rsid w:val="00247326"/>
    <w:rsid w:val="00247346"/>
    <w:rsid w:val="00247362"/>
    <w:rsid w:val="002473D1"/>
    <w:rsid w:val="00247436"/>
    <w:rsid w:val="002474BF"/>
    <w:rsid w:val="0024759E"/>
    <w:rsid w:val="00247658"/>
    <w:rsid w:val="00247660"/>
    <w:rsid w:val="002476B8"/>
    <w:rsid w:val="00247701"/>
    <w:rsid w:val="002477C3"/>
    <w:rsid w:val="0024795C"/>
    <w:rsid w:val="00247966"/>
    <w:rsid w:val="00247977"/>
    <w:rsid w:val="002479B5"/>
    <w:rsid w:val="00247A50"/>
    <w:rsid w:val="00247A9F"/>
    <w:rsid w:val="00247B36"/>
    <w:rsid w:val="00247B70"/>
    <w:rsid w:val="00247B72"/>
    <w:rsid w:val="00247B7D"/>
    <w:rsid w:val="00247C6F"/>
    <w:rsid w:val="00247CA0"/>
    <w:rsid w:val="00247CF0"/>
    <w:rsid w:val="00247D21"/>
    <w:rsid w:val="00247D31"/>
    <w:rsid w:val="00247D44"/>
    <w:rsid w:val="00247DFE"/>
    <w:rsid w:val="00247EE8"/>
    <w:rsid w:val="00247F3C"/>
    <w:rsid w:val="00247F40"/>
    <w:rsid w:val="00247F8C"/>
    <w:rsid w:val="00250053"/>
    <w:rsid w:val="00250121"/>
    <w:rsid w:val="00250176"/>
    <w:rsid w:val="0025027B"/>
    <w:rsid w:val="0025027E"/>
    <w:rsid w:val="00250307"/>
    <w:rsid w:val="00250311"/>
    <w:rsid w:val="002503BC"/>
    <w:rsid w:val="002503F3"/>
    <w:rsid w:val="002503FA"/>
    <w:rsid w:val="00250462"/>
    <w:rsid w:val="00250472"/>
    <w:rsid w:val="00250499"/>
    <w:rsid w:val="002504CF"/>
    <w:rsid w:val="0025051A"/>
    <w:rsid w:val="00250547"/>
    <w:rsid w:val="0025054F"/>
    <w:rsid w:val="00250597"/>
    <w:rsid w:val="0025071A"/>
    <w:rsid w:val="002507A7"/>
    <w:rsid w:val="002507D5"/>
    <w:rsid w:val="002507DD"/>
    <w:rsid w:val="00250807"/>
    <w:rsid w:val="00250815"/>
    <w:rsid w:val="00250840"/>
    <w:rsid w:val="00250862"/>
    <w:rsid w:val="0025086C"/>
    <w:rsid w:val="0025093D"/>
    <w:rsid w:val="00250965"/>
    <w:rsid w:val="002509B4"/>
    <w:rsid w:val="00250A1B"/>
    <w:rsid w:val="00250B01"/>
    <w:rsid w:val="00250B0B"/>
    <w:rsid w:val="00250B45"/>
    <w:rsid w:val="00250B83"/>
    <w:rsid w:val="00250BFD"/>
    <w:rsid w:val="00250C83"/>
    <w:rsid w:val="00250C9B"/>
    <w:rsid w:val="00250D3F"/>
    <w:rsid w:val="00250EB1"/>
    <w:rsid w:val="00250FC0"/>
    <w:rsid w:val="00251073"/>
    <w:rsid w:val="0025107A"/>
    <w:rsid w:val="0025107B"/>
    <w:rsid w:val="0025109C"/>
    <w:rsid w:val="002511F1"/>
    <w:rsid w:val="0025122C"/>
    <w:rsid w:val="00251291"/>
    <w:rsid w:val="002512A0"/>
    <w:rsid w:val="002512A9"/>
    <w:rsid w:val="00251319"/>
    <w:rsid w:val="002513C2"/>
    <w:rsid w:val="002513C5"/>
    <w:rsid w:val="002513C9"/>
    <w:rsid w:val="00251415"/>
    <w:rsid w:val="00251517"/>
    <w:rsid w:val="00251561"/>
    <w:rsid w:val="00251701"/>
    <w:rsid w:val="002517B4"/>
    <w:rsid w:val="0025186B"/>
    <w:rsid w:val="00251946"/>
    <w:rsid w:val="002519BF"/>
    <w:rsid w:val="00251BCA"/>
    <w:rsid w:val="00251BDE"/>
    <w:rsid w:val="00251C82"/>
    <w:rsid w:val="00251CB5"/>
    <w:rsid w:val="00251D9D"/>
    <w:rsid w:val="00251E7B"/>
    <w:rsid w:val="00251F46"/>
    <w:rsid w:val="00251F55"/>
    <w:rsid w:val="002521A2"/>
    <w:rsid w:val="0025224F"/>
    <w:rsid w:val="00252283"/>
    <w:rsid w:val="002522D2"/>
    <w:rsid w:val="0025233D"/>
    <w:rsid w:val="00252341"/>
    <w:rsid w:val="00252358"/>
    <w:rsid w:val="00252373"/>
    <w:rsid w:val="002523CA"/>
    <w:rsid w:val="002523E3"/>
    <w:rsid w:val="002523F9"/>
    <w:rsid w:val="0025250E"/>
    <w:rsid w:val="00252516"/>
    <w:rsid w:val="0025269F"/>
    <w:rsid w:val="002526A5"/>
    <w:rsid w:val="002526B8"/>
    <w:rsid w:val="002526BF"/>
    <w:rsid w:val="002526F8"/>
    <w:rsid w:val="0025281D"/>
    <w:rsid w:val="0025287A"/>
    <w:rsid w:val="002528A4"/>
    <w:rsid w:val="002528AB"/>
    <w:rsid w:val="0025290C"/>
    <w:rsid w:val="0025292F"/>
    <w:rsid w:val="002529A0"/>
    <w:rsid w:val="00252B54"/>
    <w:rsid w:val="00252BE6"/>
    <w:rsid w:val="00252C0D"/>
    <w:rsid w:val="00252F39"/>
    <w:rsid w:val="00252F4A"/>
    <w:rsid w:val="0025303E"/>
    <w:rsid w:val="0025305E"/>
    <w:rsid w:val="002530B2"/>
    <w:rsid w:val="0025312B"/>
    <w:rsid w:val="00253178"/>
    <w:rsid w:val="00253267"/>
    <w:rsid w:val="002532C6"/>
    <w:rsid w:val="0025331E"/>
    <w:rsid w:val="00253331"/>
    <w:rsid w:val="00253403"/>
    <w:rsid w:val="0025341F"/>
    <w:rsid w:val="0025349E"/>
    <w:rsid w:val="00253520"/>
    <w:rsid w:val="00253541"/>
    <w:rsid w:val="0025359C"/>
    <w:rsid w:val="002535AD"/>
    <w:rsid w:val="00253677"/>
    <w:rsid w:val="00253688"/>
    <w:rsid w:val="00253774"/>
    <w:rsid w:val="00253799"/>
    <w:rsid w:val="00253865"/>
    <w:rsid w:val="00253953"/>
    <w:rsid w:val="0025399A"/>
    <w:rsid w:val="00253A74"/>
    <w:rsid w:val="00253C31"/>
    <w:rsid w:val="00253C9B"/>
    <w:rsid w:val="00253CA6"/>
    <w:rsid w:val="00253CCD"/>
    <w:rsid w:val="00253D5B"/>
    <w:rsid w:val="00253D9D"/>
    <w:rsid w:val="00253E3B"/>
    <w:rsid w:val="00253E5F"/>
    <w:rsid w:val="00253E9F"/>
    <w:rsid w:val="00253EC1"/>
    <w:rsid w:val="00253FC4"/>
    <w:rsid w:val="00254016"/>
    <w:rsid w:val="00254040"/>
    <w:rsid w:val="002540D3"/>
    <w:rsid w:val="002540EA"/>
    <w:rsid w:val="002540FA"/>
    <w:rsid w:val="0025411F"/>
    <w:rsid w:val="0025419A"/>
    <w:rsid w:val="002541BD"/>
    <w:rsid w:val="0025420B"/>
    <w:rsid w:val="002542BB"/>
    <w:rsid w:val="0025434D"/>
    <w:rsid w:val="00254570"/>
    <w:rsid w:val="002545F6"/>
    <w:rsid w:val="00254629"/>
    <w:rsid w:val="002546AD"/>
    <w:rsid w:val="00254747"/>
    <w:rsid w:val="00254780"/>
    <w:rsid w:val="002547A5"/>
    <w:rsid w:val="002547FF"/>
    <w:rsid w:val="00254821"/>
    <w:rsid w:val="002548B0"/>
    <w:rsid w:val="002548B1"/>
    <w:rsid w:val="002548D5"/>
    <w:rsid w:val="0025494A"/>
    <w:rsid w:val="0025496A"/>
    <w:rsid w:val="00254B38"/>
    <w:rsid w:val="00254B51"/>
    <w:rsid w:val="00254B77"/>
    <w:rsid w:val="00254B95"/>
    <w:rsid w:val="00254BAF"/>
    <w:rsid w:val="00254BB8"/>
    <w:rsid w:val="00254BD6"/>
    <w:rsid w:val="00254C19"/>
    <w:rsid w:val="00254C58"/>
    <w:rsid w:val="00254C68"/>
    <w:rsid w:val="00254C9C"/>
    <w:rsid w:val="00254CCA"/>
    <w:rsid w:val="00254D7D"/>
    <w:rsid w:val="00254E33"/>
    <w:rsid w:val="00254E6A"/>
    <w:rsid w:val="00254F03"/>
    <w:rsid w:val="00254F07"/>
    <w:rsid w:val="00254FC0"/>
    <w:rsid w:val="00254FD3"/>
    <w:rsid w:val="002550AA"/>
    <w:rsid w:val="0025515F"/>
    <w:rsid w:val="0025518B"/>
    <w:rsid w:val="002552A3"/>
    <w:rsid w:val="00255399"/>
    <w:rsid w:val="00255424"/>
    <w:rsid w:val="00255449"/>
    <w:rsid w:val="002554AE"/>
    <w:rsid w:val="002554D2"/>
    <w:rsid w:val="002554DA"/>
    <w:rsid w:val="00255582"/>
    <w:rsid w:val="00255626"/>
    <w:rsid w:val="0025562F"/>
    <w:rsid w:val="002556C1"/>
    <w:rsid w:val="002557B4"/>
    <w:rsid w:val="002558E1"/>
    <w:rsid w:val="0025597D"/>
    <w:rsid w:val="00255A0B"/>
    <w:rsid w:val="00255A4B"/>
    <w:rsid w:val="00255ABE"/>
    <w:rsid w:val="00255B43"/>
    <w:rsid w:val="00255C77"/>
    <w:rsid w:val="00255CE5"/>
    <w:rsid w:val="00255D02"/>
    <w:rsid w:val="00255D13"/>
    <w:rsid w:val="00255D55"/>
    <w:rsid w:val="00255F60"/>
    <w:rsid w:val="00255F71"/>
    <w:rsid w:val="00255FAA"/>
    <w:rsid w:val="00255FFC"/>
    <w:rsid w:val="002561BF"/>
    <w:rsid w:val="00256236"/>
    <w:rsid w:val="00256238"/>
    <w:rsid w:val="002562B5"/>
    <w:rsid w:val="002562BA"/>
    <w:rsid w:val="002562C9"/>
    <w:rsid w:val="0025632C"/>
    <w:rsid w:val="00256357"/>
    <w:rsid w:val="002563A2"/>
    <w:rsid w:val="0025640B"/>
    <w:rsid w:val="00256450"/>
    <w:rsid w:val="00256457"/>
    <w:rsid w:val="0025645F"/>
    <w:rsid w:val="00256477"/>
    <w:rsid w:val="00256481"/>
    <w:rsid w:val="002564E1"/>
    <w:rsid w:val="00256527"/>
    <w:rsid w:val="0025657D"/>
    <w:rsid w:val="0025660E"/>
    <w:rsid w:val="00256713"/>
    <w:rsid w:val="0025673A"/>
    <w:rsid w:val="002568A7"/>
    <w:rsid w:val="00256918"/>
    <w:rsid w:val="00256974"/>
    <w:rsid w:val="00256A3B"/>
    <w:rsid w:val="00256A85"/>
    <w:rsid w:val="00256AD5"/>
    <w:rsid w:val="00256BB5"/>
    <w:rsid w:val="00256C09"/>
    <w:rsid w:val="00256CF2"/>
    <w:rsid w:val="00256E16"/>
    <w:rsid w:val="00256E40"/>
    <w:rsid w:val="00256E47"/>
    <w:rsid w:val="00256E98"/>
    <w:rsid w:val="00256ED7"/>
    <w:rsid w:val="00256EDB"/>
    <w:rsid w:val="00257056"/>
    <w:rsid w:val="002570EC"/>
    <w:rsid w:val="00257157"/>
    <w:rsid w:val="002571A8"/>
    <w:rsid w:val="002571A9"/>
    <w:rsid w:val="00257296"/>
    <w:rsid w:val="00257307"/>
    <w:rsid w:val="0025732C"/>
    <w:rsid w:val="00257358"/>
    <w:rsid w:val="002573BD"/>
    <w:rsid w:val="00257412"/>
    <w:rsid w:val="002574E4"/>
    <w:rsid w:val="002574F3"/>
    <w:rsid w:val="0025752A"/>
    <w:rsid w:val="0025756F"/>
    <w:rsid w:val="002575D9"/>
    <w:rsid w:val="0025764E"/>
    <w:rsid w:val="002576B1"/>
    <w:rsid w:val="0025779D"/>
    <w:rsid w:val="002578A0"/>
    <w:rsid w:val="002578D9"/>
    <w:rsid w:val="00257923"/>
    <w:rsid w:val="0025793E"/>
    <w:rsid w:val="002579F9"/>
    <w:rsid w:val="00257A28"/>
    <w:rsid w:val="00257A5D"/>
    <w:rsid w:val="00257A6C"/>
    <w:rsid w:val="00257AB4"/>
    <w:rsid w:val="00257AB5"/>
    <w:rsid w:val="00257AFF"/>
    <w:rsid w:val="00257BA0"/>
    <w:rsid w:val="00257BB4"/>
    <w:rsid w:val="00257CFA"/>
    <w:rsid w:val="00257D12"/>
    <w:rsid w:val="00257EEF"/>
    <w:rsid w:val="00257F58"/>
    <w:rsid w:val="00257F68"/>
    <w:rsid w:val="00257F8B"/>
    <w:rsid w:val="00257FC9"/>
    <w:rsid w:val="00260099"/>
    <w:rsid w:val="002600B5"/>
    <w:rsid w:val="002601A7"/>
    <w:rsid w:val="002601CA"/>
    <w:rsid w:val="00260243"/>
    <w:rsid w:val="00260337"/>
    <w:rsid w:val="0026041E"/>
    <w:rsid w:val="002604A2"/>
    <w:rsid w:val="002604E3"/>
    <w:rsid w:val="002604F1"/>
    <w:rsid w:val="0026053F"/>
    <w:rsid w:val="00260595"/>
    <w:rsid w:val="002605A9"/>
    <w:rsid w:val="002605C5"/>
    <w:rsid w:val="0026064B"/>
    <w:rsid w:val="00260689"/>
    <w:rsid w:val="00260690"/>
    <w:rsid w:val="00260781"/>
    <w:rsid w:val="00260809"/>
    <w:rsid w:val="00260827"/>
    <w:rsid w:val="00260850"/>
    <w:rsid w:val="0026085A"/>
    <w:rsid w:val="002608F7"/>
    <w:rsid w:val="00260936"/>
    <w:rsid w:val="002609EC"/>
    <w:rsid w:val="00260A43"/>
    <w:rsid w:val="00260A95"/>
    <w:rsid w:val="00260B0A"/>
    <w:rsid w:val="00260B6B"/>
    <w:rsid w:val="00260B8B"/>
    <w:rsid w:val="00260C28"/>
    <w:rsid w:val="00260C53"/>
    <w:rsid w:val="00260CD7"/>
    <w:rsid w:val="00260D4A"/>
    <w:rsid w:val="00260D80"/>
    <w:rsid w:val="00260DA0"/>
    <w:rsid w:val="00260E15"/>
    <w:rsid w:val="00260EE4"/>
    <w:rsid w:val="00260F0F"/>
    <w:rsid w:val="00261053"/>
    <w:rsid w:val="00261130"/>
    <w:rsid w:val="00261240"/>
    <w:rsid w:val="0026124E"/>
    <w:rsid w:val="00261251"/>
    <w:rsid w:val="002612D3"/>
    <w:rsid w:val="002612DE"/>
    <w:rsid w:val="0026135E"/>
    <w:rsid w:val="00261364"/>
    <w:rsid w:val="002613DC"/>
    <w:rsid w:val="00261442"/>
    <w:rsid w:val="002614CC"/>
    <w:rsid w:val="002614DD"/>
    <w:rsid w:val="0026152B"/>
    <w:rsid w:val="00261715"/>
    <w:rsid w:val="00261741"/>
    <w:rsid w:val="00261742"/>
    <w:rsid w:val="00261779"/>
    <w:rsid w:val="002617BE"/>
    <w:rsid w:val="00261815"/>
    <w:rsid w:val="0026184C"/>
    <w:rsid w:val="002618B4"/>
    <w:rsid w:val="002618B6"/>
    <w:rsid w:val="002618DE"/>
    <w:rsid w:val="00261913"/>
    <w:rsid w:val="00261971"/>
    <w:rsid w:val="00261A84"/>
    <w:rsid w:val="00261ABF"/>
    <w:rsid w:val="00261AE7"/>
    <w:rsid w:val="00261B49"/>
    <w:rsid w:val="00261BFB"/>
    <w:rsid w:val="00261C05"/>
    <w:rsid w:val="00261CC9"/>
    <w:rsid w:val="00261DAD"/>
    <w:rsid w:val="00261DEC"/>
    <w:rsid w:val="00261E13"/>
    <w:rsid w:val="00261E14"/>
    <w:rsid w:val="00261E4E"/>
    <w:rsid w:val="00261E94"/>
    <w:rsid w:val="00261F2D"/>
    <w:rsid w:val="00261F30"/>
    <w:rsid w:val="00261FBD"/>
    <w:rsid w:val="00261FD8"/>
    <w:rsid w:val="00261FF0"/>
    <w:rsid w:val="002620E4"/>
    <w:rsid w:val="002621D7"/>
    <w:rsid w:val="002623C9"/>
    <w:rsid w:val="002623CE"/>
    <w:rsid w:val="0026243F"/>
    <w:rsid w:val="00262456"/>
    <w:rsid w:val="00262498"/>
    <w:rsid w:val="002624A8"/>
    <w:rsid w:val="002624EC"/>
    <w:rsid w:val="002625A9"/>
    <w:rsid w:val="002625D2"/>
    <w:rsid w:val="002625EA"/>
    <w:rsid w:val="002625F7"/>
    <w:rsid w:val="00262669"/>
    <w:rsid w:val="00262671"/>
    <w:rsid w:val="002626A3"/>
    <w:rsid w:val="0026275D"/>
    <w:rsid w:val="002627C8"/>
    <w:rsid w:val="0026290B"/>
    <w:rsid w:val="0026293F"/>
    <w:rsid w:val="0026294F"/>
    <w:rsid w:val="0026295A"/>
    <w:rsid w:val="00262962"/>
    <w:rsid w:val="002629E9"/>
    <w:rsid w:val="00262A22"/>
    <w:rsid w:val="00262A4C"/>
    <w:rsid w:val="00262AA1"/>
    <w:rsid w:val="00262AA8"/>
    <w:rsid w:val="00262AE8"/>
    <w:rsid w:val="00262B77"/>
    <w:rsid w:val="00262C33"/>
    <w:rsid w:val="00262C60"/>
    <w:rsid w:val="00262C67"/>
    <w:rsid w:val="00262C7C"/>
    <w:rsid w:val="00262CEA"/>
    <w:rsid w:val="00262D7C"/>
    <w:rsid w:val="00262D92"/>
    <w:rsid w:val="00262E93"/>
    <w:rsid w:val="00262EBF"/>
    <w:rsid w:val="00262FAE"/>
    <w:rsid w:val="002631DF"/>
    <w:rsid w:val="00263259"/>
    <w:rsid w:val="002632B3"/>
    <w:rsid w:val="0026330F"/>
    <w:rsid w:val="00263418"/>
    <w:rsid w:val="0026345E"/>
    <w:rsid w:val="00263550"/>
    <w:rsid w:val="0026363F"/>
    <w:rsid w:val="00263688"/>
    <w:rsid w:val="002636C1"/>
    <w:rsid w:val="002637BB"/>
    <w:rsid w:val="00263811"/>
    <w:rsid w:val="0026399B"/>
    <w:rsid w:val="002639FC"/>
    <w:rsid w:val="00263AEF"/>
    <w:rsid w:val="00263B0A"/>
    <w:rsid w:val="00263B3C"/>
    <w:rsid w:val="00263C49"/>
    <w:rsid w:val="00263CAD"/>
    <w:rsid w:val="00263D30"/>
    <w:rsid w:val="00263DC2"/>
    <w:rsid w:val="00263DD2"/>
    <w:rsid w:val="00263E74"/>
    <w:rsid w:val="00263E94"/>
    <w:rsid w:val="00263EBD"/>
    <w:rsid w:val="00263EC1"/>
    <w:rsid w:val="00263FA0"/>
    <w:rsid w:val="0026400D"/>
    <w:rsid w:val="002640C3"/>
    <w:rsid w:val="002640C5"/>
    <w:rsid w:val="0026413F"/>
    <w:rsid w:val="00264155"/>
    <w:rsid w:val="00264184"/>
    <w:rsid w:val="00264191"/>
    <w:rsid w:val="002641D9"/>
    <w:rsid w:val="00264229"/>
    <w:rsid w:val="00264298"/>
    <w:rsid w:val="002642AA"/>
    <w:rsid w:val="002642AC"/>
    <w:rsid w:val="00264395"/>
    <w:rsid w:val="002643E5"/>
    <w:rsid w:val="00264441"/>
    <w:rsid w:val="002644A3"/>
    <w:rsid w:val="002644CA"/>
    <w:rsid w:val="00264575"/>
    <w:rsid w:val="00264585"/>
    <w:rsid w:val="002645AC"/>
    <w:rsid w:val="00264616"/>
    <w:rsid w:val="0026464D"/>
    <w:rsid w:val="0026470F"/>
    <w:rsid w:val="00264721"/>
    <w:rsid w:val="0026475E"/>
    <w:rsid w:val="0026481D"/>
    <w:rsid w:val="00264932"/>
    <w:rsid w:val="00264933"/>
    <w:rsid w:val="002649D0"/>
    <w:rsid w:val="00264BC8"/>
    <w:rsid w:val="00264BE2"/>
    <w:rsid w:val="00264C5E"/>
    <w:rsid w:val="00264C74"/>
    <w:rsid w:val="00264CB1"/>
    <w:rsid w:val="00264CD3"/>
    <w:rsid w:val="00264D5E"/>
    <w:rsid w:val="00264E39"/>
    <w:rsid w:val="00264E79"/>
    <w:rsid w:val="00264E87"/>
    <w:rsid w:val="00264FF2"/>
    <w:rsid w:val="00265026"/>
    <w:rsid w:val="00265110"/>
    <w:rsid w:val="002652B8"/>
    <w:rsid w:val="002652C1"/>
    <w:rsid w:val="002652E4"/>
    <w:rsid w:val="002652F5"/>
    <w:rsid w:val="00265352"/>
    <w:rsid w:val="0026544C"/>
    <w:rsid w:val="00265466"/>
    <w:rsid w:val="002654AA"/>
    <w:rsid w:val="002654AE"/>
    <w:rsid w:val="002654FE"/>
    <w:rsid w:val="002655FB"/>
    <w:rsid w:val="0026565D"/>
    <w:rsid w:val="0026569C"/>
    <w:rsid w:val="00265732"/>
    <w:rsid w:val="002657BE"/>
    <w:rsid w:val="002657E5"/>
    <w:rsid w:val="00265877"/>
    <w:rsid w:val="002658EB"/>
    <w:rsid w:val="00265934"/>
    <w:rsid w:val="0026597A"/>
    <w:rsid w:val="00265990"/>
    <w:rsid w:val="002659D6"/>
    <w:rsid w:val="00265A16"/>
    <w:rsid w:val="00265A5C"/>
    <w:rsid w:val="00265A63"/>
    <w:rsid w:val="00265C32"/>
    <w:rsid w:val="00265D8F"/>
    <w:rsid w:val="00265DA0"/>
    <w:rsid w:val="00265DB6"/>
    <w:rsid w:val="00265E14"/>
    <w:rsid w:val="00265F5F"/>
    <w:rsid w:val="00265FDF"/>
    <w:rsid w:val="00266335"/>
    <w:rsid w:val="00266343"/>
    <w:rsid w:val="00266375"/>
    <w:rsid w:val="002664F4"/>
    <w:rsid w:val="0026650F"/>
    <w:rsid w:val="002665B7"/>
    <w:rsid w:val="002666CC"/>
    <w:rsid w:val="0026672D"/>
    <w:rsid w:val="0026682D"/>
    <w:rsid w:val="002668AB"/>
    <w:rsid w:val="002668D0"/>
    <w:rsid w:val="0026698D"/>
    <w:rsid w:val="00266996"/>
    <w:rsid w:val="00266A38"/>
    <w:rsid w:val="00266AFC"/>
    <w:rsid w:val="00266B7A"/>
    <w:rsid w:val="00266BCD"/>
    <w:rsid w:val="00266BD5"/>
    <w:rsid w:val="00266C0A"/>
    <w:rsid w:val="00266C82"/>
    <w:rsid w:val="00266CB2"/>
    <w:rsid w:val="00266CBC"/>
    <w:rsid w:val="00266D93"/>
    <w:rsid w:val="00266DDC"/>
    <w:rsid w:val="00266E08"/>
    <w:rsid w:val="00266E71"/>
    <w:rsid w:val="00266E91"/>
    <w:rsid w:val="00266F8B"/>
    <w:rsid w:val="00267087"/>
    <w:rsid w:val="0026708A"/>
    <w:rsid w:val="002671C4"/>
    <w:rsid w:val="002671F8"/>
    <w:rsid w:val="0026722E"/>
    <w:rsid w:val="0026728F"/>
    <w:rsid w:val="00267293"/>
    <w:rsid w:val="0026737F"/>
    <w:rsid w:val="00267483"/>
    <w:rsid w:val="0026748C"/>
    <w:rsid w:val="002674B6"/>
    <w:rsid w:val="002675A5"/>
    <w:rsid w:val="00267618"/>
    <w:rsid w:val="0026763F"/>
    <w:rsid w:val="002676AC"/>
    <w:rsid w:val="002676F1"/>
    <w:rsid w:val="00267713"/>
    <w:rsid w:val="00267793"/>
    <w:rsid w:val="002677E1"/>
    <w:rsid w:val="0026780A"/>
    <w:rsid w:val="00267892"/>
    <w:rsid w:val="002678EA"/>
    <w:rsid w:val="00267947"/>
    <w:rsid w:val="00267978"/>
    <w:rsid w:val="0026797A"/>
    <w:rsid w:val="00267982"/>
    <w:rsid w:val="002679A0"/>
    <w:rsid w:val="002679AF"/>
    <w:rsid w:val="00267A87"/>
    <w:rsid w:val="00267B62"/>
    <w:rsid w:val="00267BBE"/>
    <w:rsid w:val="00267C5B"/>
    <w:rsid w:val="00267C91"/>
    <w:rsid w:val="00267C93"/>
    <w:rsid w:val="00267E44"/>
    <w:rsid w:val="00267F0D"/>
    <w:rsid w:val="00267F9F"/>
    <w:rsid w:val="00269F56"/>
    <w:rsid w:val="0027006C"/>
    <w:rsid w:val="0027008F"/>
    <w:rsid w:val="002700A5"/>
    <w:rsid w:val="00270132"/>
    <w:rsid w:val="00270139"/>
    <w:rsid w:val="002701A1"/>
    <w:rsid w:val="002701C7"/>
    <w:rsid w:val="002701CA"/>
    <w:rsid w:val="00270218"/>
    <w:rsid w:val="00270304"/>
    <w:rsid w:val="00270512"/>
    <w:rsid w:val="0027055D"/>
    <w:rsid w:val="0027056B"/>
    <w:rsid w:val="00270603"/>
    <w:rsid w:val="00270636"/>
    <w:rsid w:val="0027066B"/>
    <w:rsid w:val="002706E0"/>
    <w:rsid w:val="00270704"/>
    <w:rsid w:val="00270763"/>
    <w:rsid w:val="00270789"/>
    <w:rsid w:val="00270852"/>
    <w:rsid w:val="00270899"/>
    <w:rsid w:val="002708B8"/>
    <w:rsid w:val="00270923"/>
    <w:rsid w:val="0027094E"/>
    <w:rsid w:val="00270991"/>
    <w:rsid w:val="002709C0"/>
    <w:rsid w:val="00270ACE"/>
    <w:rsid w:val="00270B0D"/>
    <w:rsid w:val="00270CB6"/>
    <w:rsid w:val="00270D06"/>
    <w:rsid w:val="00270D62"/>
    <w:rsid w:val="00270DA9"/>
    <w:rsid w:val="00270E7E"/>
    <w:rsid w:val="00270E9A"/>
    <w:rsid w:val="00270FB9"/>
    <w:rsid w:val="00270FC1"/>
    <w:rsid w:val="00270FCD"/>
    <w:rsid w:val="00271006"/>
    <w:rsid w:val="00271082"/>
    <w:rsid w:val="0027109A"/>
    <w:rsid w:val="0027116D"/>
    <w:rsid w:val="0027119D"/>
    <w:rsid w:val="002712E6"/>
    <w:rsid w:val="002714D1"/>
    <w:rsid w:val="002714FD"/>
    <w:rsid w:val="0027172A"/>
    <w:rsid w:val="00271782"/>
    <w:rsid w:val="0027180E"/>
    <w:rsid w:val="00271863"/>
    <w:rsid w:val="0027191F"/>
    <w:rsid w:val="00271951"/>
    <w:rsid w:val="002719BC"/>
    <w:rsid w:val="00271AC6"/>
    <w:rsid w:val="00271AE9"/>
    <w:rsid w:val="00271C02"/>
    <w:rsid w:val="00271C69"/>
    <w:rsid w:val="00271D66"/>
    <w:rsid w:val="00271E0F"/>
    <w:rsid w:val="00271E25"/>
    <w:rsid w:val="00271E9F"/>
    <w:rsid w:val="00271FA5"/>
    <w:rsid w:val="002721B3"/>
    <w:rsid w:val="002721B5"/>
    <w:rsid w:val="002721D7"/>
    <w:rsid w:val="002722CF"/>
    <w:rsid w:val="002723A9"/>
    <w:rsid w:val="0027247C"/>
    <w:rsid w:val="002724D1"/>
    <w:rsid w:val="002724EA"/>
    <w:rsid w:val="00272619"/>
    <w:rsid w:val="0027266A"/>
    <w:rsid w:val="0027276B"/>
    <w:rsid w:val="00272795"/>
    <w:rsid w:val="00272863"/>
    <w:rsid w:val="00272893"/>
    <w:rsid w:val="002728B2"/>
    <w:rsid w:val="002728CC"/>
    <w:rsid w:val="00272915"/>
    <w:rsid w:val="00272922"/>
    <w:rsid w:val="00272923"/>
    <w:rsid w:val="002729E0"/>
    <w:rsid w:val="00272A17"/>
    <w:rsid w:val="00272A21"/>
    <w:rsid w:val="00272A38"/>
    <w:rsid w:val="00272AC4"/>
    <w:rsid w:val="00272B33"/>
    <w:rsid w:val="00272C6F"/>
    <w:rsid w:val="00272C91"/>
    <w:rsid w:val="00272CB0"/>
    <w:rsid w:val="00272CD2"/>
    <w:rsid w:val="00272D4E"/>
    <w:rsid w:val="00272DC4"/>
    <w:rsid w:val="00272E6B"/>
    <w:rsid w:val="00272F37"/>
    <w:rsid w:val="00272F40"/>
    <w:rsid w:val="00272F9A"/>
    <w:rsid w:val="00273007"/>
    <w:rsid w:val="0027313E"/>
    <w:rsid w:val="002731AE"/>
    <w:rsid w:val="002731BF"/>
    <w:rsid w:val="0027325B"/>
    <w:rsid w:val="0027327C"/>
    <w:rsid w:val="0027339F"/>
    <w:rsid w:val="002733B0"/>
    <w:rsid w:val="002733C1"/>
    <w:rsid w:val="00273441"/>
    <w:rsid w:val="0027345E"/>
    <w:rsid w:val="002735E7"/>
    <w:rsid w:val="00273668"/>
    <w:rsid w:val="002736CF"/>
    <w:rsid w:val="002736D6"/>
    <w:rsid w:val="002736EB"/>
    <w:rsid w:val="00273757"/>
    <w:rsid w:val="00273762"/>
    <w:rsid w:val="0027376A"/>
    <w:rsid w:val="002738D7"/>
    <w:rsid w:val="002738E2"/>
    <w:rsid w:val="00273939"/>
    <w:rsid w:val="002739C6"/>
    <w:rsid w:val="002739E4"/>
    <w:rsid w:val="00273A5D"/>
    <w:rsid w:val="00273B2B"/>
    <w:rsid w:val="00273BAF"/>
    <w:rsid w:val="00273C14"/>
    <w:rsid w:val="00273CDC"/>
    <w:rsid w:val="00273D09"/>
    <w:rsid w:val="00273D0E"/>
    <w:rsid w:val="00273D2E"/>
    <w:rsid w:val="00273D3C"/>
    <w:rsid w:val="00273D4B"/>
    <w:rsid w:val="00273DC9"/>
    <w:rsid w:val="00273E05"/>
    <w:rsid w:val="00273F93"/>
    <w:rsid w:val="00273FF0"/>
    <w:rsid w:val="00274036"/>
    <w:rsid w:val="002740A6"/>
    <w:rsid w:val="00274168"/>
    <w:rsid w:val="002741A6"/>
    <w:rsid w:val="002741F2"/>
    <w:rsid w:val="002741FD"/>
    <w:rsid w:val="00274250"/>
    <w:rsid w:val="00274335"/>
    <w:rsid w:val="002743F8"/>
    <w:rsid w:val="00274561"/>
    <w:rsid w:val="00274638"/>
    <w:rsid w:val="00274798"/>
    <w:rsid w:val="0027479F"/>
    <w:rsid w:val="0027490F"/>
    <w:rsid w:val="00274914"/>
    <w:rsid w:val="002749D1"/>
    <w:rsid w:val="00274A0A"/>
    <w:rsid w:val="00274A16"/>
    <w:rsid w:val="00274A46"/>
    <w:rsid w:val="00274A9B"/>
    <w:rsid w:val="00274AAA"/>
    <w:rsid w:val="00274BCB"/>
    <w:rsid w:val="00274C69"/>
    <w:rsid w:val="00274CF4"/>
    <w:rsid w:val="00274D33"/>
    <w:rsid w:val="00274DB9"/>
    <w:rsid w:val="00274DF6"/>
    <w:rsid w:val="00274E40"/>
    <w:rsid w:val="00274E49"/>
    <w:rsid w:val="00274FAB"/>
    <w:rsid w:val="002750AA"/>
    <w:rsid w:val="00275137"/>
    <w:rsid w:val="002751D0"/>
    <w:rsid w:val="002751E2"/>
    <w:rsid w:val="00275268"/>
    <w:rsid w:val="002752DF"/>
    <w:rsid w:val="00275336"/>
    <w:rsid w:val="0027537D"/>
    <w:rsid w:val="002753E6"/>
    <w:rsid w:val="0027541D"/>
    <w:rsid w:val="00275528"/>
    <w:rsid w:val="00275565"/>
    <w:rsid w:val="002755E9"/>
    <w:rsid w:val="00275600"/>
    <w:rsid w:val="0027567C"/>
    <w:rsid w:val="0027568B"/>
    <w:rsid w:val="002756DF"/>
    <w:rsid w:val="002757F0"/>
    <w:rsid w:val="00275829"/>
    <w:rsid w:val="0027586D"/>
    <w:rsid w:val="00275877"/>
    <w:rsid w:val="00275948"/>
    <w:rsid w:val="00275B2C"/>
    <w:rsid w:val="00275B59"/>
    <w:rsid w:val="00275C2D"/>
    <w:rsid w:val="00275CA7"/>
    <w:rsid w:val="00275CB0"/>
    <w:rsid w:val="00275CB9"/>
    <w:rsid w:val="00275D44"/>
    <w:rsid w:val="00275E70"/>
    <w:rsid w:val="00275F74"/>
    <w:rsid w:val="002760B6"/>
    <w:rsid w:val="002760D8"/>
    <w:rsid w:val="002760FA"/>
    <w:rsid w:val="00276296"/>
    <w:rsid w:val="002762C8"/>
    <w:rsid w:val="002762D6"/>
    <w:rsid w:val="002762E1"/>
    <w:rsid w:val="002762ED"/>
    <w:rsid w:val="0027636E"/>
    <w:rsid w:val="002763D4"/>
    <w:rsid w:val="002764AC"/>
    <w:rsid w:val="00276580"/>
    <w:rsid w:val="002765A4"/>
    <w:rsid w:val="00276604"/>
    <w:rsid w:val="002766A5"/>
    <w:rsid w:val="00276717"/>
    <w:rsid w:val="0027683E"/>
    <w:rsid w:val="00276879"/>
    <w:rsid w:val="002768D4"/>
    <w:rsid w:val="00276914"/>
    <w:rsid w:val="002769B3"/>
    <w:rsid w:val="00276A03"/>
    <w:rsid w:val="00276A22"/>
    <w:rsid w:val="00276A74"/>
    <w:rsid w:val="00276BB0"/>
    <w:rsid w:val="00276BB9"/>
    <w:rsid w:val="00276BC5"/>
    <w:rsid w:val="00276BD3"/>
    <w:rsid w:val="00276C49"/>
    <w:rsid w:val="00276C96"/>
    <w:rsid w:val="00276CA2"/>
    <w:rsid w:val="00276CB4"/>
    <w:rsid w:val="00276D13"/>
    <w:rsid w:val="00276E00"/>
    <w:rsid w:val="00276E76"/>
    <w:rsid w:val="00276F71"/>
    <w:rsid w:val="00276FC6"/>
    <w:rsid w:val="00277004"/>
    <w:rsid w:val="00277013"/>
    <w:rsid w:val="002770CB"/>
    <w:rsid w:val="002771F0"/>
    <w:rsid w:val="00277246"/>
    <w:rsid w:val="002772CE"/>
    <w:rsid w:val="002773AF"/>
    <w:rsid w:val="00277457"/>
    <w:rsid w:val="00277479"/>
    <w:rsid w:val="0027750A"/>
    <w:rsid w:val="002775C7"/>
    <w:rsid w:val="0027767A"/>
    <w:rsid w:val="002776DD"/>
    <w:rsid w:val="002777CB"/>
    <w:rsid w:val="002777CC"/>
    <w:rsid w:val="00277809"/>
    <w:rsid w:val="00277819"/>
    <w:rsid w:val="0027781E"/>
    <w:rsid w:val="00277895"/>
    <w:rsid w:val="00277915"/>
    <w:rsid w:val="002779AF"/>
    <w:rsid w:val="00277AB9"/>
    <w:rsid w:val="00277C5F"/>
    <w:rsid w:val="00277CD1"/>
    <w:rsid w:val="00277E41"/>
    <w:rsid w:val="00277E42"/>
    <w:rsid w:val="00277EAD"/>
    <w:rsid w:val="00277F53"/>
    <w:rsid w:val="00277F5D"/>
    <w:rsid w:val="00277F6F"/>
    <w:rsid w:val="00277FA8"/>
    <w:rsid w:val="00277FB9"/>
    <w:rsid w:val="0028004B"/>
    <w:rsid w:val="0028005E"/>
    <w:rsid w:val="00280075"/>
    <w:rsid w:val="0028017C"/>
    <w:rsid w:val="00280182"/>
    <w:rsid w:val="002801A7"/>
    <w:rsid w:val="002801B9"/>
    <w:rsid w:val="002801C3"/>
    <w:rsid w:val="00280238"/>
    <w:rsid w:val="0028026D"/>
    <w:rsid w:val="002802A7"/>
    <w:rsid w:val="002802CB"/>
    <w:rsid w:val="0028030D"/>
    <w:rsid w:val="00280360"/>
    <w:rsid w:val="00280361"/>
    <w:rsid w:val="002803C2"/>
    <w:rsid w:val="00280421"/>
    <w:rsid w:val="00280454"/>
    <w:rsid w:val="00280682"/>
    <w:rsid w:val="0028076A"/>
    <w:rsid w:val="002807B5"/>
    <w:rsid w:val="0028084C"/>
    <w:rsid w:val="0028092A"/>
    <w:rsid w:val="0028094E"/>
    <w:rsid w:val="00280984"/>
    <w:rsid w:val="00280A0E"/>
    <w:rsid w:val="00280A34"/>
    <w:rsid w:val="00280B0A"/>
    <w:rsid w:val="00280C23"/>
    <w:rsid w:val="00280CF4"/>
    <w:rsid w:val="00280D00"/>
    <w:rsid w:val="00280D0F"/>
    <w:rsid w:val="00280E14"/>
    <w:rsid w:val="00280E70"/>
    <w:rsid w:val="00280E93"/>
    <w:rsid w:val="00280F38"/>
    <w:rsid w:val="00280F7C"/>
    <w:rsid w:val="00281011"/>
    <w:rsid w:val="00281098"/>
    <w:rsid w:val="0028117B"/>
    <w:rsid w:val="0028129A"/>
    <w:rsid w:val="00281310"/>
    <w:rsid w:val="00281329"/>
    <w:rsid w:val="00281338"/>
    <w:rsid w:val="0028137E"/>
    <w:rsid w:val="0028144E"/>
    <w:rsid w:val="0028151B"/>
    <w:rsid w:val="0028160E"/>
    <w:rsid w:val="00281668"/>
    <w:rsid w:val="00281693"/>
    <w:rsid w:val="00281715"/>
    <w:rsid w:val="002817E4"/>
    <w:rsid w:val="0028182D"/>
    <w:rsid w:val="002818AF"/>
    <w:rsid w:val="00281964"/>
    <w:rsid w:val="00281968"/>
    <w:rsid w:val="00281993"/>
    <w:rsid w:val="002819BD"/>
    <w:rsid w:val="00281A59"/>
    <w:rsid w:val="00281AE8"/>
    <w:rsid w:val="00281B0B"/>
    <w:rsid w:val="00281B28"/>
    <w:rsid w:val="00281B51"/>
    <w:rsid w:val="00281B8C"/>
    <w:rsid w:val="00281C38"/>
    <w:rsid w:val="00281C85"/>
    <w:rsid w:val="00281CDC"/>
    <w:rsid w:val="00281D4D"/>
    <w:rsid w:val="00281D8B"/>
    <w:rsid w:val="00281DFA"/>
    <w:rsid w:val="00281F32"/>
    <w:rsid w:val="00281F8B"/>
    <w:rsid w:val="00281FE0"/>
    <w:rsid w:val="00282144"/>
    <w:rsid w:val="002821A4"/>
    <w:rsid w:val="002822FD"/>
    <w:rsid w:val="002823AE"/>
    <w:rsid w:val="002824C5"/>
    <w:rsid w:val="00282513"/>
    <w:rsid w:val="0028255D"/>
    <w:rsid w:val="00282618"/>
    <w:rsid w:val="0028263A"/>
    <w:rsid w:val="002826EB"/>
    <w:rsid w:val="002826F6"/>
    <w:rsid w:val="002826FE"/>
    <w:rsid w:val="00282724"/>
    <w:rsid w:val="0028272A"/>
    <w:rsid w:val="0028273F"/>
    <w:rsid w:val="00282824"/>
    <w:rsid w:val="0028291C"/>
    <w:rsid w:val="00282A2E"/>
    <w:rsid w:val="00282A3C"/>
    <w:rsid w:val="00282B39"/>
    <w:rsid w:val="00282B43"/>
    <w:rsid w:val="00282B94"/>
    <w:rsid w:val="00282C91"/>
    <w:rsid w:val="00282C95"/>
    <w:rsid w:val="00282EA9"/>
    <w:rsid w:val="00282F31"/>
    <w:rsid w:val="00283009"/>
    <w:rsid w:val="00283041"/>
    <w:rsid w:val="0028307A"/>
    <w:rsid w:val="002831E0"/>
    <w:rsid w:val="002831EA"/>
    <w:rsid w:val="0028328A"/>
    <w:rsid w:val="0028329D"/>
    <w:rsid w:val="0028333D"/>
    <w:rsid w:val="0028335C"/>
    <w:rsid w:val="0028339C"/>
    <w:rsid w:val="002833CF"/>
    <w:rsid w:val="0028345E"/>
    <w:rsid w:val="002834F0"/>
    <w:rsid w:val="0028353B"/>
    <w:rsid w:val="00283565"/>
    <w:rsid w:val="002836BD"/>
    <w:rsid w:val="00283758"/>
    <w:rsid w:val="00283816"/>
    <w:rsid w:val="00283872"/>
    <w:rsid w:val="00283878"/>
    <w:rsid w:val="0028388B"/>
    <w:rsid w:val="00283A4E"/>
    <w:rsid w:val="00283A6F"/>
    <w:rsid w:val="00283A73"/>
    <w:rsid w:val="00283A91"/>
    <w:rsid w:val="00283AD9"/>
    <w:rsid w:val="00283AFE"/>
    <w:rsid w:val="00283BA7"/>
    <w:rsid w:val="00283BF4"/>
    <w:rsid w:val="00283C6D"/>
    <w:rsid w:val="00283D12"/>
    <w:rsid w:val="00283D71"/>
    <w:rsid w:val="00283D75"/>
    <w:rsid w:val="00283E99"/>
    <w:rsid w:val="00283EA1"/>
    <w:rsid w:val="00283EC2"/>
    <w:rsid w:val="00283EF1"/>
    <w:rsid w:val="00283F7C"/>
    <w:rsid w:val="00283F87"/>
    <w:rsid w:val="00283FBA"/>
    <w:rsid w:val="00284050"/>
    <w:rsid w:val="00284063"/>
    <w:rsid w:val="002840AB"/>
    <w:rsid w:val="002840C8"/>
    <w:rsid w:val="00284129"/>
    <w:rsid w:val="0028414D"/>
    <w:rsid w:val="00284154"/>
    <w:rsid w:val="00284193"/>
    <w:rsid w:val="0028424F"/>
    <w:rsid w:val="0028429B"/>
    <w:rsid w:val="00284314"/>
    <w:rsid w:val="002843A0"/>
    <w:rsid w:val="0028452B"/>
    <w:rsid w:val="00284577"/>
    <w:rsid w:val="00284666"/>
    <w:rsid w:val="002846D1"/>
    <w:rsid w:val="00284824"/>
    <w:rsid w:val="002848D9"/>
    <w:rsid w:val="002848EC"/>
    <w:rsid w:val="00284A37"/>
    <w:rsid w:val="00284AFD"/>
    <w:rsid w:val="00284B4E"/>
    <w:rsid w:val="00284BDB"/>
    <w:rsid w:val="00284D62"/>
    <w:rsid w:val="00284D66"/>
    <w:rsid w:val="00284DB4"/>
    <w:rsid w:val="00284DE7"/>
    <w:rsid w:val="00284EAB"/>
    <w:rsid w:val="00284ED1"/>
    <w:rsid w:val="00284F1C"/>
    <w:rsid w:val="00284FC1"/>
    <w:rsid w:val="00284FDC"/>
    <w:rsid w:val="00284FE2"/>
    <w:rsid w:val="00285067"/>
    <w:rsid w:val="0028512C"/>
    <w:rsid w:val="0028512D"/>
    <w:rsid w:val="002851CF"/>
    <w:rsid w:val="0028532D"/>
    <w:rsid w:val="002853D4"/>
    <w:rsid w:val="002853E5"/>
    <w:rsid w:val="0028549F"/>
    <w:rsid w:val="002854CB"/>
    <w:rsid w:val="002855CF"/>
    <w:rsid w:val="0028568D"/>
    <w:rsid w:val="002856BF"/>
    <w:rsid w:val="002856CC"/>
    <w:rsid w:val="002856D3"/>
    <w:rsid w:val="00285744"/>
    <w:rsid w:val="002858A0"/>
    <w:rsid w:val="002859E3"/>
    <w:rsid w:val="00285AD6"/>
    <w:rsid w:val="00285BC7"/>
    <w:rsid w:val="00285BEE"/>
    <w:rsid w:val="00285C33"/>
    <w:rsid w:val="00285C5D"/>
    <w:rsid w:val="00285C8A"/>
    <w:rsid w:val="00285CC9"/>
    <w:rsid w:val="00285D9A"/>
    <w:rsid w:val="00285E30"/>
    <w:rsid w:val="00285E36"/>
    <w:rsid w:val="00285E6A"/>
    <w:rsid w:val="00285EF1"/>
    <w:rsid w:val="00285F70"/>
    <w:rsid w:val="00286043"/>
    <w:rsid w:val="002860B5"/>
    <w:rsid w:val="002860BD"/>
    <w:rsid w:val="0028618D"/>
    <w:rsid w:val="00286205"/>
    <w:rsid w:val="0028622C"/>
    <w:rsid w:val="00286250"/>
    <w:rsid w:val="0028626E"/>
    <w:rsid w:val="00286280"/>
    <w:rsid w:val="002862D5"/>
    <w:rsid w:val="00286389"/>
    <w:rsid w:val="002863B0"/>
    <w:rsid w:val="002863E2"/>
    <w:rsid w:val="00286405"/>
    <w:rsid w:val="00286481"/>
    <w:rsid w:val="0028650B"/>
    <w:rsid w:val="0028652A"/>
    <w:rsid w:val="0028665B"/>
    <w:rsid w:val="002867E7"/>
    <w:rsid w:val="0028693C"/>
    <w:rsid w:val="00286A5C"/>
    <w:rsid w:val="00286AA9"/>
    <w:rsid w:val="00286B44"/>
    <w:rsid w:val="00286B45"/>
    <w:rsid w:val="00286BCA"/>
    <w:rsid w:val="00286D3B"/>
    <w:rsid w:val="00286D53"/>
    <w:rsid w:val="00286D83"/>
    <w:rsid w:val="00286E73"/>
    <w:rsid w:val="00286FAE"/>
    <w:rsid w:val="00287008"/>
    <w:rsid w:val="00287080"/>
    <w:rsid w:val="002870D8"/>
    <w:rsid w:val="002870FA"/>
    <w:rsid w:val="00287126"/>
    <w:rsid w:val="00287165"/>
    <w:rsid w:val="0028716F"/>
    <w:rsid w:val="00287193"/>
    <w:rsid w:val="002871C4"/>
    <w:rsid w:val="002871D1"/>
    <w:rsid w:val="00287238"/>
    <w:rsid w:val="002873B2"/>
    <w:rsid w:val="00287434"/>
    <w:rsid w:val="002874E9"/>
    <w:rsid w:val="0028754E"/>
    <w:rsid w:val="00287613"/>
    <w:rsid w:val="0028769A"/>
    <w:rsid w:val="002876A3"/>
    <w:rsid w:val="002876D3"/>
    <w:rsid w:val="00287729"/>
    <w:rsid w:val="00287748"/>
    <w:rsid w:val="002877D0"/>
    <w:rsid w:val="002877FE"/>
    <w:rsid w:val="00287905"/>
    <w:rsid w:val="0028790F"/>
    <w:rsid w:val="00287928"/>
    <w:rsid w:val="00287989"/>
    <w:rsid w:val="002879C9"/>
    <w:rsid w:val="00287ACA"/>
    <w:rsid w:val="00287AF8"/>
    <w:rsid w:val="00287B6D"/>
    <w:rsid w:val="00287BFB"/>
    <w:rsid w:val="00287E0A"/>
    <w:rsid w:val="00287E5C"/>
    <w:rsid w:val="00287E5E"/>
    <w:rsid w:val="00287F09"/>
    <w:rsid w:val="00287F2B"/>
    <w:rsid w:val="00287F94"/>
    <w:rsid w:val="0029001A"/>
    <w:rsid w:val="0029013A"/>
    <w:rsid w:val="0029017E"/>
    <w:rsid w:val="00290219"/>
    <w:rsid w:val="00290286"/>
    <w:rsid w:val="00290331"/>
    <w:rsid w:val="00290388"/>
    <w:rsid w:val="00290491"/>
    <w:rsid w:val="002904F5"/>
    <w:rsid w:val="00290512"/>
    <w:rsid w:val="0029053F"/>
    <w:rsid w:val="00290599"/>
    <w:rsid w:val="002905C0"/>
    <w:rsid w:val="002905D7"/>
    <w:rsid w:val="002906E5"/>
    <w:rsid w:val="00290719"/>
    <w:rsid w:val="00290758"/>
    <w:rsid w:val="0029078F"/>
    <w:rsid w:val="002907A2"/>
    <w:rsid w:val="002909BF"/>
    <w:rsid w:val="002909D4"/>
    <w:rsid w:val="00290A0D"/>
    <w:rsid w:val="00290A42"/>
    <w:rsid w:val="00290B49"/>
    <w:rsid w:val="00290B57"/>
    <w:rsid w:val="00290B63"/>
    <w:rsid w:val="00290B86"/>
    <w:rsid w:val="00290C25"/>
    <w:rsid w:val="00290D39"/>
    <w:rsid w:val="00290DDC"/>
    <w:rsid w:val="00290DE0"/>
    <w:rsid w:val="00290E72"/>
    <w:rsid w:val="00290ECA"/>
    <w:rsid w:val="00290F2C"/>
    <w:rsid w:val="00290F6A"/>
    <w:rsid w:val="00290FE9"/>
    <w:rsid w:val="0029101A"/>
    <w:rsid w:val="00291042"/>
    <w:rsid w:val="00291090"/>
    <w:rsid w:val="0029109D"/>
    <w:rsid w:val="002910E4"/>
    <w:rsid w:val="002911A9"/>
    <w:rsid w:val="002911AF"/>
    <w:rsid w:val="002911C3"/>
    <w:rsid w:val="002911EB"/>
    <w:rsid w:val="00291252"/>
    <w:rsid w:val="00291270"/>
    <w:rsid w:val="002912AB"/>
    <w:rsid w:val="00291387"/>
    <w:rsid w:val="0029138F"/>
    <w:rsid w:val="00291397"/>
    <w:rsid w:val="002913B6"/>
    <w:rsid w:val="0029151B"/>
    <w:rsid w:val="00291559"/>
    <w:rsid w:val="0029155B"/>
    <w:rsid w:val="00291585"/>
    <w:rsid w:val="00291604"/>
    <w:rsid w:val="00291635"/>
    <w:rsid w:val="00291654"/>
    <w:rsid w:val="0029174D"/>
    <w:rsid w:val="0029184C"/>
    <w:rsid w:val="0029191B"/>
    <w:rsid w:val="00291930"/>
    <w:rsid w:val="00291954"/>
    <w:rsid w:val="0029195F"/>
    <w:rsid w:val="002919C6"/>
    <w:rsid w:val="00291A68"/>
    <w:rsid w:val="00291AB2"/>
    <w:rsid w:val="00291AF4"/>
    <w:rsid w:val="00291BEA"/>
    <w:rsid w:val="00291D3F"/>
    <w:rsid w:val="00291E7F"/>
    <w:rsid w:val="00291EB0"/>
    <w:rsid w:val="00291F23"/>
    <w:rsid w:val="00291F4B"/>
    <w:rsid w:val="00292005"/>
    <w:rsid w:val="00292067"/>
    <w:rsid w:val="002920B9"/>
    <w:rsid w:val="00292124"/>
    <w:rsid w:val="0029219C"/>
    <w:rsid w:val="0029224C"/>
    <w:rsid w:val="00292304"/>
    <w:rsid w:val="002923F8"/>
    <w:rsid w:val="00292498"/>
    <w:rsid w:val="002924F4"/>
    <w:rsid w:val="0029257A"/>
    <w:rsid w:val="002925E9"/>
    <w:rsid w:val="0029264F"/>
    <w:rsid w:val="00292685"/>
    <w:rsid w:val="0029273D"/>
    <w:rsid w:val="0029273F"/>
    <w:rsid w:val="0029279D"/>
    <w:rsid w:val="002927E5"/>
    <w:rsid w:val="0029280B"/>
    <w:rsid w:val="0029281A"/>
    <w:rsid w:val="00292852"/>
    <w:rsid w:val="00292977"/>
    <w:rsid w:val="00292A53"/>
    <w:rsid w:val="00292A67"/>
    <w:rsid w:val="00292AAC"/>
    <w:rsid w:val="00292AFD"/>
    <w:rsid w:val="00292B21"/>
    <w:rsid w:val="00292BC5"/>
    <w:rsid w:val="00292C2B"/>
    <w:rsid w:val="00292CE1"/>
    <w:rsid w:val="00292D30"/>
    <w:rsid w:val="00292D92"/>
    <w:rsid w:val="00292E0E"/>
    <w:rsid w:val="00292EAC"/>
    <w:rsid w:val="00292EBC"/>
    <w:rsid w:val="00292EE5"/>
    <w:rsid w:val="00292F0A"/>
    <w:rsid w:val="00292F85"/>
    <w:rsid w:val="00292FDC"/>
    <w:rsid w:val="002931AA"/>
    <w:rsid w:val="00293239"/>
    <w:rsid w:val="00293277"/>
    <w:rsid w:val="002932A7"/>
    <w:rsid w:val="0029335A"/>
    <w:rsid w:val="00293445"/>
    <w:rsid w:val="00293478"/>
    <w:rsid w:val="00293489"/>
    <w:rsid w:val="002934F1"/>
    <w:rsid w:val="002935A5"/>
    <w:rsid w:val="002935CF"/>
    <w:rsid w:val="002937D2"/>
    <w:rsid w:val="002937F1"/>
    <w:rsid w:val="00293829"/>
    <w:rsid w:val="0029386A"/>
    <w:rsid w:val="002938FB"/>
    <w:rsid w:val="00293920"/>
    <w:rsid w:val="00293981"/>
    <w:rsid w:val="00293994"/>
    <w:rsid w:val="00293AC6"/>
    <w:rsid w:val="00293B0B"/>
    <w:rsid w:val="00293B2C"/>
    <w:rsid w:val="00293B45"/>
    <w:rsid w:val="00293B55"/>
    <w:rsid w:val="00293C65"/>
    <w:rsid w:val="00293C69"/>
    <w:rsid w:val="00293CDA"/>
    <w:rsid w:val="00293D43"/>
    <w:rsid w:val="00293DFC"/>
    <w:rsid w:val="00293E0F"/>
    <w:rsid w:val="00293EBB"/>
    <w:rsid w:val="00293EBF"/>
    <w:rsid w:val="00293F25"/>
    <w:rsid w:val="00293F74"/>
    <w:rsid w:val="00293FF0"/>
    <w:rsid w:val="002940B7"/>
    <w:rsid w:val="00294111"/>
    <w:rsid w:val="00294195"/>
    <w:rsid w:val="002942D7"/>
    <w:rsid w:val="0029437D"/>
    <w:rsid w:val="002943A3"/>
    <w:rsid w:val="002943BC"/>
    <w:rsid w:val="00294408"/>
    <w:rsid w:val="00294475"/>
    <w:rsid w:val="00294504"/>
    <w:rsid w:val="0029451F"/>
    <w:rsid w:val="00294527"/>
    <w:rsid w:val="002945DF"/>
    <w:rsid w:val="002945EE"/>
    <w:rsid w:val="002946F0"/>
    <w:rsid w:val="00294730"/>
    <w:rsid w:val="00294774"/>
    <w:rsid w:val="00294876"/>
    <w:rsid w:val="002948B7"/>
    <w:rsid w:val="002948EA"/>
    <w:rsid w:val="00294919"/>
    <w:rsid w:val="0029497C"/>
    <w:rsid w:val="002949F3"/>
    <w:rsid w:val="00294AB0"/>
    <w:rsid w:val="00294AD4"/>
    <w:rsid w:val="00294B49"/>
    <w:rsid w:val="00294B4D"/>
    <w:rsid w:val="00294BF8"/>
    <w:rsid w:val="00294C8C"/>
    <w:rsid w:val="00294CA2"/>
    <w:rsid w:val="00294CFC"/>
    <w:rsid w:val="00294D05"/>
    <w:rsid w:val="00294D48"/>
    <w:rsid w:val="00294D57"/>
    <w:rsid w:val="00294D59"/>
    <w:rsid w:val="00294E99"/>
    <w:rsid w:val="00294FD8"/>
    <w:rsid w:val="00294FF7"/>
    <w:rsid w:val="00295027"/>
    <w:rsid w:val="00295076"/>
    <w:rsid w:val="00295279"/>
    <w:rsid w:val="002952D8"/>
    <w:rsid w:val="00295332"/>
    <w:rsid w:val="002953EE"/>
    <w:rsid w:val="002954A9"/>
    <w:rsid w:val="00295504"/>
    <w:rsid w:val="002955A8"/>
    <w:rsid w:val="00295631"/>
    <w:rsid w:val="00295683"/>
    <w:rsid w:val="0029569B"/>
    <w:rsid w:val="002957DA"/>
    <w:rsid w:val="002957F6"/>
    <w:rsid w:val="00295981"/>
    <w:rsid w:val="00295B7B"/>
    <w:rsid w:val="00295CE3"/>
    <w:rsid w:val="00295D21"/>
    <w:rsid w:val="00295DB0"/>
    <w:rsid w:val="00295DC6"/>
    <w:rsid w:val="00295E50"/>
    <w:rsid w:val="00295ECA"/>
    <w:rsid w:val="00295F08"/>
    <w:rsid w:val="00295F7E"/>
    <w:rsid w:val="0029609C"/>
    <w:rsid w:val="002962EB"/>
    <w:rsid w:val="00296301"/>
    <w:rsid w:val="00296314"/>
    <w:rsid w:val="00296328"/>
    <w:rsid w:val="0029637A"/>
    <w:rsid w:val="0029646A"/>
    <w:rsid w:val="002964A0"/>
    <w:rsid w:val="0029656D"/>
    <w:rsid w:val="002965A9"/>
    <w:rsid w:val="002965AA"/>
    <w:rsid w:val="0029660D"/>
    <w:rsid w:val="002966A7"/>
    <w:rsid w:val="00296759"/>
    <w:rsid w:val="00296830"/>
    <w:rsid w:val="00296868"/>
    <w:rsid w:val="00296872"/>
    <w:rsid w:val="002968F8"/>
    <w:rsid w:val="002969EC"/>
    <w:rsid w:val="00296BE3"/>
    <w:rsid w:val="00296C93"/>
    <w:rsid w:val="00296C9C"/>
    <w:rsid w:val="00296CD3"/>
    <w:rsid w:val="00296D3C"/>
    <w:rsid w:val="00296DA6"/>
    <w:rsid w:val="00296DAC"/>
    <w:rsid w:val="00296E82"/>
    <w:rsid w:val="00296EBF"/>
    <w:rsid w:val="00296ED7"/>
    <w:rsid w:val="00296EE6"/>
    <w:rsid w:val="00296EF2"/>
    <w:rsid w:val="00296F45"/>
    <w:rsid w:val="00296FAD"/>
    <w:rsid w:val="00296FDD"/>
    <w:rsid w:val="00297023"/>
    <w:rsid w:val="0029715E"/>
    <w:rsid w:val="0029716A"/>
    <w:rsid w:val="0029719D"/>
    <w:rsid w:val="0029722A"/>
    <w:rsid w:val="0029726C"/>
    <w:rsid w:val="0029727B"/>
    <w:rsid w:val="002972CB"/>
    <w:rsid w:val="002972F5"/>
    <w:rsid w:val="00297388"/>
    <w:rsid w:val="00297396"/>
    <w:rsid w:val="0029742A"/>
    <w:rsid w:val="00297553"/>
    <w:rsid w:val="00297583"/>
    <w:rsid w:val="0029761E"/>
    <w:rsid w:val="00297659"/>
    <w:rsid w:val="002977B6"/>
    <w:rsid w:val="002978E1"/>
    <w:rsid w:val="0029794F"/>
    <w:rsid w:val="0029796C"/>
    <w:rsid w:val="00297A3B"/>
    <w:rsid w:val="00297A69"/>
    <w:rsid w:val="00297B00"/>
    <w:rsid w:val="00297B03"/>
    <w:rsid w:val="00297B2E"/>
    <w:rsid w:val="00297B8F"/>
    <w:rsid w:val="00297BDE"/>
    <w:rsid w:val="00297C56"/>
    <w:rsid w:val="00297C5E"/>
    <w:rsid w:val="00297D68"/>
    <w:rsid w:val="00297D71"/>
    <w:rsid w:val="00297DBA"/>
    <w:rsid w:val="00297E5D"/>
    <w:rsid w:val="00297F35"/>
    <w:rsid w:val="00297F8F"/>
    <w:rsid w:val="00297FD2"/>
    <w:rsid w:val="00297FDE"/>
    <w:rsid w:val="002A001E"/>
    <w:rsid w:val="002A009C"/>
    <w:rsid w:val="002A00D1"/>
    <w:rsid w:val="002A00EF"/>
    <w:rsid w:val="002A0127"/>
    <w:rsid w:val="002A017B"/>
    <w:rsid w:val="002A023D"/>
    <w:rsid w:val="002A02CD"/>
    <w:rsid w:val="002A02E9"/>
    <w:rsid w:val="002A036B"/>
    <w:rsid w:val="002A03B4"/>
    <w:rsid w:val="002A0429"/>
    <w:rsid w:val="002A0446"/>
    <w:rsid w:val="002A045A"/>
    <w:rsid w:val="002A0464"/>
    <w:rsid w:val="002A059D"/>
    <w:rsid w:val="002A06BF"/>
    <w:rsid w:val="002A078B"/>
    <w:rsid w:val="002A07A4"/>
    <w:rsid w:val="002A09B7"/>
    <w:rsid w:val="002A09FE"/>
    <w:rsid w:val="002A0A6E"/>
    <w:rsid w:val="002A0A7D"/>
    <w:rsid w:val="002A0B18"/>
    <w:rsid w:val="002A0B58"/>
    <w:rsid w:val="002A0C7F"/>
    <w:rsid w:val="002A0D8A"/>
    <w:rsid w:val="002A0DB4"/>
    <w:rsid w:val="002A0E03"/>
    <w:rsid w:val="002A0EB0"/>
    <w:rsid w:val="002A0F78"/>
    <w:rsid w:val="002A0F9D"/>
    <w:rsid w:val="002A0FE8"/>
    <w:rsid w:val="002A0FEA"/>
    <w:rsid w:val="002A1081"/>
    <w:rsid w:val="002A1149"/>
    <w:rsid w:val="002A11A6"/>
    <w:rsid w:val="002A11F3"/>
    <w:rsid w:val="002A12AD"/>
    <w:rsid w:val="002A1352"/>
    <w:rsid w:val="002A1357"/>
    <w:rsid w:val="002A13ED"/>
    <w:rsid w:val="002A14B0"/>
    <w:rsid w:val="002A14B3"/>
    <w:rsid w:val="002A1569"/>
    <w:rsid w:val="002A1576"/>
    <w:rsid w:val="002A1587"/>
    <w:rsid w:val="002A16D7"/>
    <w:rsid w:val="002A16FD"/>
    <w:rsid w:val="002A1732"/>
    <w:rsid w:val="002A1770"/>
    <w:rsid w:val="002A1774"/>
    <w:rsid w:val="002A18A7"/>
    <w:rsid w:val="002A1975"/>
    <w:rsid w:val="002A19F5"/>
    <w:rsid w:val="002A1AB4"/>
    <w:rsid w:val="002A1C1C"/>
    <w:rsid w:val="002A1C85"/>
    <w:rsid w:val="002A1C88"/>
    <w:rsid w:val="002A1C9D"/>
    <w:rsid w:val="002A1D92"/>
    <w:rsid w:val="002A1DB4"/>
    <w:rsid w:val="002A1E63"/>
    <w:rsid w:val="002A1F16"/>
    <w:rsid w:val="002A1FD7"/>
    <w:rsid w:val="002A205E"/>
    <w:rsid w:val="002A211A"/>
    <w:rsid w:val="002A215D"/>
    <w:rsid w:val="002A2178"/>
    <w:rsid w:val="002A2357"/>
    <w:rsid w:val="002A23E1"/>
    <w:rsid w:val="002A2417"/>
    <w:rsid w:val="002A24A6"/>
    <w:rsid w:val="002A2528"/>
    <w:rsid w:val="002A25F6"/>
    <w:rsid w:val="002A261E"/>
    <w:rsid w:val="002A262B"/>
    <w:rsid w:val="002A265B"/>
    <w:rsid w:val="002A26ED"/>
    <w:rsid w:val="002A2752"/>
    <w:rsid w:val="002A2989"/>
    <w:rsid w:val="002A29AB"/>
    <w:rsid w:val="002A29B1"/>
    <w:rsid w:val="002A2A6A"/>
    <w:rsid w:val="002A2B52"/>
    <w:rsid w:val="002A2B65"/>
    <w:rsid w:val="002A2C27"/>
    <w:rsid w:val="002A2C2E"/>
    <w:rsid w:val="002A2C4F"/>
    <w:rsid w:val="002A2CA8"/>
    <w:rsid w:val="002A2CE6"/>
    <w:rsid w:val="002A2D33"/>
    <w:rsid w:val="002A2D51"/>
    <w:rsid w:val="002A2DB4"/>
    <w:rsid w:val="002A2DC3"/>
    <w:rsid w:val="002A2E0D"/>
    <w:rsid w:val="002A2E87"/>
    <w:rsid w:val="002A2F80"/>
    <w:rsid w:val="002A305E"/>
    <w:rsid w:val="002A30C9"/>
    <w:rsid w:val="002A3179"/>
    <w:rsid w:val="002A317A"/>
    <w:rsid w:val="002A31CE"/>
    <w:rsid w:val="002A31EB"/>
    <w:rsid w:val="002A320E"/>
    <w:rsid w:val="002A3252"/>
    <w:rsid w:val="002A3295"/>
    <w:rsid w:val="002A32B4"/>
    <w:rsid w:val="002A32CB"/>
    <w:rsid w:val="002A32E7"/>
    <w:rsid w:val="002A32F3"/>
    <w:rsid w:val="002A336F"/>
    <w:rsid w:val="002A3373"/>
    <w:rsid w:val="002A33D8"/>
    <w:rsid w:val="002A3408"/>
    <w:rsid w:val="002A3561"/>
    <w:rsid w:val="002A359C"/>
    <w:rsid w:val="002A35D0"/>
    <w:rsid w:val="002A35E4"/>
    <w:rsid w:val="002A35F3"/>
    <w:rsid w:val="002A3646"/>
    <w:rsid w:val="002A366B"/>
    <w:rsid w:val="002A36BF"/>
    <w:rsid w:val="002A36F0"/>
    <w:rsid w:val="002A36F4"/>
    <w:rsid w:val="002A3755"/>
    <w:rsid w:val="002A3771"/>
    <w:rsid w:val="002A37BC"/>
    <w:rsid w:val="002A3811"/>
    <w:rsid w:val="002A3829"/>
    <w:rsid w:val="002A3843"/>
    <w:rsid w:val="002A3872"/>
    <w:rsid w:val="002A38AA"/>
    <w:rsid w:val="002A38D8"/>
    <w:rsid w:val="002A3969"/>
    <w:rsid w:val="002A3B9E"/>
    <w:rsid w:val="002A3C6A"/>
    <w:rsid w:val="002A3C9C"/>
    <w:rsid w:val="002A3C9E"/>
    <w:rsid w:val="002A3CE6"/>
    <w:rsid w:val="002A3D0D"/>
    <w:rsid w:val="002A3D9B"/>
    <w:rsid w:val="002A3DF1"/>
    <w:rsid w:val="002A3EF1"/>
    <w:rsid w:val="002A3F01"/>
    <w:rsid w:val="002A3F4F"/>
    <w:rsid w:val="002A3FB3"/>
    <w:rsid w:val="002A4077"/>
    <w:rsid w:val="002A40D5"/>
    <w:rsid w:val="002A40DD"/>
    <w:rsid w:val="002A41B8"/>
    <w:rsid w:val="002A4204"/>
    <w:rsid w:val="002A421D"/>
    <w:rsid w:val="002A423E"/>
    <w:rsid w:val="002A4310"/>
    <w:rsid w:val="002A4350"/>
    <w:rsid w:val="002A4371"/>
    <w:rsid w:val="002A4424"/>
    <w:rsid w:val="002A4453"/>
    <w:rsid w:val="002A4639"/>
    <w:rsid w:val="002A4693"/>
    <w:rsid w:val="002A4721"/>
    <w:rsid w:val="002A4745"/>
    <w:rsid w:val="002A47FA"/>
    <w:rsid w:val="002A48F6"/>
    <w:rsid w:val="002A49D6"/>
    <w:rsid w:val="002A49DA"/>
    <w:rsid w:val="002A4AE9"/>
    <w:rsid w:val="002A4BA6"/>
    <w:rsid w:val="002A4BD7"/>
    <w:rsid w:val="002A4BFE"/>
    <w:rsid w:val="002A4C04"/>
    <w:rsid w:val="002A4C38"/>
    <w:rsid w:val="002A4CB8"/>
    <w:rsid w:val="002A4CB9"/>
    <w:rsid w:val="002A4DC6"/>
    <w:rsid w:val="002A4DDA"/>
    <w:rsid w:val="002A4DE2"/>
    <w:rsid w:val="002A4E4B"/>
    <w:rsid w:val="002A4E77"/>
    <w:rsid w:val="002A4E88"/>
    <w:rsid w:val="002A4F2A"/>
    <w:rsid w:val="002A4F38"/>
    <w:rsid w:val="002A4F88"/>
    <w:rsid w:val="002A5129"/>
    <w:rsid w:val="002A5144"/>
    <w:rsid w:val="002A51C1"/>
    <w:rsid w:val="002A5235"/>
    <w:rsid w:val="002A52D2"/>
    <w:rsid w:val="002A5359"/>
    <w:rsid w:val="002A5410"/>
    <w:rsid w:val="002A54F2"/>
    <w:rsid w:val="002A552A"/>
    <w:rsid w:val="002A5553"/>
    <w:rsid w:val="002A55A7"/>
    <w:rsid w:val="002A55AF"/>
    <w:rsid w:val="002A5624"/>
    <w:rsid w:val="002A56A0"/>
    <w:rsid w:val="002A56B9"/>
    <w:rsid w:val="002A56CD"/>
    <w:rsid w:val="002A57AE"/>
    <w:rsid w:val="002A57B7"/>
    <w:rsid w:val="002A57D6"/>
    <w:rsid w:val="002A5A10"/>
    <w:rsid w:val="002A5A5C"/>
    <w:rsid w:val="002A5AC1"/>
    <w:rsid w:val="002A5AC3"/>
    <w:rsid w:val="002A5AED"/>
    <w:rsid w:val="002A5B4F"/>
    <w:rsid w:val="002A5BE5"/>
    <w:rsid w:val="002A5CDD"/>
    <w:rsid w:val="002A5E15"/>
    <w:rsid w:val="002A5ED6"/>
    <w:rsid w:val="002A5EE9"/>
    <w:rsid w:val="002A5F59"/>
    <w:rsid w:val="002A5F83"/>
    <w:rsid w:val="002A5F92"/>
    <w:rsid w:val="002A5FBF"/>
    <w:rsid w:val="002A5FDC"/>
    <w:rsid w:val="002A605B"/>
    <w:rsid w:val="002A60FD"/>
    <w:rsid w:val="002A61CE"/>
    <w:rsid w:val="002A6215"/>
    <w:rsid w:val="002A62A0"/>
    <w:rsid w:val="002A6362"/>
    <w:rsid w:val="002A63B1"/>
    <w:rsid w:val="002A645E"/>
    <w:rsid w:val="002A6528"/>
    <w:rsid w:val="002A6561"/>
    <w:rsid w:val="002A6582"/>
    <w:rsid w:val="002A66D0"/>
    <w:rsid w:val="002A6709"/>
    <w:rsid w:val="002A670F"/>
    <w:rsid w:val="002A6724"/>
    <w:rsid w:val="002A67A1"/>
    <w:rsid w:val="002A67D2"/>
    <w:rsid w:val="002A68A3"/>
    <w:rsid w:val="002A68B7"/>
    <w:rsid w:val="002A6A89"/>
    <w:rsid w:val="002A6B5E"/>
    <w:rsid w:val="002A6B91"/>
    <w:rsid w:val="002A6C0F"/>
    <w:rsid w:val="002A6C32"/>
    <w:rsid w:val="002A6C79"/>
    <w:rsid w:val="002A6CF9"/>
    <w:rsid w:val="002A6D01"/>
    <w:rsid w:val="002A6DC6"/>
    <w:rsid w:val="002A6DCD"/>
    <w:rsid w:val="002A6E32"/>
    <w:rsid w:val="002A6E88"/>
    <w:rsid w:val="002A6F6D"/>
    <w:rsid w:val="002A6FA4"/>
    <w:rsid w:val="002A7044"/>
    <w:rsid w:val="002A70B7"/>
    <w:rsid w:val="002A7234"/>
    <w:rsid w:val="002A726A"/>
    <w:rsid w:val="002A729B"/>
    <w:rsid w:val="002A72BE"/>
    <w:rsid w:val="002A72DA"/>
    <w:rsid w:val="002A7360"/>
    <w:rsid w:val="002A7365"/>
    <w:rsid w:val="002A746E"/>
    <w:rsid w:val="002A7491"/>
    <w:rsid w:val="002A74E7"/>
    <w:rsid w:val="002A7558"/>
    <w:rsid w:val="002A75B5"/>
    <w:rsid w:val="002A7679"/>
    <w:rsid w:val="002A7695"/>
    <w:rsid w:val="002A76EB"/>
    <w:rsid w:val="002A76F7"/>
    <w:rsid w:val="002A7814"/>
    <w:rsid w:val="002A7836"/>
    <w:rsid w:val="002A7869"/>
    <w:rsid w:val="002A78DA"/>
    <w:rsid w:val="002A7952"/>
    <w:rsid w:val="002A7A11"/>
    <w:rsid w:val="002A7AA6"/>
    <w:rsid w:val="002A7B28"/>
    <w:rsid w:val="002A7C3F"/>
    <w:rsid w:val="002A7D24"/>
    <w:rsid w:val="002A7D28"/>
    <w:rsid w:val="002A7D52"/>
    <w:rsid w:val="002A7DA9"/>
    <w:rsid w:val="002A7DAC"/>
    <w:rsid w:val="002A7DB0"/>
    <w:rsid w:val="002A7DCF"/>
    <w:rsid w:val="002A7DE5"/>
    <w:rsid w:val="002A7E27"/>
    <w:rsid w:val="002A7E59"/>
    <w:rsid w:val="002B0014"/>
    <w:rsid w:val="002B00E7"/>
    <w:rsid w:val="002B0171"/>
    <w:rsid w:val="002B0175"/>
    <w:rsid w:val="002B0181"/>
    <w:rsid w:val="002B01D6"/>
    <w:rsid w:val="002B01F9"/>
    <w:rsid w:val="002B028B"/>
    <w:rsid w:val="002B02B2"/>
    <w:rsid w:val="002B02E6"/>
    <w:rsid w:val="002B02FC"/>
    <w:rsid w:val="002B033C"/>
    <w:rsid w:val="002B038B"/>
    <w:rsid w:val="002B03E1"/>
    <w:rsid w:val="002B0495"/>
    <w:rsid w:val="002B04D4"/>
    <w:rsid w:val="002B053F"/>
    <w:rsid w:val="002B0563"/>
    <w:rsid w:val="002B05DC"/>
    <w:rsid w:val="002B0660"/>
    <w:rsid w:val="002B0692"/>
    <w:rsid w:val="002B0729"/>
    <w:rsid w:val="002B0770"/>
    <w:rsid w:val="002B07B5"/>
    <w:rsid w:val="002B08BE"/>
    <w:rsid w:val="002B08F3"/>
    <w:rsid w:val="002B09D6"/>
    <w:rsid w:val="002B0AF4"/>
    <w:rsid w:val="002B0BBB"/>
    <w:rsid w:val="002B0D01"/>
    <w:rsid w:val="002B0D9D"/>
    <w:rsid w:val="002B0E8F"/>
    <w:rsid w:val="002B0F27"/>
    <w:rsid w:val="002B0F42"/>
    <w:rsid w:val="002B0F8A"/>
    <w:rsid w:val="002B0FF6"/>
    <w:rsid w:val="002B0FF7"/>
    <w:rsid w:val="002B1015"/>
    <w:rsid w:val="002B101B"/>
    <w:rsid w:val="002B1020"/>
    <w:rsid w:val="002B10B1"/>
    <w:rsid w:val="002B11D6"/>
    <w:rsid w:val="002B1290"/>
    <w:rsid w:val="002B12BC"/>
    <w:rsid w:val="002B12FF"/>
    <w:rsid w:val="002B1325"/>
    <w:rsid w:val="002B1331"/>
    <w:rsid w:val="002B1394"/>
    <w:rsid w:val="002B14DB"/>
    <w:rsid w:val="002B157F"/>
    <w:rsid w:val="002B15F8"/>
    <w:rsid w:val="002B163F"/>
    <w:rsid w:val="002B1676"/>
    <w:rsid w:val="002B16E0"/>
    <w:rsid w:val="002B174E"/>
    <w:rsid w:val="002B1867"/>
    <w:rsid w:val="002B1892"/>
    <w:rsid w:val="002B1A5C"/>
    <w:rsid w:val="002B1A62"/>
    <w:rsid w:val="002B1B19"/>
    <w:rsid w:val="002B1B60"/>
    <w:rsid w:val="002B1BAC"/>
    <w:rsid w:val="002B1C05"/>
    <w:rsid w:val="002B1D58"/>
    <w:rsid w:val="002B1E49"/>
    <w:rsid w:val="002B1E58"/>
    <w:rsid w:val="002B1EDE"/>
    <w:rsid w:val="002B1F5A"/>
    <w:rsid w:val="002B1FB2"/>
    <w:rsid w:val="002B208B"/>
    <w:rsid w:val="002B2189"/>
    <w:rsid w:val="002B24BE"/>
    <w:rsid w:val="002B24E3"/>
    <w:rsid w:val="002B2513"/>
    <w:rsid w:val="002B2562"/>
    <w:rsid w:val="002B2587"/>
    <w:rsid w:val="002B25BD"/>
    <w:rsid w:val="002B25FC"/>
    <w:rsid w:val="002B2611"/>
    <w:rsid w:val="002B2616"/>
    <w:rsid w:val="002B262B"/>
    <w:rsid w:val="002B2711"/>
    <w:rsid w:val="002B2752"/>
    <w:rsid w:val="002B276E"/>
    <w:rsid w:val="002B2925"/>
    <w:rsid w:val="002B2993"/>
    <w:rsid w:val="002B2A03"/>
    <w:rsid w:val="002B2A46"/>
    <w:rsid w:val="002B2A4F"/>
    <w:rsid w:val="002B2AA9"/>
    <w:rsid w:val="002B2AF6"/>
    <w:rsid w:val="002B2B10"/>
    <w:rsid w:val="002B2B19"/>
    <w:rsid w:val="002B2B20"/>
    <w:rsid w:val="002B2B34"/>
    <w:rsid w:val="002B2BA3"/>
    <w:rsid w:val="002B2BB0"/>
    <w:rsid w:val="002B2C0A"/>
    <w:rsid w:val="002B2CE7"/>
    <w:rsid w:val="002B2DED"/>
    <w:rsid w:val="002B2E6C"/>
    <w:rsid w:val="002B2E8C"/>
    <w:rsid w:val="002B2EB6"/>
    <w:rsid w:val="002B2F39"/>
    <w:rsid w:val="002B2FBD"/>
    <w:rsid w:val="002B3099"/>
    <w:rsid w:val="002B317E"/>
    <w:rsid w:val="002B3192"/>
    <w:rsid w:val="002B31C4"/>
    <w:rsid w:val="002B3262"/>
    <w:rsid w:val="002B32A6"/>
    <w:rsid w:val="002B32BA"/>
    <w:rsid w:val="002B32BB"/>
    <w:rsid w:val="002B337C"/>
    <w:rsid w:val="002B3398"/>
    <w:rsid w:val="002B3446"/>
    <w:rsid w:val="002B346B"/>
    <w:rsid w:val="002B3497"/>
    <w:rsid w:val="002B34D3"/>
    <w:rsid w:val="002B3659"/>
    <w:rsid w:val="002B365A"/>
    <w:rsid w:val="002B36C9"/>
    <w:rsid w:val="002B36F6"/>
    <w:rsid w:val="002B379D"/>
    <w:rsid w:val="002B37A3"/>
    <w:rsid w:val="002B37AC"/>
    <w:rsid w:val="002B37DA"/>
    <w:rsid w:val="002B380F"/>
    <w:rsid w:val="002B3879"/>
    <w:rsid w:val="002B3889"/>
    <w:rsid w:val="002B3A73"/>
    <w:rsid w:val="002B3BED"/>
    <w:rsid w:val="002B3C40"/>
    <w:rsid w:val="002B3D3B"/>
    <w:rsid w:val="002B3D3F"/>
    <w:rsid w:val="002B3DC2"/>
    <w:rsid w:val="002B3DD7"/>
    <w:rsid w:val="002B3DF5"/>
    <w:rsid w:val="002B3F97"/>
    <w:rsid w:val="002B3FF7"/>
    <w:rsid w:val="002B40A9"/>
    <w:rsid w:val="002B4140"/>
    <w:rsid w:val="002B41AC"/>
    <w:rsid w:val="002B4214"/>
    <w:rsid w:val="002B4239"/>
    <w:rsid w:val="002B4346"/>
    <w:rsid w:val="002B43C3"/>
    <w:rsid w:val="002B4496"/>
    <w:rsid w:val="002B44C1"/>
    <w:rsid w:val="002B4599"/>
    <w:rsid w:val="002B45BA"/>
    <w:rsid w:val="002B4641"/>
    <w:rsid w:val="002B4806"/>
    <w:rsid w:val="002B4843"/>
    <w:rsid w:val="002B4858"/>
    <w:rsid w:val="002B49CB"/>
    <w:rsid w:val="002B49E2"/>
    <w:rsid w:val="002B4B16"/>
    <w:rsid w:val="002B4C42"/>
    <w:rsid w:val="002B4CAB"/>
    <w:rsid w:val="002B4E52"/>
    <w:rsid w:val="002B4E57"/>
    <w:rsid w:val="002B4E9D"/>
    <w:rsid w:val="002B5060"/>
    <w:rsid w:val="002B51C6"/>
    <w:rsid w:val="002B5209"/>
    <w:rsid w:val="002B5376"/>
    <w:rsid w:val="002B5398"/>
    <w:rsid w:val="002B53AD"/>
    <w:rsid w:val="002B53F9"/>
    <w:rsid w:val="002B5410"/>
    <w:rsid w:val="002B54D8"/>
    <w:rsid w:val="002B557F"/>
    <w:rsid w:val="002B56DC"/>
    <w:rsid w:val="002B578F"/>
    <w:rsid w:val="002B57A5"/>
    <w:rsid w:val="002B5827"/>
    <w:rsid w:val="002B5890"/>
    <w:rsid w:val="002B5926"/>
    <w:rsid w:val="002B592E"/>
    <w:rsid w:val="002B595D"/>
    <w:rsid w:val="002B5985"/>
    <w:rsid w:val="002B59C2"/>
    <w:rsid w:val="002B5ACB"/>
    <w:rsid w:val="002B5B21"/>
    <w:rsid w:val="002B5B3B"/>
    <w:rsid w:val="002B5B41"/>
    <w:rsid w:val="002B5BA1"/>
    <w:rsid w:val="002B5BF0"/>
    <w:rsid w:val="002B5CDA"/>
    <w:rsid w:val="002B5D33"/>
    <w:rsid w:val="002B5D72"/>
    <w:rsid w:val="002B5DA8"/>
    <w:rsid w:val="002B5DEB"/>
    <w:rsid w:val="002B5E1D"/>
    <w:rsid w:val="002B5EBF"/>
    <w:rsid w:val="002B5F1F"/>
    <w:rsid w:val="002B5F27"/>
    <w:rsid w:val="002B5F7E"/>
    <w:rsid w:val="002B5FBA"/>
    <w:rsid w:val="002B603F"/>
    <w:rsid w:val="002B60B8"/>
    <w:rsid w:val="002B610B"/>
    <w:rsid w:val="002B626B"/>
    <w:rsid w:val="002B628E"/>
    <w:rsid w:val="002B6293"/>
    <w:rsid w:val="002B62BB"/>
    <w:rsid w:val="002B630C"/>
    <w:rsid w:val="002B6346"/>
    <w:rsid w:val="002B636D"/>
    <w:rsid w:val="002B6382"/>
    <w:rsid w:val="002B63A8"/>
    <w:rsid w:val="002B64AC"/>
    <w:rsid w:val="002B652E"/>
    <w:rsid w:val="002B654F"/>
    <w:rsid w:val="002B65BF"/>
    <w:rsid w:val="002B6616"/>
    <w:rsid w:val="002B66D2"/>
    <w:rsid w:val="002B6755"/>
    <w:rsid w:val="002B67FC"/>
    <w:rsid w:val="002B6867"/>
    <w:rsid w:val="002B68E7"/>
    <w:rsid w:val="002B68F6"/>
    <w:rsid w:val="002B6970"/>
    <w:rsid w:val="002B69D1"/>
    <w:rsid w:val="002B69D5"/>
    <w:rsid w:val="002B6A3A"/>
    <w:rsid w:val="002B6B4A"/>
    <w:rsid w:val="002B6BAD"/>
    <w:rsid w:val="002B6DE3"/>
    <w:rsid w:val="002B6E14"/>
    <w:rsid w:val="002B6E6B"/>
    <w:rsid w:val="002B6F86"/>
    <w:rsid w:val="002B6F96"/>
    <w:rsid w:val="002B704C"/>
    <w:rsid w:val="002B70C0"/>
    <w:rsid w:val="002B70FD"/>
    <w:rsid w:val="002B710D"/>
    <w:rsid w:val="002B7190"/>
    <w:rsid w:val="002B7209"/>
    <w:rsid w:val="002B737E"/>
    <w:rsid w:val="002B7475"/>
    <w:rsid w:val="002B7516"/>
    <w:rsid w:val="002B76AB"/>
    <w:rsid w:val="002B775C"/>
    <w:rsid w:val="002B78F0"/>
    <w:rsid w:val="002B7908"/>
    <w:rsid w:val="002B7927"/>
    <w:rsid w:val="002B7972"/>
    <w:rsid w:val="002B79B1"/>
    <w:rsid w:val="002B7BCA"/>
    <w:rsid w:val="002B7BFB"/>
    <w:rsid w:val="002B7CD6"/>
    <w:rsid w:val="002B7D38"/>
    <w:rsid w:val="002B7D87"/>
    <w:rsid w:val="002B7DBA"/>
    <w:rsid w:val="002B7FD6"/>
    <w:rsid w:val="002C011B"/>
    <w:rsid w:val="002C015A"/>
    <w:rsid w:val="002C0210"/>
    <w:rsid w:val="002C0300"/>
    <w:rsid w:val="002C0318"/>
    <w:rsid w:val="002C0345"/>
    <w:rsid w:val="002C038A"/>
    <w:rsid w:val="002C039B"/>
    <w:rsid w:val="002C03FA"/>
    <w:rsid w:val="002C049B"/>
    <w:rsid w:val="002C068A"/>
    <w:rsid w:val="002C071B"/>
    <w:rsid w:val="002C0751"/>
    <w:rsid w:val="002C0931"/>
    <w:rsid w:val="002C0981"/>
    <w:rsid w:val="002C09F0"/>
    <w:rsid w:val="002C0ABB"/>
    <w:rsid w:val="002C0B24"/>
    <w:rsid w:val="002C0B56"/>
    <w:rsid w:val="002C0BFE"/>
    <w:rsid w:val="002C0C53"/>
    <w:rsid w:val="002C0D12"/>
    <w:rsid w:val="002C0D61"/>
    <w:rsid w:val="002C0DFD"/>
    <w:rsid w:val="002C0EBB"/>
    <w:rsid w:val="002C0EC2"/>
    <w:rsid w:val="002C0EE2"/>
    <w:rsid w:val="002C10A3"/>
    <w:rsid w:val="002C10EB"/>
    <w:rsid w:val="002C110B"/>
    <w:rsid w:val="002C1173"/>
    <w:rsid w:val="002C11D6"/>
    <w:rsid w:val="002C11D8"/>
    <w:rsid w:val="002C12C2"/>
    <w:rsid w:val="002C12D5"/>
    <w:rsid w:val="002C136B"/>
    <w:rsid w:val="002C1378"/>
    <w:rsid w:val="002C1448"/>
    <w:rsid w:val="002C1458"/>
    <w:rsid w:val="002C150D"/>
    <w:rsid w:val="002C1591"/>
    <w:rsid w:val="002C1652"/>
    <w:rsid w:val="002C188C"/>
    <w:rsid w:val="002C18D2"/>
    <w:rsid w:val="002C18FA"/>
    <w:rsid w:val="002C1969"/>
    <w:rsid w:val="002C19B4"/>
    <w:rsid w:val="002C19C5"/>
    <w:rsid w:val="002C1AB5"/>
    <w:rsid w:val="002C1B1D"/>
    <w:rsid w:val="002C1C92"/>
    <w:rsid w:val="002C1CF6"/>
    <w:rsid w:val="002C1D80"/>
    <w:rsid w:val="002C1DC3"/>
    <w:rsid w:val="002C1DF4"/>
    <w:rsid w:val="002C1E63"/>
    <w:rsid w:val="002C1EC0"/>
    <w:rsid w:val="002C1ECF"/>
    <w:rsid w:val="002C1FA5"/>
    <w:rsid w:val="002C1FEE"/>
    <w:rsid w:val="002C1FF2"/>
    <w:rsid w:val="002C201F"/>
    <w:rsid w:val="002C2022"/>
    <w:rsid w:val="002C20AE"/>
    <w:rsid w:val="002C20D5"/>
    <w:rsid w:val="002C2159"/>
    <w:rsid w:val="002C21F4"/>
    <w:rsid w:val="002C2320"/>
    <w:rsid w:val="002C2375"/>
    <w:rsid w:val="002C24D9"/>
    <w:rsid w:val="002C25D3"/>
    <w:rsid w:val="002C2611"/>
    <w:rsid w:val="002C266E"/>
    <w:rsid w:val="002C26FC"/>
    <w:rsid w:val="002C27E8"/>
    <w:rsid w:val="002C2819"/>
    <w:rsid w:val="002C2854"/>
    <w:rsid w:val="002C2870"/>
    <w:rsid w:val="002C2B53"/>
    <w:rsid w:val="002C2BB2"/>
    <w:rsid w:val="002C2BD4"/>
    <w:rsid w:val="002C2BF4"/>
    <w:rsid w:val="002C2CAC"/>
    <w:rsid w:val="002C2D6C"/>
    <w:rsid w:val="002C2D8E"/>
    <w:rsid w:val="002C2DF1"/>
    <w:rsid w:val="002C2DF7"/>
    <w:rsid w:val="002C2E99"/>
    <w:rsid w:val="002C2EDA"/>
    <w:rsid w:val="002C2F91"/>
    <w:rsid w:val="002C2FE5"/>
    <w:rsid w:val="002C310B"/>
    <w:rsid w:val="002C3111"/>
    <w:rsid w:val="002C311C"/>
    <w:rsid w:val="002C316A"/>
    <w:rsid w:val="002C31A2"/>
    <w:rsid w:val="002C31F5"/>
    <w:rsid w:val="002C3224"/>
    <w:rsid w:val="002C328C"/>
    <w:rsid w:val="002C32A6"/>
    <w:rsid w:val="002C32E9"/>
    <w:rsid w:val="002C3306"/>
    <w:rsid w:val="002C332C"/>
    <w:rsid w:val="002C3350"/>
    <w:rsid w:val="002C33CD"/>
    <w:rsid w:val="002C35E6"/>
    <w:rsid w:val="002C3623"/>
    <w:rsid w:val="002C3672"/>
    <w:rsid w:val="002C3699"/>
    <w:rsid w:val="002C36CA"/>
    <w:rsid w:val="002C36F3"/>
    <w:rsid w:val="002C3720"/>
    <w:rsid w:val="002C3795"/>
    <w:rsid w:val="002C38D5"/>
    <w:rsid w:val="002C3981"/>
    <w:rsid w:val="002C3A0D"/>
    <w:rsid w:val="002C3AB8"/>
    <w:rsid w:val="002C3AC3"/>
    <w:rsid w:val="002C3AD5"/>
    <w:rsid w:val="002C3AFE"/>
    <w:rsid w:val="002C3B62"/>
    <w:rsid w:val="002C3C10"/>
    <w:rsid w:val="002C3C3B"/>
    <w:rsid w:val="002C3CC0"/>
    <w:rsid w:val="002C3D7B"/>
    <w:rsid w:val="002C3E10"/>
    <w:rsid w:val="002C3E90"/>
    <w:rsid w:val="002C3ECC"/>
    <w:rsid w:val="002C3EE0"/>
    <w:rsid w:val="002C3EEB"/>
    <w:rsid w:val="002C3F4E"/>
    <w:rsid w:val="002C3FF5"/>
    <w:rsid w:val="002C3FFA"/>
    <w:rsid w:val="002C400F"/>
    <w:rsid w:val="002C403D"/>
    <w:rsid w:val="002C4137"/>
    <w:rsid w:val="002C413B"/>
    <w:rsid w:val="002C4189"/>
    <w:rsid w:val="002C41DA"/>
    <w:rsid w:val="002C421A"/>
    <w:rsid w:val="002C4290"/>
    <w:rsid w:val="002C42B6"/>
    <w:rsid w:val="002C435A"/>
    <w:rsid w:val="002C4368"/>
    <w:rsid w:val="002C441E"/>
    <w:rsid w:val="002C455F"/>
    <w:rsid w:val="002C465F"/>
    <w:rsid w:val="002C474C"/>
    <w:rsid w:val="002C4766"/>
    <w:rsid w:val="002C47BF"/>
    <w:rsid w:val="002C4849"/>
    <w:rsid w:val="002C485D"/>
    <w:rsid w:val="002C4A28"/>
    <w:rsid w:val="002C4A3A"/>
    <w:rsid w:val="002C4A5E"/>
    <w:rsid w:val="002C4AD9"/>
    <w:rsid w:val="002C4B00"/>
    <w:rsid w:val="002C4B7C"/>
    <w:rsid w:val="002C4BF3"/>
    <w:rsid w:val="002C4C2D"/>
    <w:rsid w:val="002C4C6B"/>
    <w:rsid w:val="002C4D1D"/>
    <w:rsid w:val="002C4D7E"/>
    <w:rsid w:val="002C4F10"/>
    <w:rsid w:val="002C4F80"/>
    <w:rsid w:val="002C4FAC"/>
    <w:rsid w:val="002C4FD9"/>
    <w:rsid w:val="002C502F"/>
    <w:rsid w:val="002C5110"/>
    <w:rsid w:val="002C5118"/>
    <w:rsid w:val="002C512F"/>
    <w:rsid w:val="002C5204"/>
    <w:rsid w:val="002C5293"/>
    <w:rsid w:val="002C52CE"/>
    <w:rsid w:val="002C52F3"/>
    <w:rsid w:val="002C52FB"/>
    <w:rsid w:val="002C537F"/>
    <w:rsid w:val="002C538A"/>
    <w:rsid w:val="002C5455"/>
    <w:rsid w:val="002C54B8"/>
    <w:rsid w:val="002C54DA"/>
    <w:rsid w:val="002C557F"/>
    <w:rsid w:val="002C55A1"/>
    <w:rsid w:val="002C55A9"/>
    <w:rsid w:val="002C5665"/>
    <w:rsid w:val="002C56FC"/>
    <w:rsid w:val="002C574E"/>
    <w:rsid w:val="002C57DB"/>
    <w:rsid w:val="002C5898"/>
    <w:rsid w:val="002C5914"/>
    <w:rsid w:val="002C5935"/>
    <w:rsid w:val="002C5989"/>
    <w:rsid w:val="002C59CA"/>
    <w:rsid w:val="002C5A40"/>
    <w:rsid w:val="002C5ACB"/>
    <w:rsid w:val="002C5B05"/>
    <w:rsid w:val="002C5B5E"/>
    <w:rsid w:val="002C5C09"/>
    <w:rsid w:val="002C5C50"/>
    <w:rsid w:val="002C5C5B"/>
    <w:rsid w:val="002C5DF4"/>
    <w:rsid w:val="002C5EF8"/>
    <w:rsid w:val="002C5F40"/>
    <w:rsid w:val="002C5F43"/>
    <w:rsid w:val="002C5F85"/>
    <w:rsid w:val="002C5FF3"/>
    <w:rsid w:val="002C600E"/>
    <w:rsid w:val="002C601A"/>
    <w:rsid w:val="002C60A2"/>
    <w:rsid w:val="002C6117"/>
    <w:rsid w:val="002C6163"/>
    <w:rsid w:val="002C623C"/>
    <w:rsid w:val="002C6254"/>
    <w:rsid w:val="002C62BA"/>
    <w:rsid w:val="002C62BF"/>
    <w:rsid w:val="002C635B"/>
    <w:rsid w:val="002C6384"/>
    <w:rsid w:val="002C63AE"/>
    <w:rsid w:val="002C63DB"/>
    <w:rsid w:val="002C6422"/>
    <w:rsid w:val="002C647F"/>
    <w:rsid w:val="002C64D2"/>
    <w:rsid w:val="002C6582"/>
    <w:rsid w:val="002C658E"/>
    <w:rsid w:val="002C65C8"/>
    <w:rsid w:val="002C65FD"/>
    <w:rsid w:val="002C6602"/>
    <w:rsid w:val="002C66B5"/>
    <w:rsid w:val="002C66B6"/>
    <w:rsid w:val="002C66BC"/>
    <w:rsid w:val="002C6740"/>
    <w:rsid w:val="002C6859"/>
    <w:rsid w:val="002C6895"/>
    <w:rsid w:val="002C68E6"/>
    <w:rsid w:val="002C6987"/>
    <w:rsid w:val="002C698B"/>
    <w:rsid w:val="002C6A4D"/>
    <w:rsid w:val="002C6B37"/>
    <w:rsid w:val="002C6BC3"/>
    <w:rsid w:val="002C6C4A"/>
    <w:rsid w:val="002C6C6F"/>
    <w:rsid w:val="002C6CD3"/>
    <w:rsid w:val="002C6D2B"/>
    <w:rsid w:val="002C6E3C"/>
    <w:rsid w:val="002C6E45"/>
    <w:rsid w:val="002C6E47"/>
    <w:rsid w:val="002C6E64"/>
    <w:rsid w:val="002C6EFF"/>
    <w:rsid w:val="002C6F01"/>
    <w:rsid w:val="002C6F54"/>
    <w:rsid w:val="002C6F67"/>
    <w:rsid w:val="002C6F7D"/>
    <w:rsid w:val="002C7009"/>
    <w:rsid w:val="002C701C"/>
    <w:rsid w:val="002C7088"/>
    <w:rsid w:val="002C710B"/>
    <w:rsid w:val="002C717D"/>
    <w:rsid w:val="002C7196"/>
    <w:rsid w:val="002C71E1"/>
    <w:rsid w:val="002C724C"/>
    <w:rsid w:val="002C7256"/>
    <w:rsid w:val="002C7341"/>
    <w:rsid w:val="002C73D2"/>
    <w:rsid w:val="002C74FD"/>
    <w:rsid w:val="002C7610"/>
    <w:rsid w:val="002C762A"/>
    <w:rsid w:val="002C7655"/>
    <w:rsid w:val="002C778C"/>
    <w:rsid w:val="002C779D"/>
    <w:rsid w:val="002C781F"/>
    <w:rsid w:val="002C7826"/>
    <w:rsid w:val="002C7937"/>
    <w:rsid w:val="002C793A"/>
    <w:rsid w:val="002C7963"/>
    <w:rsid w:val="002C7AD3"/>
    <w:rsid w:val="002C7AF8"/>
    <w:rsid w:val="002C7B34"/>
    <w:rsid w:val="002C7B8D"/>
    <w:rsid w:val="002C7BAC"/>
    <w:rsid w:val="002C7BDD"/>
    <w:rsid w:val="002C7C84"/>
    <w:rsid w:val="002C7CAA"/>
    <w:rsid w:val="002C7E36"/>
    <w:rsid w:val="002C7E7F"/>
    <w:rsid w:val="002C7FF3"/>
    <w:rsid w:val="002D0078"/>
    <w:rsid w:val="002D00CE"/>
    <w:rsid w:val="002D017F"/>
    <w:rsid w:val="002D028C"/>
    <w:rsid w:val="002D038F"/>
    <w:rsid w:val="002D0460"/>
    <w:rsid w:val="002D052F"/>
    <w:rsid w:val="002D0571"/>
    <w:rsid w:val="002D05A9"/>
    <w:rsid w:val="002D064B"/>
    <w:rsid w:val="002D0701"/>
    <w:rsid w:val="002D0745"/>
    <w:rsid w:val="002D077C"/>
    <w:rsid w:val="002D0975"/>
    <w:rsid w:val="002D0A22"/>
    <w:rsid w:val="002D0BD5"/>
    <w:rsid w:val="002D0CB4"/>
    <w:rsid w:val="002D0CB5"/>
    <w:rsid w:val="002D0CD8"/>
    <w:rsid w:val="002D0D15"/>
    <w:rsid w:val="002D0D6A"/>
    <w:rsid w:val="002D0D85"/>
    <w:rsid w:val="002D0E00"/>
    <w:rsid w:val="002D0E8B"/>
    <w:rsid w:val="002D0EBD"/>
    <w:rsid w:val="002D0F3F"/>
    <w:rsid w:val="002D0F9B"/>
    <w:rsid w:val="002D0FCF"/>
    <w:rsid w:val="002D1154"/>
    <w:rsid w:val="002D1187"/>
    <w:rsid w:val="002D11AD"/>
    <w:rsid w:val="002D1281"/>
    <w:rsid w:val="002D1285"/>
    <w:rsid w:val="002D1311"/>
    <w:rsid w:val="002D13E7"/>
    <w:rsid w:val="002D1402"/>
    <w:rsid w:val="002D1409"/>
    <w:rsid w:val="002D146B"/>
    <w:rsid w:val="002D1480"/>
    <w:rsid w:val="002D1785"/>
    <w:rsid w:val="002D17B8"/>
    <w:rsid w:val="002D17EC"/>
    <w:rsid w:val="002D17F6"/>
    <w:rsid w:val="002D1800"/>
    <w:rsid w:val="002D181A"/>
    <w:rsid w:val="002D183B"/>
    <w:rsid w:val="002D193F"/>
    <w:rsid w:val="002D19DC"/>
    <w:rsid w:val="002D19EB"/>
    <w:rsid w:val="002D1A75"/>
    <w:rsid w:val="002D1B7E"/>
    <w:rsid w:val="002D1CDE"/>
    <w:rsid w:val="002D1CE7"/>
    <w:rsid w:val="002D1D66"/>
    <w:rsid w:val="002D1D6A"/>
    <w:rsid w:val="002D1DEB"/>
    <w:rsid w:val="002D1EF8"/>
    <w:rsid w:val="002D1F4A"/>
    <w:rsid w:val="002D1F74"/>
    <w:rsid w:val="002D1FF4"/>
    <w:rsid w:val="002D2036"/>
    <w:rsid w:val="002D2048"/>
    <w:rsid w:val="002D2068"/>
    <w:rsid w:val="002D20C0"/>
    <w:rsid w:val="002D20F9"/>
    <w:rsid w:val="002D210A"/>
    <w:rsid w:val="002D210B"/>
    <w:rsid w:val="002D21A8"/>
    <w:rsid w:val="002D2326"/>
    <w:rsid w:val="002D23B7"/>
    <w:rsid w:val="002D23ED"/>
    <w:rsid w:val="002D24AA"/>
    <w:rsid w:val="002D24B8"/>
    <w:rsid w:val="002D2512"/>
    <w:rsid w:val="002D2588"/>
    <w:rsid w:val="002D25B0"/>
    <w:rsid w:val="002D25FA"/>
    <w:rsid w:val="002D267B"/>
    <w:rsid w:val="002D273F"/>
    <w:rsid w:val="002D27EA"/>
    <w:rsid w:val="002D2956"/>
    <w:rsid w:val="002D29CF"/>
    <w:rsid w:val="002D2A73"/>
    <w:rsid w:val="002D2BEB"/>
    <w:rsid w:val="002D2E32"/>
    <w:rsid w:val="002D2E76"/>
    <w:rsid w:val="002D2F25"/>
    <w:rsid w:val="002D2FBC"/>
    <w:rsid w:val="002D2FE7"/>
    <w:rsid w:val="002D3008"/>
    <w:rsid w:val="002D301C"/>
    <w:rsid w:val="002D3046"/>
    <w:rsid w:val="002D31BB"/>
    <w:rsid w:val="002D31E7"/>
    <w:rsid w:val="002D3281"/>
    <w:rsid w:val="002D3370"/>
    <w:rsid w:val="002D3484"/>
    <w:rsid w:val="002D3620"/>
    <w:rsid w:val="002D3659"/>
    <w:rsid w:val="002D365D"/>
    <w:rsid w:val="002D36B7"/>
    <w:rsid w:val="002D36F8"/>
    <w:rsid w:val="002D3716"/>
    <w:rsid w:val="002D3746"/>
    <w:rsid w:val="002D3910"/>
    <w:rsid w:val="002D3A3E"/>
    <w:rsid w:val="002D3A7A"/>
    <w:rsid w:val="002D3BB8"/>
    <w:rsid w:val="002D3BB9"/>
    <w:rsid w:val="002D3C76"/>
    <w:rsid w:val="002D3CF4"/>
    <w:rsid w:val="002D3D04"/>
    <w:rsid w:val="002D3D95"/>
    <w:rsid w:val="002D3E34"/>
    <w:rsid w:val="002D3E53"/>
    <w:rsid w:val="002D3E9A"/>
    <w:rsid w:val="002D3EA4"/>
    <w:rsid w:val="002D3EA5"/>
    <w:rsid w:val="002D3F0D"/>
    <w:rsid w:val="002D3F96"/>
    <w:rsid w:val="002D3FB3"/>
    <w:rsid w:val="002D4051"/>
    <w:rsid w:val="002D409D"/>
    <w:rsid w:val="002D40A5"/>
    <w:rsid w:val="002D4140"/>
    <w:rsid w:val="002D41F0"/>
    <w:rsid w:val="002D4212"/>
    <w:rsid w:val="002D4223"/>
    <w:rsid w:val="002D4259"/>
    <w:rsid w:val="002D42A5"/>
    <w:rsid w:val="002D42D6"/>
    <w:rsid w:val="002D4329"/>
    <w:rsid w:val="002D436D"/>
    <w:rsid w:val="002D43A5"/>
    <w:rsid w:val="002D448D"/>
    <w:rsid w:val="002D4507"/>
    <w:rsid w:val="002D4515"/>
    <w:rsid w:val="002D4536"/>
    <w:rsid w:val="002D4564"/>
    <w:rsid w:val="002D4596"/>
    <w:rsid w:val="002D45EB"/>
    <w:rsid w:val="002D45EC"/>
    <w:rsid w:val="002D4656"/>
    <w:rsid w:val="002D466B"/>
    <w:rsid w:val="002D4749"/>
    <w:rsid w:val="002D47A8"/>
    <w:rsid w:val="002D47CF"/>
    <w:rsid w:val="002D47E0"/>
    <w:rsid w:val="002D47F8"/>
    <w:rsid w:val="002D485A"/>
    <w:rsid w:val="002D4863"/>
    <w:rsid w:val="002D48B1"/>
    <w:rsid w:val="002D4958"/>
    <w:rsid w:val="002D4962"/>
    <w:rsid w:val="002D4992"/>
    <w:rsid w:val="002D49C1"/>
    <w:rsid w:val="002D49D2"/>
    <w:rsid w:val="002D49FA"/>
    <w:rsid w:val="002D4A1B"/>
    <w:rsid w:val="002D4B15"/>
    <w:rsid w:val="002D4BA6"/>
    <w:rsid w:val="002D4BF8"/>
    <w:rsid w:val="002D4CD2"/>
    <w:rsid w:val="002D4D2B"/>
    <w:rsid w:val="002D4D3F"/>
    <w:rsid w:val="002D4D44"/>
    <w:rsid w:val="002D4D51"/>
    <w:rsid w:val="002D4DE7"/>
    <w:rsid w:val="002D4E6A"/>
    <w:rsid w:val="002D4EC1"/>
    <w:rsid w:val="002D4EE2"/>
    <w:rsid w:val="002D4F42"/>
    <w:rsid w:val="002D4F69"/>
    <w:rsid w:val="002D50ED"/>
    <w:rsid w:val="002D517C"/>
    <w:rsid w:val="002D51B0"/>
    <w:rsid w:val="002D524A"/>
    <w:rsid w:val="002D5373"/>
    <w:rsid w:val="002D5432"/>
    <w:rsid w:val="002D545C"/>
    <w:rsid w:val="002D54BD"/>
    <w:rsid w:val="002D54C0"/>
    <w:rsid w:val="002D552F"/>
    <w:rsid w:val="002D57B9"/>
    <w:rsid w:val="002D5924"/>
    <w:rsid w:val="002D595A"/>
    <w:rsid w:val="002D596A"/>
    <w:rsid w:val="002D597A"/>
    <w:rsid w:val="002D59BE"/>
    <w:rsid w:val="002D59CB"/>
    <w:rsid w:val="002D5A57"/>
    <w:rsid w:val="002D5ACF"/>
    <w:rsid w:val="002D5AE1"/>
    <w:rsid w:val="002D5B42"/>
    <w:rsid w:val="002D5C7C"/>
    <w:rsid w:val="002D5CAB"/>
    <w:rsid w:val="002D5CF8"/>
    <w:rsid w:val="002D5DB3"/>
    <w:rsid w:val="002D5E0B"/>
    <w:rsid w:val="002D5E47"/>
    <w:rsid w:val="002D5F20"/>
    <w:rsid w:val="002D5F34"/>
    <w:rsid w:val="002D5F5B"/>
    <w:rsid w:val="002D5FF1"/>
    <w:rsid w:val="002D604D"/>
    <w:rsid w:val="002D6056"/>
    <w:rsid w:val="002D6083"/>
    <w:rsid w:val="002D60E7"/>
    <w:rsid w:val="002D625F"/>
    <w:rsid w:val="002D62E5"/>
    <w:rsid w:val="002D63F3"/>
    <w:rsid w:val="002D6437"/>
    <w:rsid w:val="002D6450"/>
    <w:rsid w:val="002D648A"/>
    <w:rsid w:val="002D64AA"/>
    <w:rsid w:val="002D64AB"/>
    <w:rsid w:val="002D65BE"/>
    <w:rsid w:val="002D6605"/>
    <w:rsid w:val="002D6660"/>
    <w:rsid w:val="002D6667"/>
    <w:rsid w:val="002D667A"/>
    <w:rsid w:val="002D66AE"/>
    <w:rsid w:val="002D6762"/>
    <w:rsid w:val="002D679A"/>
    <w:rsid w:val="002D68AC"/>
    <w:rsid w:val="002D69CF"/>
    <w:rsid w:val="002D6A3F"/>
    <w:rsid w:val="002D6AD5"/>
    <w:rsid w:val="002D6B01"/>
    <w:rsid w:val="002D6B97"/>
    <w:rsid w:val="002D6BD5"/>
    <w:rsid w:val="002D6BF5"/>
    <w:rsid w:val="002D6BF8"/>
    <w:rsid w:val="002D6C47"/>
    <w:rsid w:val="002D6CF0"/>
    <w:rsid w:val="002D6D74"/>
    <w:rsid w:val="002D6E0E"/>
    <w:rsid w:val="002D6E7C"/>
    <w:rsid w:val="002D6F9A"/>
    <w:rsid w:val="002D6FC8"/>
    <w:rsid w:val="002D713D"/>
    <w:rsid w:val="002D7164"/>
    <w:rsid w:val="002D71D1"/>
    <w:rsid w:val="002D71F3"/>
    <w:rsid w:val="002D71F7"/>
    <w:rsid w:val="002D7208"/>
    <w:rsid w:val="002D720B"/>
    <w:rsid w:val="002D7226"/>
    <w:rsid w:val="002D7252"/>
    <w:rsid w:val="002D7398"/>
    <w:rsid w:val="002D739B"/>
    <w:rsid w:val="002D7441"/>
    <w:rsid w:val="002D74A6"/>
    <w:rsid w:val="002D756B"/>
    <w:rsid w:val="002D757D"/>
    <w:rsid w:val="002D75D1"/>
    <w:rsid w:val="002D75E8"/>
    <w:rsid w:val="002D7625"/>
    <w:rsid w:val="002D7636"/>
    <w:rsid w:val="002D76AF"/>
    <w:rsid w:val="002D7764"/>
    <w:rsid w:val="002D7778"/>
    <w:rsid w:val="002D7797"/>
    <w:rsid w:val="002D77D1"/>
    <w:rsid w:val="002D786E"/>
    <w:rsid w:val="002D7878"/>
    <w:rsid w:val="002D78A9"/>
    <w:rsid w:val="002D78BF"/>
    <w:rsid w:val="002D7992"/>
    <w:rsid w:val="002D7A7E"/>
    <w:rsid w:val="002D7B25"/>
    <w:rsid w:val="002D7C93"/>
    <w:rsid w:val="002D7D1C"/>
    <w:rsid w:val="002D7DAF"/>
    <w:rsid w:val="002D7DE1"/>
    <w:rsid w:val="002D7E79"/>
    <w:rsid w:val="002D7E7F"/>
    <w:rsid w:val="002D7E86"/>
    <w:rsid w:val="002D7EA7"/>
    <w:rsid w:val="002D7EB3"/>
    <w:rsid w:val="002D7F1A"/>
    <w:rsid w:val="002D7F25"/>
    <w:rsid w:val="002D7F50"/>
    <w:rsid w:val="002D7FD8"/>
    <w:rsid w:val="002E0043"/>
    <w:rsid w:val="002E00E6"/>
    <w:rsid w:val="002E0167"/>
    <w:rsid w:val="002E019C"/>
    <w:rsid w:val="002E01A8"/>
    <w:rsid w:val="002E01ED"/>
    <w:rsid w:val="002E02B7"/>
    <w:rsid w:val="002E02CD"/>
    <w:rsid w:val="002E03B0"/>
    <w:rsid w:val="002E03E4"/>
    <w:rsid w:val="002E03FC"/>
    <w:rsid w:val="002E041D"/>
    <w:rsid w:val="002E04A2"/>
    <w:rsid w:val="002E050B"/>
    <w:rsid w:val="002E057C"/>
    <w:rsid w:val="002E05D8"/>
    <w:rsid w:val="002E05E3"/>
    <w:rsid w:val="002E067D"/>
    <w:rsid w:val="002E0681"/>
    <w:rsid w:val="002E06BD"/>
    <w:rsid w:val="002E074E"/>
    <w:rsid w:val="002E0900"/>
    <w:rsid w:val="002E0935"/>
    <w:rsid w:val="002E09AF"/>
    <w:rsid w:val="002E0B55"/>
    <w:rsid w:val="002E0CF2"/>
    <w:rsid w:val="002E0D28"/>
    <w:rsid w:val="002E0D73"/>
    <w:rsid w:val="002E0DA6"/>
    <w:rsid w:val="002E0DAE"/>
    <w:rsid w:val="002E0DCF"/>
    <w:rsid w:val="002E0EA7"/>
    <w:rsid w:val="002E0F97"/>
    <w:rsid w:val="002E10A6"/>
    <w:rsid w:val="002E1268"/>
    <w:rsid w:val="002E12BE"/>
    <w:rsid w:val="002E1349"/>
    <w:rsid w:val="002E14A7"/>
    <w:rsid w:val="002E1500"/>
    <w:rsid w:val="002E152B"/>
    <w:rsid w:val="002E1534"/>
    <w:rsid w:val="002E155A"/>
    <w:rsid w:val="002E1583"/>
    <w:rsid w:val="002E171D"/>
    <w:rsid w:val="002E183E"/>
    <w:rsid w:val="002E193E"/>
    <w:rsid w:val="002E1993"/>
    <w:rsid w:val="002E19E4"/>
    <w:rsid w:val="002E1A09"/>
    <w:rsid w:val="002E1A85"/>
    <w:rsid w:val="002E1B03"/>
    <w:rsid w:val="002E1B9E"/>
    <w:rsid w:val="002E1BFD"/>
    <w:rsid w:val="002E1C15"/>
    <w:rsid w:val="002E1C74"/>
    <w:rsid w:val="002E1D23"/>
    <w:rsid w:val="002E1D5E"/>
    <w:rsid w:val="002E1DBE"/>
    <w:rsid w:val="002E1DFF"/>
    <w:rsid w:val="002E1E08"/>
    <w:rsid w:val="002E1E0E"/>
    <w:rsid w:val="002E1F27"/>
    <w:rsid w:val="002E1FCD"/>
    <w:rsid w:val="002E1FE5"/>
    <w:rsid w:val="002E2168"/>
    <w:rsid w:val="002E218E"/>
    <w:rsid w:val="002E2316"/>
    <w:rsid w:val="002E23A0"/>
    <w:rsid w:val="002E2560"/>
    <w:rsid w:val="002E2571"/>
    <w:rsid w:val="002E25A8"/>
    <w:rsid w:val="002E25D2"/>
    <w:rsid w:val="002E25EF"/>
    <w:rsid w:val="002E2724"/>
    <w:rsid w:val="002E2825"/>
    <w:rsid w:val="002E2856"/>
    <w:rsid w:val="002E2871"/>
    <w:rsid w:val="002E28A1"/>
    <w:rsid w:val="002E28B1"/>
    <w:rsid w:val="002E293B"/>
    <w:rsid w:val="002E299B"/>
    <w:rsid w:val="002E29E3"/>
    <w:rsid w:val="002E29EC"/>
    <w:rsid w:val="002E29ED"/>
    <w:rsid w:val="002E2A77"/>
    <w:rsid w:val="002E2ACC"/>
    <w:rsid w:val="002E2BAF"/>
    <w:rsid w:val="002E2CB6"/>
    <w:rsid w:val="002E2CC8"/>
    <w:rsid w:val="002E2D07"/>
    <w:rsid w:val="002E2D7A"/>
    <w:rsid w:val="002E2D9E"/>
    <w:rsid w:val="002E2DA3"/>
    <w:rsid w:val="002E2DEE"/>
    <w:rsid w:val="002E2EDF"/>
    <w:rsid w:val="002E2F49"/>
    <w:rsid w:val="002E2F67"/>
    <w:rsid w:val="002E2F9C"/>
    <w:rsid w:val="002E2FCB"/>
    <w:rsid w:val="002E3071"/>
    <w:rsid w:val="002E30EF"/>
    <w:rsid w:val="002E3125"/>
    <w:rsid w:val="002E3126"/>
    <w:rsid w:val="002E31B6"/>
    <w:rsid w:val="002E329A"/>
    <w:rsid w:val="002E336C"/>
    <w:rsid w:val="002E33ED"/>
    <w:rsid w:val="002E3497"/>
    <w:rsid w:val="002E350C"/>
    <w:rsid w:val="002E356A"/>
    <w:rsid w:val="002E35A6"/>
    <w:rsid w:val="002E3749"/>
    <w:rsid w:val="002E388A"/>
    <w:rsid w:val="002E39A9"/>
    <w:rsid w:val="002E39D5"/>
    <w:rsid w:val="002E3A6F"/>
    <w:rsid w:val="002E3AA2"/>
    <w:rsid w:val="002E3AA6"/>
    <w:rsid w:val="002E3AB5"/>
    <w:rsid w:val="002E3AF9"/>
    <w:rsid w:val="002E3B2B"/>
    <w:rsid w:val="002E3BA0"/>
    <w:rsid w:val="002E3BD4"/>
    <w:rsid w:val="002E3C72"/>
    <w:rsid w:val="002E3CBC"/>
    <w:rsid w:val="002E3D48"/>
    <w:rsid w:val="002E3D49"/>
    <w:rsid w:val="002E3DC8"/>
    <w:rsid w:val="002E3EC4"/>
    <w:rsid w:val="002E3F8F"/>
    <w:rsid w:val="002E3FBE"/>
    <w:rsid w:val="002E3FCE"/>
    <w:rsid w:val="002E40E1"/>
    <w:rsid w:val="002E4146"/>
    <w:rsid w:val="002E41A6"/>
    <w:rsid w:val="002E4232"/>
    <w:rsid w:val="002E42CA"/>
    <w:rsid w:val="002E43AC"/>
    <w:rsid w:val="002E43BE"/>
    <w:rsid w:val="002E43CE"/>
    <w:rsid w:val="002E43D2"/>
    <w:rsid w:val="002E4509"/>
    <w:rsid w:val="002E4550"/>
    <w:rsid w:val="002E4559"/>
    <w:rsid w:val="002E4575"/>
    <w:rsid w:val="002E46E3"/>
    <w:rsid w:val="002E4749"/>
    <w:rsid w:val="002E476F"/>
    <w:rsid w:val="002E478C"/>
    <w:rsid w:val="002E47A2"/>
    <w:rsid w:val="002E47C1"/>
    <w:rsid w:val="002E47D5"/>
    <w:rsid w:val="002E4816"/>
    <w:rsid w:val="002E48CF"/>
    <w:rsid w:val="002E4952"/>
    <w:rsid w:val="002E49A2"/>
    <w:rsid w:val="002E49ED"/>
    <w:rsid w:val="002E49FE"/>
    <w:rsid w:val="002E4B5A"/>
    <w:rsid w:val="002E4BC5"/>
    <w:rsid w:val="002E4C85"/>
    <w:rsid w:val="002E4CB2"/>
    <w:rsid w:val="002E4D1D"/>
    <w:rsid w:val="002E4D2C"/>
    <w:rsid w:val="002E4D7E"/>
    <w:rsid w:val="002E4EB1"/>
    <w:rsid w:val="002E4ED0"/>
    <w:rsid w:val="002E4F42"/>
    <w:rsid w:val="002E4FC1"/>
    <w:rsid w:val="002E4FCD"/>
    <w:rsid w:val="002E4FD0"/>
    <w:rsid w:val="002E4FFF"/>
    <w:rsid w:val="002E50A9"/>
    <w:rsid w:val="002E51AE"/>
    <w:rsid w:val="002E51FC"/>
    <w:rsid w:val="002E529A"/>
    <w:rsid w:val="002E52DD"/>
    <w:rsid w:val="002E5459"/>
    <w:rsid w:val="002E54F6"/>
    <w:rsid w:val="002E564F"/>
    <w:rsid w:val="002E5660"/>
    <w:rsid w:val="002E5663"/>
    <w:rsid w:val="002E566D"/>
    <w:rsid w:val="002E56CA"/>
    <w:rsid w:val="002E56FA"/>
    <w:rsid w:val="002E579D"/>
    <w:rsid w:val="002E57B7"/>
    <w:rsid w:val="002E57E9"/>
    <w:rsid w:val="002E585F"/>
    <w:rsid w:val="002E586D"/>
    <w:rsid w:val="002E5902"/>
    <w:rsid w:val="002E59DF"/>
    <w:rsid w:val="002E5B8B"/>
    <w:rsid w:val="002E5C54"/>
    <w:rsid w:val="002E5C86"/>
    <w:rsid w:val="002E5CE3"/>
    <w:rsid w:val="002E5CE9"/>
    <w:rsid w:val="002E5D1F"/>
    <w:rsid w:val="002E5DF7"/>
    <w:rsid w:val="002E5E40"/>
    <w:rsid w:val="002E5E8E"/>
    <w:rsid w:val="002E5EA9"/>
    <w:rsid w:val="002E5EBB"/>
    <w:rsid w:val="002E600E"/>
    <w:rsid w:val="002E613B"/>
    <w:rsid w:val="002E613E"/>
    <w:rsid w:val="002E6152"/>
    <w:rsid w:val="002E6160"/>
    <w:rsid w:val="002E61BA"/>
    <w:rsid w:val="002E62DD"/>
    <w:rsid w:val="002E6328"/>
    <w:rsid w:val="002E642C"/>
    <w:rsid w:val="002E6583"/>
    <w:rsid w:val="002E65BA"/>
    <w:rsid w:val="002E6659"/>
    <w:rsid w:val="002E66BA"/>
    <w:rsid w:val="002E67B6"/>
    <w:rsid w:val="002E67FE"/>
    <w:rsid w:val="002E6822"/>
    <w:rsid w:val="002E68BA"/>
    <w:rsid w:val="002E68D2"/>
    <w:rsid w:val="002E690D"/>
    <w:rsid w:val="002E6968"/>
    <w:rsid w:val="002E6977"/>
    <w:rsid w:val="002E69D0"/>
    <w:rsid w:val="002E69E3"/>
    <w:rsid w:val="002E6AC6"/>
    <w:rsid w:val="002E6B26"/>
    <w:rsid w:val="002E6B2F"/>
    <w:rsid w:val="002E6C0F"/>
    <w:rsid w:val="002E6CD7"/>
    <w:rsid w:val="002E6D1C"/>
    <w:rsid w:val="002E6D1F"/>
    <w:rsid w:val="002E6D31"/>
    <w:rsid w:val="002E6D96"/>
    <w:rsid w:val="002E6DBA"/>
    <w:rsid w:val="002E6EAD"/>
    <w:rsid w:val="002E6F11"/>
    <w:rsid w:val="002E6F77"/>
    <w:rsid w:val="002E704E"/>
    <w:rsid w:val="002E709B"/>
    <w:rsid w:val="002E70BC"/>
    <w:rsid w:val="002E70C4"/>
    <w:rsid w:val="002E70CD"/>
    <w:rsid w:val="002E7131"/>
    <w:rsid w:val="002E7253"/>
    <w:rsid w:val="002E72C4"/>
    <w:rsid w:val="002E72D3"/>
    <w:rsid w:val="002E73B5"/>
    <w:rsid w:val="002E740A"/>
    <w:rsid w:val="002E7446"/>
    <w:rsid w:val="002E749B"/>
    <w:rsid w:val="002E74A8"/>
    <w:rsid w:val="002E74CF"/>
    <w:rsid w:val="002E74DC"/>
    <w:rsid w:val="002E7535"/>
    <w:rsid w:val="002E75D2"/>
    <w:rsid w:val="002E764D"/>
    <w:rsid w:val="002E76FB"/>
    <w:rsid w:val="002E7752"/>
    <w:rsid w:val="002E77E9"/>
    <w:rsid w:val="002E7814"/>
    <w:rsid w:val="002E7839"/>
    <w:rsid w:val="002E7847"/>
    <w:rsid w:val="002E7863"/>
    <w:rsid w:val="002E7895"/>
    <w:rsid w:val="002E78B3"/>
    <w:rsid w:val="002E79A9"/>
    <w:rsid w:val="002E79BE"/>
    <w:rsid w:val="002E79FB"/>
    <w:rsid w:val="002E7A67"/>
    <w:rsid w:val="002E7A9B"/>
    <w:rsid w:val="002E7B72"/>
    <w:rsid w:val="002E7B7E"/>
    <w:rsid w:val="002E7B87"/>
    <w:rsid w:val="002E7BBB"/>
    <w:rsid w:val="002E7C2A"/>
    <w:rsid w:val="002E7CD9"/>
    <w:rsid w:val="002E7E34"/>
    <w:rsid w:val="002E7EE4"/>
    <w:rsid w:val="002E7EF9"/>
    <w:rsid w:val="002E7FD0"/>
    <w:rsid w:val="002E7FD5"/>
    <w:rsid w:val="002F0083"/>
    <w:rsid w:val="002F008F"/>
    <w:rsid w:val="002F0107"/>
    <w:rsid w:val="002F015C"/>
    <w:rsid w:val="002F019D"/>
    <w:rsid w:val="002F0249"/>
    <w:rsid w:val="002F0250"/>
    <w:rsid w:val="002F0292"/>
    <w:rsid w:val="002F02B8"/>
    <w:rsid w:val="002F02BF"/>
    <w:rsid w:val="002F02D2"/>
    <w:rsid w:val="002F03F1"/>
    <w:rsid w:val="002F0484"/>
    <w:rsid w:val="002F0630"/>
    <w:rsid w:val="002F0645"/>
    <w:rsid w:val="002F0663"/>
    <w:rsid w:val="002F0686"/>
    <w:rsid w:val="002F06AA"/>
    <w:rsid w:val="002F072B"/>
    <w:rsid w:val="002F0771"/>
    <w:rsid w:val="002F0821"/>
    <w:rsid w:val="002F0825"/>
    <w:rsid w:val="002F08F5"/>
    <w:rsid w:val="002F0929"/>
    <w:rsid w:val="002F099C"/>
    <w:rsid w:val="002F09D6"/>
    <w:rsid w:val="002F09D9"/>
    <w:rsid w:val="002F0A0C"/>
    <w:rsid w:val="002F0AC3"/>
    <w:rsid w:val="002F0AFB"/>
    <w:rsid w:val="002F0B74"/>
    <w:rsid w:val="002F0BA9"/>
    <w:rsid w:val="002F0C2D"/>
    <w:rsid w:val="002F0C42"/>
    <w:rsid w:val="002F0C54"/>
    <w:rsid w:val="002F0C73"/>
    <w:rsid w:val="002F0CA4"/>
    <w:rsid w:val="002F0CBA"/>
    <w:rsid w:val="002F0D00"/>
    <w:rsid w:val="002F0D29"/>
    <w:rsid w:val="002F0E82"/>
    <w:rsid w:val="002F0E94"/>
    <w:rsid w:val="002F0EF6"/>
    <w:rsid w:val="002F0F0A"/>
    <w:rsid w:val="002F0F11"/>
    <w:rsid w:val="002F0F56"/>
    <w:rsid w:val="002F10DC"/>
    <w:rsid w:val="002F113A"/>
    <w:rsid w:val="002F1148"/>
    <w:rsid w:val="002F11CB"/>
    <w:rsid w:val="002F1203"/>
    <w:rsid w:val="002F127C"/>
    <w:rsid w:val="002F12A8"/>
    <w:rsid w:val="002F12DD"/>
    <w:rsid w:val="002F1325"/>
    <w:rsid w:val="002F1371"/>
    <w:rsid w:val="002F13C1"/>
    <w:rsid w:val="002F141F"/>
    <w:rsid w:val="002F14D1"/>
    <w:rsid w:val="002F157E"/>
    <w:rsid w:val="002F15EB"/>
    <w:rsid w:val="002F1607"/>
    <w:rsid w:val="002F1661"/>
    <w:rsid w:val="002F171C"/>
    <w:rsid w:val="002F1779"/>
    <w:rsid w:val="002F17C8"/>
    <w:rsid w:val="002F1885"/>
    <w:rsid w:val="002F18DB"/>
    <w:rsid w:val="002F18F9"/>
    <w:rsid w:val="002F19C3"/>
    <w:rsid w:val="002F1A02"/>
    <w:rsid w:val="002F1A51"/>
    <w:rsid w:val="002F1A64"/>
    <w:rsid w:val="002F1ABE"/>
    <w:rsid w:val="002F1B69"/>
    <w:rsid w:val="002F1B73"/>
    <w:rsid w:val="002F1D7E"/>
    <w:rsid w:val="002F1DBD"/>
    <w:rsid w:val="002F1DEE"/>
    <w:rsid w:val="002F1E66"/>
    <w:rsid w:val="002F1E89"/>
    <w:rsid w:val="002F1ED5"/>
    <w:rsid w:val="002F1EE3"/>
    <w:rsid w:val="002F1FE9"/>
    <w:rsid w:val="002F2012"/>
    <w:rsid w:val="002F201F"/>
    <w:rsid w:val="002F2104"/>
    <w:rsid w:val="002F2154"/>
    <w:rsid w:val="002F21BD"/>
    <w:rsid w:val="002F21D6"/>
    <w:rsid w:val="002F2227"/>
    <w:rsid w:val="002F22B2"/>
    <w:rsid w:val="002F2407"/>
    <w:rsid w:val="002F248D"/>
    <w:rsid w:val="002F2552"/>
    <w:rsid w:val="002F2581"/>
    <w:rsid w:val="002F2598"/>
    <w:rsid w:val="002F261B"/>
    <w:rsid w:val="002F27B9"/>
    <w:rsid w:val="002F27FF"/>
    <w:rsid w:val="002F285A"/>
    <w:rsid w:val="002F2884"/>
    <w:rsid w:val="002F2922"/>
    <w:rsid w:val="002F2952"/>
    <w:rsid w:val="002F2990"/>
    <w:rsid w:val="002F2A2E"/>
    <w:rsid w:val="002F2AFB"/>
    <w:rsid w:val="002F2B56"/>
    <w:rsid w:val="002F2BEC"/>
    <w:rsid w:val="002F2C2B"/>
    <w:rsid w:val="002F2E2E"/>
    <w:rsid w:val="002F2E41"/>
    <w:rsid w:val="002F2EA0"/>
    <w:rsid w:val="002F2F11"/>
    <w:rsid w:val="002F2F5B"/>
    <w:rsid w:val="002F3215"/>
    <w:rsid w:val="002F3254"/>
    <w:rsid w:val="002F3355"/>
    <w:rsid w:val="002F3367"/>
    <w:rsid w:val="002F3413"/>
    <w:rsid w:val="002F35B2"/>
    <w:rsid w:val="002F3697"/>
    <w:rsid w:val="002F3838"/>
    <w:rsid w:val="002F3916"/>
    <w:rsid w:val="002F394C"/>
    <w:rsid w:val="002F395F"/>
    <w:rsid w:val="002F398F"/>
    <w:rsid w:val="002F3A5B"/>
    <w:rsid w:val="002F3ACE"/>
    <w:rsid w:val="002F3B0C"/>
    <w:rsid w:val="002F3B29"/>
    <w:rsid w:val="002F3C08"/>
    <w:rsid w:val="002F3C54"/>
    <w:rsid w:val="002F3C5F"/>
    <w:rsid w:val="002F3CB4"/>
    <w:rsid w:val="002F3D87"/>
    <w:rsid w:val="002F3DB0"/>
    <w:rsid w:val="002F3DD7"/>
    <w:rsid w:val="002F3ED1"/>
    <w:rsid w:val="002F408A"/>
    <w:rsid w:val="002F40F7"/>
    <w:rsid w:val="002F412C"/>
    <w:rsid w:val="002F417B"/>
    <w:rsid w:val="002F41CD"/>
    <w:rsid w:val="002F42CD"/>
    <w:rsid w:val="002F43FC"/>
    <w:rsid w:val="002F44DF"/>
    <w:rsid w:val="002F454D"/>
    <w:rsid w:val="002F45B6"/>
    <w:rsid w:val="002F45CE"/>
    <w:rsid w:val="002F4687"/>
    <w:rsid w:val="002F46DA"/>
    <w:rsid w:val="002F46E4"/>
    <w:rsid w:val="002F4704"/>
    <w:rsid w:val="002F471B"/>
    <w:rsid w:val="002F489F"/>
    <w:rsid w:val="002F4969"/>
    <w:rsid w:val="002F49B6"/>
    <w:rsid w:val="002F49E7"/>
    <w:rsid w:val="002F4A28"/>
    <w:rsid w:val="002F4A62"/>
    <w:rsid w:val="002F4AAF"/>
    <w:rsid w:val="002F4AE0"/>
    <w:rsid w:val="002F4B7F"/>
    <w:rsid w:val="002F4C8D"/>
    <w:rsid w:val="002F4CBF"/>
    <w:rsid w:val="002F4CE5"/>
    <w:rsid w:val="002F4D33"/>
    <w:rsid w:val="002F4EB1"/>
    <w:rsid w:val="002F4F6A"/>
    <w:rsid w:val="002F4FC4"/>
    <w:rsid w:val="002F4FED"/>
    <w:rsid w:val="002F5073"/>
    <w:rsid w:val="002F50EE"/>
    <w:rsid w:val="002F51D0"/>
    <w:rsid w:val="002F51F6"/>
    <w:rsid w:val="002F52E8"/>
    <w:rsid w:val="002F5398"/>
    <w:rsid w:val="002F55C5"/>
    <w:rsid w:val="002F5603"/>
    <w:rsid w:val="002F5718"/>
    <w:rsid w:val="002F57AC"/>
    <w:rsid w:val="002F57EE"/>
    <w:rsid w:val="002F5860"/>
    <w:rsid w:val="002F58AF"/>
    <w:rsid w:val="002F5923"/>
    <w:rsid w:val="002F59B1"/>
    <w:rsid w:val="002F5A11"/>
    <w:rsid w:val="002F5A87"/>
    <w:rsid w:val="002F5AA8"/>
    <w:rsid w:val="002F5B4F"/>
    <w:rsid w:val="002F5BB0"/>
    <w:rsid w:val="002F5C0B"/>
    <w:rsid w:val="002F5CAB"/>
    <w:rsid w:val="002F5CF4"/>
    <w:rsid w:val="002F5D08"/>
    <w:rsid w:val="002F5D22"/>
    <w:rsid w:val="002F5EFE"/>
    <w:rsid w:val="002F5F66"/>
    <w:rsid w:val="002F60A7"/>
    <w:rsid w:val="002F615B"/>
    <w:rsid w:val="002F617B"/>
    <w:rsid w:val="002F61D6"/>
    <w:rsid w:val="002F6325"/>
    <w:rsid w:val="002F6400"/>
    <w:rsid w:val="002F64BE"/>
    <w:rsid w:val="002F66B7"/>
    <w:rsid w:val="002F697F"/>
    <w:rsid w:val="002F6A57"/>
    <w:rsid w:val="002F6B2A"/>
    <w:rsid w:val="002F6B5E"/>
    <w:rsid w:val="002F6C1C"/>
    <w:rsid w:val="002F6C5B"/>
    <w:rsid w:val="002F6C73"/>
    <w:rsid w:val="002F6CA0"/>
    <w:rsid w:val="002F6CC8"/>
    <w:rsid w:val="002F6F40"/>
    <w:rsid w:val="002F6F74"/>
    <w:rsid w:val="002F6F76"/>
    <w:rsid w:val="002F6FF7"/>
    <w:rsid w:val="002F707C"/>
    <w:rsid w:val="002F714A"/>
    <w:rsid w:val="002F7155"/>
    <w:rsid w:val="002F7168"/>
    <w:rsid w:val="002F718B"/>
    <w:rsid w:val="002F7212"/>
    <w:rsid w:val="002F7238"/>
    <w:rsid w:val="002F7262"/>
    <w:rsid w:val="002F7264"/>
    <w:rsid w:val="002F72DF"/>
    <w:rsid w:val="002F7325"/>
    <w:rsid w:val="002F7336"/>
    <w:rsid w:val="002F7377"/>
    <w:rsid w:val="002F74B3"/>
    <w:rsid w:val="002F7577"/>
    <w:rsid w:val="002F75C1"/>
    <w:rsid w:val="002F75E0"/>
    <w:rsid w:val="002F7607"/>
    <w:rsid w:val="002F765D"/>
    <w:rsid w:val="002F76D3"/>
    <w:rsid w:val="002F7716"/>
    <w:rsid w:val="002F773A"/>
    <w:rsid w:val="002F7862"/>
    <w:rsid w:val="002F7890"/>
    <w:rsid w:val="002F7896"/>
    <w:rsid w:val="002F78FF"/>
    <w:rsid w:val="002F79BA"/>
    <w:rsid w:val="002F79CB"/>
    <w:rsid w:val="002F7A06"/>
    <w:rsid w:val="002F7A27"/>
    <w:rsid w:val="002F7AB2"/>
    <w:rsid w:val="002F7B09"/>
    <w:rsid w:val="002F7C0B"/>
    <w:rsid w:val="002F7D4B"/>
    <w:rsid w:val="002F7DF6"/>
    <w:rsid w:val="002F7E2E"/>
    <w:rsid w:val="002F7F7C"/>
    <w:rsid w:val="002F7F8F"/>
    <w:rsid w:val="00300084"/>
    <w:rsid w:val="003001FE"/>
    <w:rsid w:val="00300248"/>
    <w:rsid w:val="003002A7"/>
    <w:rsid w:val="00300365"/>
    <w:rsid w:val="003004AB"/>
    <w:rsid w:val="003004AD"/>
    <w:rsid w:val="0030051E"/>
    <w:rsid w:val="00300542"/>
    <w:rsid w:val="00300555"/>
    <w:rsid w:val="0030057F"/>
    <w:rsid w:val="003006DE"/>
    <w:rsid w:val="003006F6"/>
    <w:rsid w:val="00300753"/>
    <w:rsid w:val="0030077F"/>
    <w:rsid w:val="0030079D"/>
    <w:rsid w:val="003009E1"/>
    <w:rsid w:val="00300A6D"/>
    <w:rsid w:val="00300BE6"/>
    <w:rsid w:val="00300C40"/>
    <w:rsid w:val="00300CB1"/>
    <w:rsid w:val="00300CF3"/>
    <w:rsid w:val="00300CF5"/>
    <w:rsid w:val="00300D66"/>
    <w:rsid w:val="00300D7F"/>
    <w:rsid w:val="00300D85"/>
    <w:rsid w:val="00300DB3"/>
    <w:rsid w:val="00300DFA"/>
    <w:rsid w:val="00300E45"/>
    <w:rsid w:val="00300E67"/>
    <w:rsid w:val="00300F27"/>
    <w:rsid w:val="00300F2B"/>
    <w:rsid w:val="0030113A"/>
    <w:rsid w:val="00301240"/>
    <w:rsid w:val="003012B2"/>
    <w:rsid w:val="00301448"/>
    <w:rsid w:val="003014E4"/>
    <w:rsid w:val="0030160F"/>
    <w:rsid w:val="00301615"/>
    <w:rsid w:val="0030162E"/>
    <w:rsid w:val="0030163F"/>
    <w:rsid w:val="003016CA"/>
    <w:rsid w:val="0030172D"/>
    <w:rsid w:val="00301751"/>
    <w:rsid w:val="00301797"/>
    <w:rsid w:val="003017BC"/>
    <w:rsid w:val="0030187F"/>
    <w:rsid w:val="00301A54"/>
    <w:rsid w:val="00301A6A"/>
    <w:rsid w:val="00301A7B"/>
    <w:rsid w:val="00301AE7"/>
    <w:rsid w:val="00301AFD"/>
    <w:rsid w:val="00301B05"/>
    <w:rsid w:val="00301CB3"/>
    <w:rsid w:val="00301E03"/>
    <w:rsid w:val="00301E4D"/>
    <w:rsid w:val="00301EFB"/>
    <w:rsid w:val="00301F25"/>
    <w:rsid w:val="0030206A"/>
    <w:rsid w:val="003020D3"/>
    <w:rsid w:val="0030212B"/>
    <w:rsid w:val="0030219F"/>
    <w:rsid w:val="00302204"/>
    <w:rsid w:val="00302259"/>
    <w:rsid w:val="00302412"/>
    <w:rsid w:val="00302427"/>
    <w:rsid w:val="00302481"/>
    <w:rsid w:val="003024BA"/>
    <w:rsid w:val="003024FD"/>
    <w:rsid w:val="00302528"/>
    <w:rsid w:val="003025AF"/>
    <w:rsid w:val="00302644"/>
    <w:rsid w:val="003026AF"/>
    <w:rsid w:val="00302712"/>
    <w:rsid w:val="0030273F"/>
    <w:rsid w:val="0030275B"/>
    <w:rsid w:val="003029DD"/>
    <w:rsid w:val="00302A1D"/>
    <w:rsid w:val="00302A51"/>
    <w:rsid w:val="00302AB9"/>
    <w:rsid w:val="00302B47"/>
    <w:rsid w:val="00302BB0"/>
    <w:rsid w:val="00302D78"/>
    <w:rsid w:val="00302D89"/>
    <w:rsid w:val="00302DD1"/>
    <w:rsid w:val="00302F0F"/>
    <w:rsid w:val="00302F95"/>
    <w:rsid w:val="00302FA9"/>
    <w:rsid w:val="00302FC0"/>
    <w:rsid w:val="00303043"/>
    <w:rsid w:val="003030D7"/>
    <w:rsid w:val="00303142"/>
    <w:rsid w:val="00303200"/>
    <w:rsid w:val="00303270"/>
    <w:rsid w:val="00303335"/>
    <w:rsid w:val="003033FF"/>
    <w:rsid w:val="003035F6"/>
    <w:rsid w:val="0030365E"/>
    <w:rsid w:val="00303706"/>
    <w:rsid w:val="0030372C"/>
    <w:rsid w:val="0030378C"/>
    <w:rsid w:val="003037B8"/>
    <w:rsid w:val="0030384C"/>
    <w:rsid w:val="00303867"/>
    <w:rsid w:val="00303891"/>
    <w:rsid w:val="0030389D"/>
    <w:rsid w:val="003039DF"/>
    <w:rsid w:val="00303A64"/>
    <w:rsid w:val="00303A81"/>
    <w:rsid w:val="00303AFB"/>
    <w:rsid w:val="00303B31"/>
    <w:rsid w:val="00303B7D"/>
    <w:rsid w:val="00303BD2"/>
    <w:rsid w:val="00303C13"/>
    <w:rsid w:val="00303C34"/>
    <w:rsid w:val="00303E45"/>
    <w:rsid w:val="00303E85"/>
    <w:rsid w:val="00303EA5"/>
    <w:rsid w:val="00303EED"/>
    <w:rsid w:val="00303F09"/>
    <w:rsid w:val="00303F25"/>
    <w:rsid w:val="00303F41"/>
    <w:rsid w:val="00303F97"/>
    <w:rsid w:val="00303FC0"/>
    <w:rsid w:val="00303FDD"/>
    <w:rsid w:val="00303FFC"/>
    <w:rsid w:val="0030401A"/>
    <w:rsid w:val="00304054"/>
    <w:rsid w:val="00304149"/>
    <w:rsid w:val="0030419E"/>
    <w:rsid w:val="003042E8"/>
    <w:rsid w:val="0030431D"/>
    <w:rsid w:val="00304488"/>
    <w:rsid w:val="003044C9"/>
    <w:rsid w:val="003044D9"/>
    <w:rsid w:val="003044E7"/>
    <w:rsid w:val="0030450D"/>
    <w:rsid w:val="00304573"/>
    <w:rsid w:val="003045D8"/>
    <w:rsid w:val="003045E8"/>
    <w:rsid w:val="003045EC"/>
    <w:rsid w:val="00304600"/>
    <w:rsid w:val="003046BE"/>
    <w:rsid w:val="0030476C"/>
    <w:rsid w:val="003047E7"/>
    <w:rsid w:val="00304837"/>
    <w:rsid w:val="0030485E"/>
    <w:rsid w:val="003048E8"/>
    <w:rsid w:val="00304974"/>
    <w:rsid w:val="00304986"/>
    <w:rsid w:val="00304A60"/>
    <w:rsid w:val="00304BA2"/>
    <w:rsid w:val="00304BF3"/>
    <w:rsid w:val="00304C80"/>
    <w:rsid w:val="00304F4A"/>
    <w:rsid w:val="00304FA8"/>
    <w:rsid w:val="00305015"/>
    <w:rsid w:val="0030504E"/>
    <w:rsid w:val="0030505F"/>
    <w:rsid w:val="003051DE"/>
    <w:rsid w:val="00305243"/>
    <w:rsid w:val="0030530D"/>
    <w:rsid w:val="003053FA"/>
    <w:rsid w:val="00305411"/>
    <w:rsid w:val="003054DD"/>
    <w:rsid w:val="00305500"/>
    <w:rsid w:val="0030551A"/>
    <w:rsid w:val="0030554A"/>
    <w:rsid w:val="003055BD"/>
    <w:rsid w:val="0030563C"/>
    <w:rsid w:val="00305658"/>
    <w:rsid w:val="003056E7"/>
    <w:rsid w:val="0030572A"/>
    <w:rsid w:val="00305737"/>
    <w:rsid w:val="0030573C"/>
    <w:rsid w:val="00305764"/>
    <w:rsid w:val="003057A6"/>
    <w:rsid w:val="003058B4"/>
    <w:rsid w:val="003058EE"/>
    <w:rsid w:val="00305920"/>
    <w:rsid w:val="00305962"/>
    <w:rsid w:val="003059B0"/>
    <w:rsid w:val="00305A23"/>
    <w:rsid w:val="00305AA5"/>
    <w:rsid w:val="00305AD9"/>
    <w:rsid w:val="00305B5C"/>
    <w:rsid w:val="00305BFA"/>
    <w:rsid w:val="00305C64"/>
    <w:rsid w:val="00305CDD"/>
    <w:rsid w:val="00305D47"/>
    <w:rsid w:val="00305D82"/>
    <w:rsid w:val="00305D9D"/>
    <w:rsid w:val="00305DFF"/>
    <w:rsid w:val="00305E2F"/>
    <w:rsid w:val="00305EAE"/>
    <w:rsid w:val="00305F19"/>
    <w:rsid w:val="00306056"/>
    <w:rsid w:val="003060F0"/>
    <w:rsid w:val="00306192"/>
    <w:rsid w:val="003061D0"/>
    <w:rsid w:val="003061D9"/>
    <w:rsid w:val="00306276"/>
    <w:rsid w:val="0030630F"/>
    <w:rsid w:val="00306428"/>
    <w:rsid w:val="00306445"/>
    <w:rsid w:val="00306450"/>
    <w:rsid w:val="003064F8"/>
    <w:rsid w:val="0030651D"/>
    <w:rsid w:val="0030654D"/>
    <w:rsid w:val="00306569"/>
    <w:rsid w:val="0030657D"/>
    <w:rsid w:val="003065E9"/>
    <w:rsid w:val="00306626"/>
    <w:rsid w:val="00306708"/>
    <w:rsid w:val="00306768"/>
    <w:rsid w:val="003067E1"/>
    <w:rsid w:val="003067F3"/>
    <w:rsid w:val="0030685B"/>
    <w:rsid w:val="00306902"/>
    <w:rsid w:val="00306938"/>
    <w:rsid w:val="003069B0"/>
    <w:rsid w:val="00306A3A"/>
    <w:rsid w:val="00306A50"/>
    <w:rsid w:val="00306AFF"/>
    <w:rsid w:val="00306BAD"/>
    <w:rsid w:val="00306BC0"/>
    <w:rsid w:val="00306BF1"/>
    <w:rsid w:val="00306C58"/>
    <w:rsid w:val="00306C8D"/>
    <w:rsid w:val="00306C90"/>
    <w:rsid w:val="00306D20"/>
    <w:rsid w:val="00306D73"/>
    <w:rsid w:val="00306D81"/>
    <w:rsid w:val="00306DF7"/>
    <w:rsid w:val="00306DFE"/>
    <w:rsid w:val="00306E3C"/>
    <w:rsid w:val="00306E7B"/>
    <w:rsid w:val="00306EDB"/>
    <w:rsid w:val="00306F87"/>
    <w:rsid w:val="00307071"/>
    <w:rsid w:val="003070F9"/>
    <w:rsid w:val="0030716D"/>
    <w:rsid w:val="0030718B"/>
    <w:rsid w:val="00307231"/>
    <w:rsid w:val="00307264"/>
    <w:rsid w:val="0030726D"/>
    <w:rsid w:val="0030728A"/>
    <w:rsid w:val="003072E4"/>
    <w:rsid w:val="003072F1"/>
    <w:rsid w:val="00307328"/>
    <w:rsid w:val="003073D4"/>
    <w:rsid w:val="0030742C"/>
    <w:rsid w:val="003075C2"/>
    <w:rsid w:val="0030764F"/>
    <w:rsid w:val="0030766D"/>
    <w:rsid w:val="003076EB"/>
    <w:rsid w:val="003077C9"/>
    <w:rsid w:val="00307825"/>
    <w:rsid w:val="003078BA"/>
    <w:rsid w:val="003078CD"/>
    <w:rsid w:val="00307910"/>
    <w:rsid w:val="0030799A"/>
    <w:rsid w:val="003079E9"/>
    <w:rsid w:val="00307A25"/>
    <w:rsid w:val="00307B33"/>
    <w:rsid w:val="00307B47"/>
    <w:rsid w:val="00307B48"/>
    <w:rsid w:val="00307DC9"/>
    <w:rsid w:val="00307DE8"/>
    <w:rsid w:val="00307DFA"/>
    <w:rsid w:val="00307E0B"/>
    <w:rsid w:val="00307E14"/>
    <w:rsid w:val="00307EC5"/>
    <w:rsid w:val="00307FD3"/>
    <w:rsid w:val="0030836C"/>
    <w:rsid w:val="0031007F"/>
    <w:rsid w:val="00310085"/>
    <w:rsid w:val="003100C1"/>
    <w:rsid w:val="0031024B"/>
    <w:rsid w:val="0031029C"/>
    <w:rsid w:val="003102A7"/>
    <w:rsid w:val="00310458"/>
    <w:rsid w:val="0031049D"/>
    <w:rsid w:val="003104C2"/>
    <w:rsid w:val="003104F5"/>
    <w:rsid w:val="0031052E"/>
    <w:rsid w:val="003105B5"/>
    <w:rsid w:val="003105C7"/>
    <w:rsid w:val="003105D0"/>
    <w:rsid w:val="003105DF"/>
    <w:rsid w:val="003106A9"/>
    <w:rsid w:val="00310731"/>
    <w:rsid w:val="00310757"/>
    <w:rsid w:val="0031079C"/>
    <w:rsid w:val="00310868"/>
    <w:rsid w:val="003109BD"/>
    <w:rsid w:val="00310A4D"/>
    <w:rsid w:val="00310AD0"/>
    <w:rsid w:val="00310AE4"/>
    <w:rsid w:val="00310B23"/>
    <w:rsid w:val="00310B7B"/>
    <w:rsid w:val="00310BAE"/>
    <w:rsid w:val="00310BB0"/>
    <w:rsid w:val="00310C2A"/>
    <w:rsid w:val="00310C47"/>
    <w:rsid w:val="00310C84"/>
    <w:rsid w:val="00310C8D"/>
    <w:rsid w:val="00310E73"/>
    <w:rsid w:val="00310ECF"/>
    <w:rsid w:val="00310FD8"/>
    <w:rsid w:val="003110AD"/>
    <w:rsid w:val="003110CC"/>
    <w:rsid w:val="00311218"/>
    <w:rsid w:val="0031124F"/>
    <w:rsid w:val="003112FD"/>
    <w:rsid w:val="00311339"/>
    <w:rsid w:val="00311362"/>
    <w:rsid w:val="00311381"/>
    <w:rsid w:val="00311406"/>
    <w:rsid w:val="00311411"/>
    <w:rsid w:val="003114C5"/>
    <w:rsid w:val="00311597"/>
    <w:rsid w:val="00311674"/>
    <w:rsid w:val="0031167B"/>
    <w:rsid w:val="00311729"/>
    <w:rsid w:val="00311747"/>
    <w:rsid w:val="00311767"/>
    <w:rsid w:val="00311815"/>
    <w:rsid w:val="00311831"/>
    <w:rsid w:val="00311947"/>
    <w:rsid w:val="003119B5"/>
    <w:rsid w:val="00311A12"/>
    <w:rsid w:val="00311AA9"/>
    <w:rsid w:val="00311B83"/>
    <w:rsid w:val="00311BD7"/>
    <w:rsid w:val="00311CF8"/>
    <w:rsid w:val="0031200B"/>
    <w:rsid w:val="0031214E"/>
    <w:rsid w:val="00312174"/>
    <w:rsid w:val="00312259"/>
    <w:rsid w:val="0031227B"/>
    <w:rsid w:val="00312298"/>
    <w:rsid w:val="00312320"/>
    <w:rsid w:val="0031239C"/>
    <w:rsid w:val="0031241E"/>
    <w:rsid w:val="00312423"/>
    <w:rsid w:val="0031243A"/>
    <w:rsid w:val="00312449"/>
    <w:rsid w:val="003124B4"/>
    <w:rsid w:val="00312505"/>
    <w:rsid w:val="00312533"/>
    <w:rsid w:val="0031256C"/>
    <w:rsid w:val="003125B3"/>
    <w:rsid w:val="003125D9"/>
    <w:rsid w:val="00312689"/>
    <w:rsid w:val="003126A1"/>
    <w:rsid w:val="003126A4"/>
    <w:rsid w:val="003126B0"/>
    <w:rsid w:val="003126E0"/>
    <w:rsid w:val="003126EC"/>
    <w:rsid w:val="00312763"/>
    <w:rsid w:val="003128EC"/>
    <w:rsid w:val="003128F1"/>
    <w:rsid w:val="00312906"/>
    <w:rsid w:val="003129BD"/>
    <w:rsid w:val="003129EE"/>
    <w:rsid w:val="00312A01"/>
    <w:rsid w:val="00312B30"/>
    <w:rsid w:val="00312BEC"/>
    <w:rsid w:val="00312C87"/>
    <w:rsid w:val="00312D34"/>
    <w:rsid w:val="00312D66"/>
    <w:rsid w:val="00312DE9"/>
    <w:rsid w:val="00312E1A"/>
    <w:rsid w:val="00312E4D"/>
    <w:rsid w:val="00312F3F"/>
    <w:rsid w:val="00312F9E"/>
    <w:rsid w:val="00312FAE"/>
    <w:rsid w:val="00312FC9"/>
    <w:rsid w:val="0031307A"/>
    <w:rsid w:val="00313216"/>
    <w:rsid w:val="003132B1"/>
    <w:rsid w:val="00313316"/>
    <w:rsid w:val="0031337E"/>
    <w:rsid w:val="00313381"/>
    <w:rsid w:val="003134E9"/>
    <w:rsid w:val="003134FD"/>
    <w:rsid w:val="0031350D"/>
    <w:rsid w:val="00313526"/>
    <w:rsid w:val="00313527"/>
    <w:rsid w:val="00313569"/>
    <w:rsid w:val="003135A2"/>
    <w:rsid w:val="003135C3"/>
    <w:rsid w:val="003136D4"/>
    <w:rsid w:val="00313766"/>
    <w:rsid w:val="003137DE"/>
    <w:rsid w:val="003137EB"/>
    <w:rsid w:val="003138AB"/>
    <w:rsid w:val="003138B8"/>
    <w:rsid w:val="003138F5"/>
    <w:rsid w:val="00313AB4"/>
    <w:rsid w:val="00313BE7"/>
    <w:rsid w:val="00313C22"/>
    <w:rsid w:val="00313C52"/>
    <w:rsid w:val="00313C63"/>
    <w:rsid w:val="00313C79"/>
    <w:rsid w:val="00313CD2"/>
    <w:rsid w:val="00313D94"/>
    <w:rsid w:val="00313E1E"/>
    <w:rsid w:val="00313E60"/>
    <w:rsid w:val="00313F2F"/>
    <w:rsid w:val="00313F6F"/>
    <w:rsid w:val="00313FF7"/>
    <w:rsid w:val="00313FFB"/>
    <w:rsid w:val="0031410D"/>
    <w:rsid w:val="00314197"/>
    <w:rsid w:val="003142A6"/>
    <w:rsid w:val="003143B1"/>
    <w:rsid w:val="00314407"/>
    <w:rsid w:val="003144A9"/>
    <w:rsid w:val="003144D4"/>
    <w:rsid w:val="003144D6"/>
    <w:rsid w:val="00314561"/>
    <w:rsid w:val="003145F5"/>
    <w:rsid w:val="00314691"/>
    <w:rsid w:val="003146DF"/>
    <w:rsid w:val="003146F9"/>
    <w:rsid w:val="0031475A"/>
    <w:rsid w:val="003147E6"/>
    <w:rsid w:val="00314927"/>
    <w:rsid w:val="00314934"/>
    <w:rsid w:val="00314983"/>
    <w:rsid w:val="00314A58"/>
    <w:rsid w:val="00314B14"/>
    <w:rsid w:val="00314B77"/>
    <w:rsid w:val="00314C03"/>
    <w:rsid w:val="00314C28"/>
    <w:rsid w:val="00314C83"/>
    <w:rsid w:val="00314CD4"/>
    <w:rsid w:val="00314D56"/>
    <w:rsid w:val="00314E02"/>
    <w:rsid w:val="00314E23"/>
    <w:rsid w:val="00314E62"/>
    <w:rsid w:val="00314EF5"/>
    <w:rsid w:val="00314EF8"/>
    <w:rsid w:val="00314F47"/>
    <w:rsid w:val="00314F8A"/>
    <w:rsid w:val="00315041"/>
    <w:rsid w:val="003150A2"/>
    <w:rsid w:val="003150BF"/>
    <w:rsid w:val="00315114"/>
    <w:rsid w:val="003152A8"/>
    <w:rsid w:val="003152B7"/>
    <w:rsid w:val="003152FF"/>
    <w:rsid w:val="0031544A"/>
    <w:rsid w:val="0031548C"/>
    <w:rsid w:val="00315549"/>
    <w:rsid w:val="0031555F"/>
    <w:rsid w:val="003155C4"/>
    <w:rsid w:val="00315612"/>
    <w:rsid w:val="003156C2"/>
    <w:rsid w:val="003156DC"/>
    <w:rsid w:val="0031570E"/>
    <w:rsid w:val="00315777"/>
    <w:rsid w:val="00315778"/>
    <w:rsid w:val="00315A29"/>
    <w:rsid w:val="00315AA0"/>
    <w:rsid w:val="00315B30"/>
    <w:rsid w:val="00315B32"/>
    <w:rsid w:val="00315B60"/>
    <w:rsid w:val="00315B82"/>
    <w:rsid w:val="00315B83"/>
    <w:rsid w:val="00315BA9"/>
    <w:rsid w:val="00315CBD"/>
    <w:rsid w:val="00315D11"/>
    <w:rsid w:val="00315E4F"/>
    <w:rsid w:val="00315E91"/>
    <w:rsid w:val="00315EC6"/>
    <w:rsid w:val="00315EEB"/>
    <w:rsid w:val="00315F89"/>
    <w:rsid w:val="00316013"/>
    <w:rsid w:val="00316023"/>
    <w:rsid w:val="0031614F"/>
    <w:rsid w:val="003161B3"/>
    <w:rsid w:val="00316201"/>
    <w:rsid w:val="00316216"/>
    <w:rsid w:val="00316246"/>
    <w:rsid w:val="0031627F"/>
    <w:rsid w:val="0031633D"/>
    <w:rsid w:val="003164F2"/>
    <w:rsid w:val="003165A4"/>
    <w:rsid w:val="003165E8"/>
    <w:rsid w:val="003166B3"/>
    <w:rsid w:val="003166D8"/>
    <w:rsid w:val="00316750"/>
    <w:rsid w:val="0031679B"/>
    <w:rsid w:val="00316811"/>
    <w:rsid w:val="0031681F"/>
    <w:rsid w:val="00316854"/>
    <w:rsid w:val="003168C2"/>
    <w:rsid w:val="003168F5"/>
    <w:rsid w:val="00316936"/>
    <w:rsid w:val="00316985"/>
    <w:rsid w:val="0031699B"/>
    <w:rsid w:val="003169FD"/>
    <w:rsid w:val="00316A70"/>
    <w:rsid w:val="00316A75"/>
    <w:rsid w:val="00316AB5"/>
    <w:rsid w:val="00316AE0"/>
    <w:rsid w:val="00316B3E"/>
    <w:rsid w:val="00316BF7"/>
    <w:rsid w:val="00316C15"/>
    <w:rsid w:val="00316C18"/>
    <w:rsid w:val="00316CC6"/>
    <w:rsid w:val="00316D07"/>
    <w:rsid w:val="00316D0B"/>
    <w:rsid w:val="00316D4F"/>
    <w:rsid w:val="00316DAB"/>
    <w:rsid w:val="00316DE7"/>
    <w:rsid w:val="00316F79"/>
    <w:rsid w:val="00316F97"/>
    <w:rsid w:val="00316FE8"/>
    <w:rsid w:val="00316FEA"/>
    <w:rsid w:val="0031706B"/>
    <w:rsid w:val="00317085"/>
    <w:rsid w:val="0031711E"/>
    <w:rsid w:val="0031713D"/>
    <w:rsid w:val="0031719F"/>
    <w:rsid w:val="003171BD"/>
    <w:rsid w:val="0031720C"/>
    <w:rsid w:val="00317226"/>
    <w:rsid w:val="0031724C"/>
    <w:rsid w:val="0031727A"/>
    <w:rsid w:val="0031735E"/>
    <w:rsid w:val="00317486"/>
    <w:rsid w:val="0031752E"/>
    <w:rsid w:val="00317558"/>
    <w:rsid w:val="00317576"/>
    <w:rsid w:val="003176A3"/>
    <w:rsid w:val="003176BF"/>
    <w:rsid w:val="00317726"/>
    <w:rsid w:val="003178C7"/>
    <w:rsid w:val="00317922"/>
    <w:rsid w:val="003179E7"/>
    <w:rsid w:val="00317A28"/>
    <w:rsid w:val="00317AEC"/>
    <w:rsid w:val="00317B26"/>
    <w:rsid w:val="00317B47"/>
    <w:rsid w:val="00317B6C"/>
    <w:rsid w:val="00317C02"/>
    <w:rsid w:val="00317C37"/>
    <w:rsid w:val="00317C5D"/>
    <w:rsid w:val="00317C68"/>
    <w:rsid w:val="00317D9A"/>
    <w:rsid w:val="00317DA2"/>
    <w:rsid w:val="00317F8A"/>
    <w:rsid w:val="00317FEF"/>
    <w:rsid w:val="00320073"/>
    <w:rsid w:val="003200E4"/>
    <w:rsid w:val="003200E8"/>
    <w:rsid w:val="00320154"/>
    <w:rsid w:val="0032020F"/>
    <w:rsid w:val="003203F0"/>
    <w:rsid w:val="00320411"/>
    <w:rsid w:val="00320414"/>
    <w:rsid w:val="00320436"/>
    <w:rsid w:val="00320476"/>
    <w:rsid w:val="00320486"/>
    <w:rsid w:val="003204AD"/>
    <w:rsid w:val="003204B2"/>
    <w:rsid w:val="00320533"/>
    <w:rsid w:val="00320553"/>
    <w:rsid w:val="003205A6"/>
    <w:rsid w:val="003205BB"/>
    <w:rsid w:val="0032060E"/>
    <w:rsid w:val="003206FC"/>
    <w:rsid w:val="00320722"/>
    <w:rsid w:val="00320773"/>
    <w:rsid w:val="00320786"/>
    <w:rsid w:val="003207CB"/>
    <w:rsid w:val="003207DD"/>
    <w:rsid w:val="003207E3"/>
    <w:rsid w:val="003207EB"/>
    <w:rsid w:val="003208FB"/>
    <w:rsid w:val="003209AF"/>
    <w:rsid w:val="003209F0"/>
    <w:rsid w:val="00320A0E"/>
    <w:rsid w:val="00320BE2"/>
    <w:rsid w:val="00320C31"/>
    <w:rsid w:val="00320D26"/>
    <w:rsid w:val="00320D8A"/>
    <w:rsid w:val="00320D9A"/>
    <w:rsid w:val="00320DBD"/>
    <w:rsid w:val="00320DE8"/>
    <w:rsid w:val="00320F00"/>
    <w:rsid w:val="00321003"/>
    <w:rsid w:val="0032100E"/>
    <w:rsid w:val="00321117"/>
    <w:rsid w:val="0032111E"/>
    <w:rsid w:val="003211AB"/>
    <w:rsid w:val="00321219"/>
    <w:rsid w:val="0032124A"/>
    <w:rsid w:val="00321281"/>
    <w:rsid w:val="003212B1"/>
    <w:rsid w:val="003212C3"/>
    <w:rsid w:val="0032134E"/>
    <w:rsid w:val="003213F5"/>
    <w:rsid w:val="0032140A"/>
    <w:rsid w:val="00321556"/>
    <w:rsid w:val="003215F3"/>
    <w:rsid w:val="0032167A"/>
    <w:rsid w:val="00321683"/>
    <w:rsid w:val="00321732"/>
    <w:rsid w:val="00321749"/>
    <w:rsid w:val="00321781"/>
    <w:rsid w:val="003217ED"/>
    <w:rsid w:val="00321839"/>
    <w:rsid w:val="003218B1"/>
    <w:rsid w:val="003218B6"/>
    <w:rsid w:val="003218CF"/>
    <w:rsid w:val="003218D3"/>
    <w:rsid w:val="00321A08"/>
    <w:rsid w:val="00321A4B"/>
    <w:rsid w:val="00321A65"/>
    <w:rsid w:val="00321AF9"/>
    <w:rsid w:val="00321B0B"/>
    <w:rsid w:val="00321B6A"/>
    <w:rsid w:val="00321C09"/>
    <w:rsid w:val="00321CE2"/>
    <w:rsid w:val="00321D16"/>
    <w:rsid w:val="00321D3C"/>
    <w:rsid w:val="00321D99"/>
    <w:rsid w:val="00321E26"/>
    <w:rsid w:val="00321E2B"/>
    <w:rsid w:val="00321E33"/>
    <w:rsid w:val="00321E59"/>
    <w:rsid w:val="00321E75"/>
    <w:rsid w:val="00321FAD"/>
    <w:rsid w:val="0032200F"/>
    <w:rsid w:val="00322012"/>
    <w:rsid w:val="003220EA"/>
    <w:rsid w:val="00322153"/>
    <w:rsid w:val="00322201"/>
    <w:rsid w:val="00322233"/>
    <w:rsid w:val="00322282"/>
    <w:rsid w:val="003222AB"/>
    <w:rsid w:val="003222B5"/>
    <w:rsid w:val="003222C6"/>
    <w:rsid w:val="0032234F"/>
    <w:rsid w:val="00322355"/>
    <w:rsid w:val="0032236A"/>
    <w:rsid w:val="0032237F"/>
    <w:rsid w:val="003223C5"/>
    <w:rsid w:val="003225CC"/>
    <w:rsid w:val="003225D4"/>
    <w:rsid w:val="00322609"/>
    <w:rsid w:val="00322643"/>
    <w:rsid w:val="003226B2"/>
    <w:rsid w:val="00322759"/>
    <w:rsid w:val="00322776"/>
    <w:rsid w:val="00322777"/>
    <w:rsid w:val="003227B1"/>
    <w:rsid w:val="003228D3"/>
    <w:rsid w:val="003228E5"/>
    <w:rsid w:val="00322951"/>
    <w:rsid w:val="003229DA"/>
    <w:rsid w:val="003229F5"/>
    <w:rsid w:val="00322A54"/>
    <w:rsid w:val="00322B3B"/>
    <w:rsid w:val="00322C3E"/>
    <w:rsid w:val="00322C50"/>
    <w:rsid w:val="00322CC7"/>
    <w:rsid w:val="00322CE0"/>
    <w:rsid w:val="00322DCF"/>
    <w:rsid w:val="00322DD6"/>
    <w:rsid w:val="00322E52"/>
    <w:rsid w:val="00322F14"/>
    <w:rsid w:val="00322F38"/>
    <w:rsid w:val="00322FDF"/>
    <w:rsid w:val="00322FE6"/>
    <w:rsid w:val="003230A8"/>
    <w:rsid w:val="003231AA"/>
    <w:rsid w:val="0032333F"/>
    <w:rsid w:val="0032334B"/>
    <w:rsid w:val="003234A7"/>
    <w:rsid w:val="003234C9"/>
    <w:rsid w:val="00323544"/>
    <w:rsid w:val="00323596"/>
    <w:rsid w:val="00323597"/>
    <w:rsid w:val="003236C8"/>
    <w:rsid w:val="0032370F"/>
    <w:rsid w:val="003237CD"/>
    <w:rsid w:val="00323902"/>
    <w:rsid w:val="0032394D"/>
    <w:rsid w:val="003239AF"/>
    <w:rsid w:val="003239D6"/>
    <w:rsid w:val="00323A96"/>
    <w:rsid w:val="00323BAD"/>
    <w:rsid w:val="00323BB7"/>
    <w:rsid w:val="00323BD0"/>
    <w:rsid w:val="00323BE3"/>
    <w:rsid w:val="00323CA0"/>
    <w:rsid w:val="00323CB6"/>
    <w:rsid w:val="00323CC8"/>
    <w:rsid w:val="00323CEB"/>
    <w:rsid w:val="00323D92"/>
    <w:rsid w:val="00323DCC"/>
    <w:rsid w:val="00323E57"/>
    <w:rsid w:val="00323EF9"/>
    <w:rsid w:val="00323F14"/>
    <w:rsid w:val="00323F36"/>
    <w:rsid w:val="00323FCA"/>
    <w:rsid w:val="0032405C"/>
    <w:rsid w:val="00324063"/>
    <w:rsid w:val="003241B1"/>
    <w:rsid w:val="003241CC"/>
    <w:rsid w:val="0032421F"/>
    <w:rsid w:val="00324269"/>
    <w:rsid w:val="003242E7"/>
    <w:rsid w:val="0032431E"/>
    <w:rsid w:val="00324325"/>
    <w:rsid w:val="003243CC"/>
    <w:rsid w:val="003244C3"/>
    <w:rsid w:val="003245C6"/>
    <w:rsid w:val="003245CE"/>
    <w:rsid w:val="0032475D"/>
    <w:rsid w:val="003247B1"/>
    <w:rsid w:val="003247D3"/>
    <w:rsid w:val="00324817"/>
    <w:rsid w:val="00324905"/>
    <w:rsid w:val="0032497B"/>
    <w:rsid w:val="0032499E"/>
    <w:rsid w:val="00324A23"/>
    <w:rsid w:val="00324AA9"/>
    <w:rsid w:val="00324B6B"/>
    <w:rsid w:val="00324BCE"/>
    <w:rsid w:val="00324D04"/>
    <w:rsid w:val="00324EE0"/>
    <w:rsid w:val="00324F04"/>
    <w:rsid w:val="003251D7"/>
    <w:rsid w:val="0032520F"/>
    <w:rsid w:val="0032528F"/>
    <w:rsid w:val="00325311"/>
    <w:rsid w:val="00325422"/>
    <w:rsid w:val="0032549F"/>
    <w:rsid w:val="00325515"/>
    <w:rsid w:val="0032552A"/>
    <w:rsid w:val="00325530"/>
    <w:rsid w:val="003255EC"/>
    <w:rsid w:val="00325729"/>
    <w:rsid w:val="0032575E"/>
    <w:rsid w:val="00325772"/>
    <w:rsid w:val="003258D9"/>
    <w:rsid w:val="003258F0"/>
    <w:rsid w:val="00325911"/>
    <w:rsid w:val="003259AC"/>
    <w:rsid w:val="003259CD"/>
    <w:rsid w:val="00325A03"/>
    <w:rsid w:val="00325A26"/>
    <w:rsid w:val="00325A9D"/>
    <w:rsid w:val="00325B3F"/>
    <w:rsid w:val="00325BC3"/>
    <w:rsid w:val="00325C5A"/>
    <w:rsid w:val="00325D30"/>
    <w:rsid w:val="00325D3C"/>
    <w:rsid w:val="00325D55"/>
    <w:rsid w:val="00325DED"/>
    <w:rsid w:val="00325E17"/>
    <w:rsid w:val="00325F19"/>
    <w:rsid w:val="00325F48"/>
    <w:rsid w:val="00325F6E"/>
    <w:rsid w:val="0032610C"/>
    <w:rsid w:val="00326119"/>
    <w:rsid w:val="00326187"/>
    <w:rsid w:val="00326242"/>
    <w:rsid w:val="00326296"/>
    <w:rsid w:val="003262BC"/>
    <w:rsid w:val="00326319"/>
    <w:rsid w:val="00326448"/>
    <w:rsid w:val="00326544"/>
    <w:rsid w:val="00326576"/>
    <w:rsid w:val="003265A4"/>
    <w:rsid w:val="00326604"/>
    <w:rsid w:val="003266C2"/>
    <w:rsid w:val="0032679C"/>
    <w:rsid w:val="003267CB"/>
    <w:rsid w:val="00326802"/>
    <w:rsid w:val="0032690D"/>
    <w:rsid w:val="003269E3"/>
    <w:rsid w:val="00326A8B"/>
    <w:rsid w:val="00326AFE"/>
    <w:rsid w:val="00326B03"/>
    <w:rsid w:val="00326BEB"/>
    <w:rsid w:val="00326C2E"/>
    <w:rsid w:val="00326C58"/>
    <w:rsid w:val="00326CAA"/>
    <w:rsid w:val="00326D22"/>
    <w:rsid w:val="00326D5F"/>
    <w:rsid w:val="00326D8D"/>
    <w:rsid w:val="00326E14"/>
    <w:rsid w:val="00326E30"/>
    <w:rsid w:val="0032703E"/>
    <w:rsid w:val="00327051"/>
    <w:rsid w:val="00327069"/>
    <w:rsid w:val="0032712E"/>
    <w:rsid w:val="003271B5"/>
    <w:rsid w:val="00327258"/>
    <w:rsid w:val="00327384"/>
    <w:rsid w:val="0032742E"/>
    <w:rsid w:val="003274A4"/>
    <w:rsid w:val="003274E5"/>
    <w:rsid w:val="003274FB"/>
    <w:rsid w:val="0032754A"/>
    <w:rsid w:val="003275F7"/>
    <w:rsid w:val="00327619"/>
    <w:rsid w:val="00327626"/>
    <w:rsid w:val="003276A8"/>
    <w:rsid w:val="00327711"/>
    <w:rsid w:val="00327733"/>
    <w:rsid w:val="00327758"/>
    <w:rsid w:val="00327799"/>
    <w:rsid w:val="003277C6"/>
    <w:rsid w:val="003277E2"/>
    <w:rsid w:val="003278E2"/>
    <w:rsid w:val="00327904"/>
    <w:rsid w:val="00327973"/>
    <w:rsid w:val="003279B6"/>
    <w:rsid w:val="003279D7"/>
    <w:rsid w:val="00327B0E"/>
    <w:rsid w:val="00327B7F"/>
    <w:rsid w:val="00327D0B"/>
    <w:rsid w:val="00327EFC"/>
    <w:rsid w:val="00327F77"/>
    <w:rsid w:val="00327F81"/>
    <w:rsid w:val="00327FC6"/>
    <w:rsid w:val="00330060"/>
    <w:rsid w:val="0033015C"/>
    <w:rsid w:val="00330185"/>
    <w:rsid w:val="003301F0"/>
    <w:rsid w:val="00330245"/>
    <w:rsid w:val="0033025F"/>
    <w:rsid w:val="00330268"/>
    <w:rsid w:val="00330297"/>
    <w:rsid w:val="0033030C"/>
    <w:rsid w:val="00330412"/>
    <w:rsid w:val="00330448"/>
    <w:rsid w:val="00330639"/>
    <w:rsid w:val="00330681"/>
    <w:rsid w:val="00330689"/>
    <w:rsid w:val="003306AB"/>
    <w:rsid w:val="00330768"/>
    <w:rsid w:val="0033082E"/>
    <w:rsid w:val="00330980"/>
    <w:rsid w:val="003309AC"/>
    <w:rsid w:val="00330AC7"/>
    <w:rsid w:val="00330AE6"/>
    <w:rsid w:val="00330AFF"/>
    <w:rsid w:val="00330BA2"/>
    <w:rsid w:val="00330BC1"/>
    <w:rsid w:val="00330C3B"/>
    <w:rsid w:val="00330CEF"/>
    <w:rsid w:val="00330E07"/>
    <w:rsid w:val="00330E0F"/>
    <w:rsid w:val="00330E7D"/>
    <w:rsid w:val="00330EA2"/>
    <w:rsid w:val="00330EA3"/>
    <w:rsid w:val="00330FFE"/>
    <w:rsid w:val="00331084"/>
    <w:rsid w:val="003310AB"/>
    <w:rsid w:val="003310EC"/>
    <w:rsid w:val="00331272"/>
    <w:rsid w:val="003312C1"/>
    <w:rsid w:val="0033133C"/>
    <w:rsid w:val="00331388"/>
    <w:rsid w:val="003313C8"/>
    <w:rsid w:val="003313DF"/>
    <w:rsid w:val="00331474"/>
    <w:rsid w:val="00331586"/>
    <w:rsid w:val="003315E0"/>
    <w:rsid w:val="003316F3"/>
    <w:rsid w:val="00331744"/>
    <w:rsid w:val="003317AA"/>
    <w:rsid w:val="00331851"/>
    <w:rsid w:val="003318BB"/>
    <w:rsid w:val="003318CF"/>
    <w:rsid w:val="00331932"/>
    <w:rsid w:val="0033194C"/>
    <w:rsid w:val="003319CC"/>
    <w:rsid w:val="003319E4"/>
    <w:rsid w:val="00331AFB"/>
    <w:rsid w:val="00331BA7"/>
    <w:rsid w:val="00331BC8"/>
    <w:rsid w:val="00331C83"/>
    <w:rsid w:val="00331D5D"/>
    <w:rsid w:val="00331DA8"/>
    <w:rsid w:val="00331E13"/>
    <w:rsid w:val="00331E47"/>
    <w:rsid w:val="00331E96"/>
    <w:rsid w:val="00331F05"/>
    <w:rsid w:val="00331FA9"/>
    <w:rsid w:val="00331FD0"/>
    <w:rsid w:val="00331FD5"/>
    <w:rsid w:val="00332012"/>
    <w:rsid w:val="003320F8"/>
    <w:rsid w:val="00332177"/>
    <w:rsid w:val="00332192"/>
    <w:rsid w:val="003321A6"/>
    <w:rsid w:val="003321CB"/>
    <w:rsid w:val="00332217"/>
    <w:rsid w:val="00332317"/>
    <w:rsid w:val="003323B2"/>
    <w:rsid w:val="003323D4"/>
    <w:rsid w:val="00332536"/>
    <w:rsid w:val="0033256A"/>
    <w:rsid w:val="00332613"/>
    <w:rsid w:val="003326F7"/>
    <w:rsid w:val="0033273A"/>
    <w:rsid w:val="00332763"/>
    <w:rsid w:val="00332774"/>
    <w:rsid w:val="003327A6"/>
    <w:rsid w:val="003327C9"/>
    <w:rsid w:val="003327D0"/>
    <w:rsid w:val="0033288F"/>
    <w:rsid w:val="003328AA"/>
    <w:rsid w:val="00332914"/>
    <w:rsid w:val="00332915"/>
    <w:rsid w:val="00332958"/>
    <w:rsid w:val="00332999"/>
    <w:rsid w:val="00332A71"/>
    <w:rsid w:val="00332A80"/>
    <w:rsid w:val="00332ADB"/>
    <w:rsid w:val="00332B95"/>
    <w:rsid w:val="00332B9A"/>
    <w:rsid w:val="00332C1F"/>
    <w:rsid w:val="00332C4A"/>
    <w:rsid w:val="00332C8B"/>
    <w:rsid w:val="00332D13"/>
    <w:rsid w:val="00332D1C"/>
    <w:rsid w:val="00332D22"/>
    <w:rsid w:val="00332D4C"/>
    <w:rsid w:val="00332DB7"/>
    <w:rsid w:val="00332E21"/>
    <w:rsid w:val="00332E97"/>
    <w:rsid w:val="00332FBB"/>
    <w:rsid w:val="00332FC6"/>
    <w:rsid w:val="00333003"/>
    <w:rsid w:val="00333050"/>
    <w:rsid w:val="00333098"/>
    <w:rsid w:val="0033310C"/>
    <w:rsid w:val="003331E8"/>
    <w:rsid w:val="003331FB"/>
    <w:rsid w:val="00333209"/>
    <w:rsid w:val="0033323A"/>
    <w:rsid w:val="0033327C"/>
    <w:rsid w:val="00333356"/>
    <w:rsid w:val="0033335E"/>
    <w:rsid w:val="0033336A"/>
    <w:rsid w:val="003333AF"/>
    <w:rsid w:val="0033342B"/>
    <w:rsid w:val="00333499"/>
    <w:rsid w:val="003334CE"/>
    <w:rsid w:val="00333529"/>
    <w:rsid w:val="00333577"/>
    <w:rsid w:val="00333587"/>
    <w:rsid w:val="00333592"/>
    <w:rsid w:val="00333604"/>
    <w:rsid w:val="00333649"/>
    <w:rsid w:val="0033367C"/>
    <w:rsid w:val="00333693"/>
    <w:rsid w:val="003336A0"/>
    <w:rsid w:val="003336F6"/>
    <w:rsid w:val="00333727"/>
    <w:rsid w:val="0033374F"/>
    <w:rsid w:val="003337FF"/>
    <w:rsid w:val="00333800"/>
    <w:rsid w:val="0033388F"/>
    <w:rsid w:val="003338CB"/>
    <w:rsid w:val="00333956"/>
    <w:rsid w:val="00333981"/>
    <w:rsid w:val="003339C1"/>
    <w:rsid w:val="003339E1"/>
    <w:rsid w:val="00333A74"/>
    <w:rsid w:val="00333B38"/>
    <w:rsid w:val="00333B99"/>
    <w:rsid w:val="00333C09"/>
    <w:rsid w:val="00333C5E"/>
    <w:rsid w:val="00333CAC"/>
    <w:rsid w:val="00333CEF"/>
    <w:rsid w:val="00333D59"/>
    <w:rsid w:val="00333E5E"/>
    <w:rsid w:val="00333ECA"/>
    <w:rsid w:val="00333F6C"/>
    <w:rsid w:val="00333FD4"/>
    <w:rsid w:val="0033413A"/>
    <w:rsid w:val="00334142"/>
    <w:rsid w:val="00334278"/>
    <w:rsid w:val="0033439F"/>
    <w:rsid w:val="003343E1"/>
    <w:rsid w:val="003343F6"/>
    <w:rsid w:val="0033442B"/>
    <w:rsid w:val="0033445C"/>
    <w:rsid w:val="00334463"/>
    <w:rsid w:val="0033447D"/>
    <w:rsid w:val="00334490"/>
    <w:rsid w:val="003344C8"/>
    <w:rsid w:val="003344D7"/>
    <w:rsid w:val="00334557"/>
    <w:rsid w:val="00334595"/>
    <w:rsid w:val="003346A1"/>
    <w:rsid w:val="003346A4"/>
    <w:rsid w:val="0033480B"/>
    <w:rsid w:val="00334932"/>
    <w:rsid w:val="003349A8"/>
    <w:rsid w:val="003349BD"/>
    <w:rsid w:val="003349C4"/>
    <w:rsid w:val="00334A12"/>
    <w:rsid w:val="00334AC3"/>
    <w:rsid w:val="00334B47"/>
    <w:rsid w:val="00334B7D"/>
    <w:rsid w:val="00334BA1"/>
    <w:rsid w:val="00334BCA"/>
    <w:rsid w:val="00334E32"/>
    <w:rsid w:val="00334E39"/>
    <w:rsid w:val="00334E7B"/>
    <w:rsid w:val="00334EAF"/>
    <w:rsid w:val="00334F4A"/>
    <w:rsid w:val="00334FA3"/>
    <w:rsid w:val="00334FC7"/>
    <w:rsid w:val="0033505C"/>
    <w:rsid w:val="00335069"/>
    <w:rsid w:val="003350DE"/>
    <w:rsid w:val="00335135"/>
    <w:rsid w:val="00335168"/>
    <w:rsid w:val="0033517D"/>
    <w:rsid w:val="003351E5"/>
    <w:rsid w:val="0033527C"/>
    <w:rsid w:val="003352DD"/>
    <w:rsid w:val="0033531B"/>
    <w:rsid w:val="0033535A"/>
    <w:rsid w:val="00335403"/>
    <w:rsid w:val="00335484"/>
    <w:rsid w:val="003354D7"/>
    <w:rsid w:val="0033554A"/>
    <w:rsid w:val="00335598"/>
    <w:rsid w:val="0033559E"/>
    <w:rsid w:val="003355BE"/>
    <w:rsid w:val="00335612"/>
    <w:rsid w:val="00335755"/>
    <w:rsid w:val="003357EA"/>
    <w:rsid w:val="0033581F"/>
    <w:rsid w:val="00335891"/>
    <w:rsid w:val="003358B5"/>
    <w:rsid w:val="003358C1"/>
    <w:rsid w:val="0033590C"/>
    <w:rsid w:val="003359EC"/>
    <w:rsid w:val="003359F7"/>
    <w:rsid w:val="00335A2A"/>
    <w:rsid w:val="00335A5C"/>
    <w:rsid w:val="00335A83"/>
    <w:rsid w:val="00335C90"/>
    <w:rsid w:val="00335CA6"/>
    <w:rsid w:val="00335D06"/>
    <w:rsid w:val="00335DDE"/>
    <w:rsid w:val="00335E5C"/>
    <w:rsid w:val="00335EDE"/>
    <w:rsid w:val="0033600D"/>
    <w:rsid w:val="00336025"/>
    <w:rsid w:val="0033604C"/>
    <w:rsid w:val="00336207"/>
    <w:rsid w:val="003362C0"/>
    <w:rsid w:val="003362F5"/>
    <w:rsid w:val="0033631A"/>
    <w:rsid w:val="0033634E"/>
    <w:rsid w:val="0033641E"/>
    <w:rsid w:val="0033643A"/>
    <w:rsid w:val="00336507"/>
    <w:rsid w:val="00336638"/>
    <w:rsid w:val="00336742"/>
    <w:rsid w:val="003367C9"/>
    <w:rsid w:val="003367D9"/>
    <w:rsid w:val="0033680C"/>
    <w:rsid w:val="00336810"/>
    <w:rsid w:val="0033684B"/>
    <w:rsid w:val="0033693F"/>
    <w:rsid w:val="0033695B"/>
    <w:rsid w:val="0033695C"/>
    <w:rsid w:val="00336994"/>
    <w:rsid w:val="00336A33"/>
    <w:rsid w:val="00336B43"/>
    <w:rsid w:val="00336BAA"/>
    <w:rsid w:val="00336BD6"/>
    <w:rsid w:val="00336BE6"/>
    <w:rsid w:val="00336C15"/>
    <w:rsid w:val="00336C1E"/>
    <w:rsid w:val="00336C26"/>
    <w:rsid w:val="00336C28"/>
    <w:rsid w:val="00336CD0"/>
    <w:rsid w:val="00336DAF"/>
    <w:rsid w:val="00336E01"/>
    <w:rsid w:val="00336E60"/>
    <w:rsid w:val="00336E6A"/>
    <w:rsid w:val="00336F5C"/>
    <w:rsid w:val="00337032"/>
    <w:rsid w:val="00337096"/>
    <w:rsid w:val="003370F1"/>
    <w:rsid w:val="003371C2"/>
    <w:rsid w:val="0033720C"/>
    <w:rsid w:val="0033720E"/>
    <w:rsid w:val="00337219"/>
    <w:rsid w:val="003372F5"/>
    <w:rsid w:val="00337305"/>
    <w:rsid w:val="00337372"/>
    <w:rsid w:val="0033750B"/>
    <w:rsid w:val="00337548"/>
    <w:rsid w:val="0033754D"/>
    <w:rsid w:val="0033757A"/>
    <w:rsid w:val="0033762A"/>
    <w:rsid w:val="00337682"/>
    <w:rsid w:val="0033771E"/>
    <w:rsid w:val="003377AC"/>
    <w:rsid w:val="003377C5"/>
    <w:rsid w:val="003378C2"/>
    <w:rsid w:val="0033792F"/>
    <w:rsid w:val="00337931"/>
    <w:rsid w:val="00337954"/>
    <w:rsid w:val="003379AF"/>
    <w:rsid w:val="003379B1"/>
    <w:rsid w:val="003379E3"/>
    <w:rsid w:val="00337A08"/>
    <w:rsid w:val="00337A2C"/>
    <w:rsid w:val="00337A7F"/>
    <w:rsid w:val="00337AD0"/>
    <w:rsid w:val="00337B04"/>
    <w:rsid w:val="00337BCC"/>
    <w:rsid w:val="00337BF5"/>
    <w:rsid w:val="00337C72"/>
    <w:rsid w:val="00337C76"/>
    <w:rsid w:val="00337DA0"/>
    <w:rsid w:val="00337E40"/>
    <w:rsid w:val="00337ECB"/>
    <w:rsid w:val="00337F20"/>
    <w:rsid w:val="00337F3B"/>
    <w:rsid w:val="00337F7B"/>
    <w:rsid w:val="00337FD5"/>
    <w:rsid w:val="0034006D"/>
    <w:rsid w:val="003400E9"/>
    <w:rsid w:val="0034012A"/>
    <w:rsid w:val="003401A0"/>
    <w:rsid w:val="003401B4"/>
    <w:rsid w:val="003402C3"/>
    <w:rsid w:val="00340392"/>
    <w:rsid w:val="00340394"/>
    <w:rsid w:val="00340484"/>
    <w:rsid w:val="003404AF"/>
    <w:rsid w:val="003404DC"/>
    <w:rsid w:val="003405D2"/>
    <w:rsid w:val="003405FF"/>
    <w:rsid w:val="0034064A"/>
    <w:rsid w:val="003406A5"/>
    <w:rsid w:val="0034073D"/>
    <w:rsid w:val="00340747"/>
    <w:rsid w:val="0034080B"/>
    <w:rsid w:val="00340832"/>
    <w:rsid w:val="0034085F"/>
    <w:rsid w:val="003408CF"/>
    <w:rsid w:val="003409D4"/>
    <w:rsid w:val="003409F1"/>
    <w:rsid w:val="003409F9"/>
    <w:rsid w:val="00340A35"/>
    <w:rsid w:val="00340AF0"/>
    <w:rsid w:val="00340BB4"/>
    <w:rsid w:val="00340D2A"/>
    <w:rsid w:val="00340D36"/>
    <w:rsid w:val="00340D76"/>
    <w:rsid w:val="00340DBD"/>
    <w:rsid w:val="00340E5D"/>
    <w:rsid w:val="00340E95"/>
    <w:rsid w:val="00340EB5"/>
    <w:rsid w:val="00340EF2"/>
    <w:rsid w:val="00340F5A"/>
    <w:rsid w:val="00340FA4"/>
    <w:rsid w:val="00340FAF"/>
    <w:rsid w:val="003411BF"/>
    <w:rsid w:val="00341235"/>
    <w:rsid w:val="00341342"/>
    <w:rsid w:val="003413DC"/>
    <w:rsid w:val="003413F8"/>
    <w:rsid w:val="0034142D"/>
    <w:rsid w:val="00341546"/>
    <w:rsid w:val="00341557"/>
    <w:rsid w:val="00341585"/>
    <w:rsid w:val="00341631"/>
    <w:rsid w:val="0034172A"/>
    <w:rsid w:val="0034176A"/>
    <w:rsid w:val="00341A4A"/>
    <w:rsid w:val="00341A61"/>
    <w:rsid w:val="00341BCA"/>
    <w:rsid w:val="00341D26"/>
    <w:rsid w:val="00341D29"/>
    <w:rsid w:val="00341D6E"/>
    <w:rsid w:val="00341E00"/>
    <w:rsid w:val="00341E24"/>
    <w:rsid w:val="00341E5D"/>
    <w:rsid w:val="00341E9B"/>
    <w:rsid w:val="00341EB8"/>
    <w:rsid w:val="00341EC1"/>
    <w:rsid w:val="00341F34"/>
    <w:rsid w:val="00341F35"/>
    <w:rsid w:val="00341F78"/>
    <w:rsid w:val="00341FCB"/>
    <w:rsid w:val="00341FCD"/>
    <w:rsid w:val="00341FF4"/>
    <w:rsid w:val="0034201E"/>
    <w:rsid w:val="0034206A"/>
    <w:rsid w:val="00342160"/>
    <w:rsid w:val="003421FA"/>
    <w:rsid w:val="00342308"/>
    <w:rsid w:val="00342406"/>
    <w:rsid w:val="00342433"/>
    <w:rsid w:val="003424E0"/>
    <w:rsid w:val="00342533"/>
    <w:rsid w:val="003426A0"/>
    <w:rsid w:val="003426B5"/>
    <w:rsid w:val="00342762"/>
    <w:rsid w:val="0034278A"/>
    <w:rsid w:val="00342796"/>
    <w:rsid w:val="0034281B"/>
    <w:rsid w:val="003428FC"/>
    <w:rsid w:val="0034292B"/>
    <w:rsid w:val="00342A1B"/>
    <w:rsid w:val="00342A1C"/>
    <w:rsid w:val="00342A93"/>
    <w:rsid w:val="00342BAC"/>
    <w:rsid w:val="00342BAD"/>
    <w:rsid w:val="00342BDC"/>
    <w:rsid w:val="00342C05"/>
    <w:rsid w:val="00342CAB"/>
    <w:rsid w:val="00342D62"/>
    <w:rsid w:val="00342E57"/>
    <w:rsid w:val="00342EAB"/>
    <w:rsid w:val="00342EC6"/>
    <w:rsid w:val="00342ED3"/>
    <w:rsid w:val="00342EEE"/>
    <w:rsid w:val="00342F06"/>
    <w:rsid w:val="00343006"/>
    <w:rsid w:val="0034307C"/>
    <w:rsid w:val="003430E1"/>
    <w:rsid w:val="003430EC"/>
    <w:rsid w:val="0034319C"/>
    <w:rsid w:val="003431F5"/>
    <w:rsid w:val="0034322C"/>
    <w:rsid w:val="0034323B"/>
    <w:rsid w:val="003432CC"/>
    <w:rsid w:val="00343411"/>
    <w:rsid w:val="0034342A"/>
    <w:rsid w:val="003434DB"/>
    <w:rsid w:val="0034355A"/>
    <w:rsid w:val="003435ED"/>
    <w:rsid w:val="00343602"/>
    <w:rsid w:val="00343724"/>
    <w:rsid w:val="00343936"/>
    <w:rsid w:val="00343947"/>
    <w:rsid w:val="00343A89"/>
    <w:rsid w:val="00343AD0"/>
    <w:rsid w:val="00343ADD"/>
    <w:rsid w:val="00343AF3"/>
    <w:rsid w:val="00343B19"/>
    <w:rsid w:val="00343B71"/>
    <w:rsid w:val="00343BAF"/>
    <w:rsid w:val="00343C4F"/>
    <w:rsid w:val="00343C7D"/>
    <w:rsid w:val="00343D34"/>
    <w:rsid w:val="00343D7B"/>
    <w:rsid w:val="00343DE1"/>
    <w:rsid w:val="00343EC0"/>
    <w:rsid w:val="00343EF6"/>
    <w:rsid w:val="00344036"/>
    <w:rsid w:val="003441C7"/>
    <w:rsid w:val="003441EE"/>
    <w:rsid w:val="003441F3"/>
    <w:rsid w:val="0034438E"/>
    <w:rsid w:val="00344395"/>
    <w:rsid w:val="00344525"/>
    <w:rsid w:val="003445CF"/>
    <w:rsid w:val="00344600"/>
    <w:rsid w:val="00344619"/>
    <w:rsid w:val="0034465D"/>
    <w:rsid w:val="00344678"/>
    <w:rsid w:val="003446BD"/>
    <w:rsid w:val="00344701"/>
    <w:rsid w:val="00344711"/>
    <w:rsid w:val="00344851"/>
    <w:rsid w:val="003448C6"/>
    <w:rsid w:val="0034495A"/>
    <w:rsid w:val="003449AA"/>
    <w:rsid w:val="003449AB"/>
    <w:rsid w:val="00344A91"/>
    <w:rsid w:val="00344B40"/>
    <w:rsid w:val="00344B4D"/>
    <w:rsid w:val="00344B5A"/>
    <w:rsid w:val="00344CDE"/>
    <w:rsid w:val="00344D36"/>
    <w:rsid w:val="00344DC2"/>
    <w:rsid w:val="00344E2D"/>
    <w:rsid w:val="00344EB8"/>
    <w:rsid w:val="00344EEF"/>
    <w:rsid w:val="00344F14"/>
    <w:rsid w:val="00345041"/>
    <w:rsid w:val="003450A4"/>
    <w:rsid w:val="003450AE"/>
    <w:rsid w:val="00345100"/>
    <w:rsid w:val="003451F9"/>
    <w:rsid w:val="00345208"/>
    <w:rsid w:val="0034520E"/>
    <w:rsid w:val="003452C5"/>
    <w:rsid w:val="003452E3"/>
    <w:rsid w:val="0034534B"/>
    <w:rsid w:val="0034537C"/>
    <w:rsid w:val="003453B0"/>
    <w:rsid w:val="00345406"/>
    <w:rsid w:val="0034544B"/>
    <w:rsid w:val="00345493"/>
    <w:rsid w:val="00345531"/>
    <w:rsid w:val="00345535"/>
    <w:rsid w:val="00345649"/>
    <w:rsid w:val="003457C8"/>
    <w:rsid w:val="00345895"/>
    <w:rsid w:val="0034589B"/>
    <w:rsid w:val="003459AC"/>
    <w:rsid w:val="00345B91"/>
    <w:rsid w:val="00345C6B"/>
    <w:rsid w:val="00345C74"/>
    <w:rsid w:val="00345D2B"/>
    <w:rsid w:val="00345D4A"/>
    <w:rsid w:val="00345D63"/>
    <w:rsid w:val="00345F0F"/>
    <w:rsid w:val="00345F32"/>
    <w:rsid w:val="00345F5B"/>
    <w:rsid w:val="0034614E"/>
    <w:rsid w:val="0034618D"/>
    <w:rsid w:val="00346199"/>
    <w:rsid w:val="00346214"/>
    <w:rsid w:val="003463B6"/>
    <w:rsid w:val="0034641F"/>
    <w:rsid w:val="003464CC"/>
    <w:rsid w:val="00346521"/>
    <w:rsid w:val="0034661C"/>
    <w:rsid w:val="00346666"/>
    <w:rsid w:val="003466C5"/>
    <w:rsid w:val="00346724"/>
    <w:rsid w:val="00346783"/>
    <w:rsid w:val="00346931"/>
    <w:rsid w:val="00346A09"/>
    <w:rsid w:val="00346AF0"/>
    <w:rsid w:val="00346BEE"/>
    <w:rsid w:val="00346C84"/>
    <w:rsid w:val="00346CF2"/>
    <w:rsid w:val="00346D4E"/>
    <w:rsid w:val="00346DD8"/>
    <w:rsid w:val="00346EDC"/>
    <w:rsid w:val="00346F5F"/>
    <w:rsid w:val="00346F7E"/>
    <w:rsid w:val="00346FA2"/>
    <w:rsid w:val="00346FBF"/>
    <w:rsid w:val="00346FF0"/>
    <w:rsid w:val="00347033"/>
    <w:rsid w:val="003470A7"/>
    <w:rsid w:val="003470F7"/>
    <w:rsid w:val="003472A5"/>
    <w:rsid w:val="0034732C"/>
    <w:rsid w:val="00347483"/>
    <w:rsid w:val="003474E2"/>
    <w:rsid w:val="003474E9"/>
    <w:rsid w:val="0034750E"/>
    <w:rsid w:val="00347519"/>
    <w:rsid w:val="00347577"/>
    <w:rsid w:val="003475CB"/>
    <w:rsid w:val="003475FE"/>
    <w:rsid w:val="003476BA"/>
    <w:rsid w:val="0034777B"/>
    <w:rsid w:val="0034777D"/>
    <w:rsid w:val="003477C9"/>
    <w:rsid w:val="003477DF"/>
    <w:rsid w:val="00347883"/>
    <w:rsid w:val="00347A15"/>
    <w:rsid w:val="00347A3C"/>
    <w:rsid w:val="00347A59"/>
    <w:rsid w:val="00347A91"/>
    <w:rsid w:val="00347B21"/>
    <w:rsid w:val="00347B50"/>
    <w:rsid w:val="00347B5C"/>
    <w:rsid w:val="00347B8F"/>
    <w:rsid w:val="00347BBF"/>
    <w:rsid w:val="00347BC0"/>
    <w:rsid w:val="00347C0C"/>
    <w:rsid w:val="00347C1B"/>
    <w:rsid w:val="00347C69"/>
    <w:rsid w:val="00347C75"/>
    <w:rsid w:val="00347D73"/>
    <w:rsid w:val="00347DC6"/>
    <w:rsid w:val="00347DDE"/>
    <w:rsid w:val="00347DE6"/>
    <w:rsid w:val="00347E3D"/>
    <w:rsid w:val="00347E7A"/>
    <w:rsid w:val="00347EC5"/>
    <w:rsid w:val="00347EF1"/>
    <w:rsid w:val="00347F29"/>
    <w:rsid w:val="00347F74"/>
    <w:rsid w:val="00350095"/>
    <w:rsid w:val="00350099"/>
    <w:rsid w:val="003500C2"/>
    <w:rsid w:val="003500C7"/>
    <w:rsid w:val="003500F6"/>
    <w:rsid w:val="003501E2"/>
    <w:rsid w:val="003502AB"/>
    <w:rsid w:val="003502FA"/>
    <w:rsid w:val="0035036B"/>
    <w:rsid w:val="0035052B"/>
    <w:rsid w:val="0035053A"/>
    <w:rsid w:val="00350574"/>
    <w:rsid w:val="003505DC"/>
    <w:rsid w:val="003506CB"/>
    <w:rsid w:val="003506DE"/>
    <w:rsid w:val="00350706"/>
    <w:rsid w:val="00350854"/>
    <w:rsid w:val="003508BC"/>
    <w:rsid w:val="003508C9"/>
    <w:rsid w:val="0035093E"/>
    <w:rsid w:val="00350A18"/>
    <w:rsid w:val="00350A39"/>
    <w:rsid w:val="00350A59"/>
    <w:rsid w:val="00350BB0"/>
    <w:rsid w:val="00350D04"/>
    <w:rsid w:val="00350D86"/>
    <w:rsid w:val="00350E15"/>
    <w:rsid w:val="00350E28"/>
    <w:rsid w:val="00350E8B"/>
    <w:rsid w:val="00350F4D"/>
    <w:rsid w:val="00350F6D"/>
    <w:rsid w:val="00350FB4"/>
    <w:rsid w:val="00350FE9"/>
    <w:rsid w:val="00350FFF"/>
    <w:rsid w:val="00351017"/>
    <w:rsid w:val="00351061"/>
    <w:rsid w:val="00351149"/>
    <w:rsid w:val="00351217"/>
    <w:rsid w:val="0035129B"/>
    <w:rsid w:val="00351480"/>
    <w:rsid w:val="0035156D"/>
    <w:rsid w:val="0035168A"/>
    <w:rsid w:val="003516F6"/>
    <w:rsid w:val="00351752"/>
    <w:rsid w:val="00351777"/>
    <w:rsid w:val="003517C7"/>
    <w:rsid w:val="0035184C"/>
    <w:rsid w:val="00351860"/>
    <w:rsid w:val="0035196A"/>
    <w:rsid w:val="00351981"/>
    <w:rsid w:val="00351A35"/>
    <w:rsid w:val="00351A89"/>
    <w:rsid w:val="00351A97"/>
    <w:rsid w:val="00351BC3"/>
    <w:rsid w:val="00351C1D"/>
    <w:rsid w:val="00351C44"/>
    <w:rsid w:val="00351C67"/>
    <w:rsid w:val="00351D19"/>
    <w:rsid w:val="00351DEF"/>
    <w:rsid w:val="00351F8C"/>
    <w:rsid w:val="00351FD7"/>
    <w:rsid w:val="00351FF8"/>
    <w:rsid w:val="0035202E"/>
    <w:rsid w:val="0035208E"/>
    <w:rsid w:val="003520B2"/>
    <w:rsid w:val="0035211A"/>
    <w:rsid w:val="00352125"/>
    <w:rsid w:val="00352136"/>
    <w:rsid w:val="003521AB"/>
    <w:rsid w:val="0035222A"/>
    <w:rsid w:val="003522F9"/>
    <w:rsid w:val="003523F0"/>
    <w:rsid w:val="003524B1"/>
    <w:rsid w:val="003524CD"/>
    <w:rsid w:val="00352559"/>
    <w:rsid w:val="00352651"/>
    <w:rsid w:val="00352813"/>
    <w:rsid w:val="00352907"/>
    <w:rsid w:val="00352935"/>
    <w:rsid w:val="0035299A"/>
    <w:rsid w:val="003529A9"/>
    <w:rsid w:val="003529EC"/>
    <w:rsid w:val="00352ACE"/>
    <w:rsid w:val="00352B64"/>
    <w:rsid w:val="00352BA8"/>
    <w:rsid w:val="00352BBE"/>
    <w:rsid w:val="00352CBC"/>
    <w:rsid w:val="00352D12"/>
    <w:rsid w:val="00352D21"/>
    <w:rsid w:val="00352D3B"/>
    <w:rsid w:val="00352DA8"/>
    <w:rsid w:val="00352E0D"/>
    <w:rsid w:val="00352E77"/>
    <w:rsid w:val="00352E9F"/>
    <w:rsid w:val="00352EB9"/>
    <w:rsid w:val="00352F14"/>
    <w:rsid w:val="00353215"/>
    <w:rsid w:val="00353294"/>
    <w:rsid w:val="003532B0"/>
    <w:rsid w:val="003532E9"/>
    <w:rsid w:val="003533C4"/>
    <w:rsid w:val="00353408"/>
    <w:rsid w:val="00353427"/>
    <w:rsid w:val="00353430"/>
    <w:rsid w:val="00353533"/>
    <w:rsid w:val="0035354E"/>
    <w:rsid w:val="003535AF"/>
    <w:rsid w:val="003536B2"/>
    <w:rsid w:val="003536CB"/>
    <w:rsid w:val="00353729"/>
    <w:rsid w:val="00353747"/>
    <w:rsid w:val="00353778"/>
    <w:rsid w:val="00353780"/>
    <w:rsid w:val="003537C8"/>
    <w:rsid w:val="00353815"/>
    <w:rsid w:val="00353907"/>
    <w:rsid w:val="003539E3"/>
    <w:rsid w:val="00353A00"/>
    <w:rsid w:val="00353A05"/>
    <w:rsid w:val="00353A56"/>
    <w:rsid w:val="00353A5A"/>
    <w:rsid w:val="00353B5E"/>
    <w:rsid w:val="00353BA2"/>
    <w:rsid w:val="00353C8E"/>
    <w:rsid w:val="00353C93"/>
    <w:rsid w:val="00353C95"/>
    <w:rsid w:val="00353D14"/>
    <w:rsid w:val="00353D45"/>
    <w:rsid w:val="00353D88"/>
    <w:rsid w:val="00353DBF"/>
    <w:rsid w:val="00353EBB"/>
    <w:rsid w:val="00353ED7"/>
    <w:rsid w:val="00354028"/>
    <w:rsid w:val="003541DA"/>
    <w:rsid w:val="0035424F"/>
    <w:rsid w:val="0035428E"/>
    <w:rsid w:val="00354375"/>
    <w:rsid w:val="00354456"/>
    <w:rsid w:val="00354547"/>
    <w:rsid w:val="003545D0"/>
    <w:rsid w:val="00354600"/>
    <w:rsid w:val="00354628"/>
    <w:rsid w:val="003546BC"/>
    <w:rsid w:val="003547AC"/>
    <w:rsid w:val="00354813"/>
    <w:rsid w:val="003548DC"/>
    <w:rsid w:val="0035491B"/>
    <w:rsid w:val="0035497B"/>
    <w:rsid w:val="00354A04"/>
    <w:rsid w:val="00354A05"/>
    <w:rsid w:val="00354A48"/>
    <w:rsid w:val="00354ADC"/>
    <w:rsid w:val="00354B0F"/>
    <w:rsid w:val="00354B16"/>
    <w:rsid w:val="00354B18"/>
    <w:rsid w:val="00354B26"/>
    <w:rsid w:val="00354B77"/>
    <w:rsid w:val="00354BA5"/>
    <w:rsid w:val="00354BAD"/>
    <w:rsid w:val="00354BE9"/>
    <w:rsid w:val="00354C16"/>
    <w:rsid w:val="00354C7C"/>
    <w:rsid w:val="00354CE9"/>
    <w:rsid w:val="00354D38"/>
    <w:rsid w:val="00354D68"/>
    <w:rsid w:val="00354DBF"/>
    <w:rsid w:val="00354E82"/>
    <w:rsid w:val="00354EF7"/>
    <w:rsid w:val="00354F61"/>
    <w:rsid w:val="00354FE7"/>
    <w:rsid w:val="0035516C"/>
    <w:rsid w:val="00355260"/>
    <w:rsid w:val="00355269"/>
    <w:rsid w:val="00355343"/>
    <w:rsid w:val="003553A5"/>
    <w:rsid w:val="003553AF"/>
    <w:rsid w:val="0035549C"/>
    <w:rsid w:val="003554AF"/>
    <w:rsid w:val="003554B6"/>
    <w:rsid w:val="003554DF"/>
    <w:rsid w:val="00355603"/>
    <w:rsid w:val="0035567C"/>
    <w:rsid w:val="0035569F"/>
    <w:rsid w:val="003556B1"/>
    <w:rsid w:val="003556E1"/>
    <w:rsid w:val="0035576E"/>
    <w:rsid w:val="003557C6"/>
    <w:rsid w:val="00355827"/>
    <w:rsid w:val="00355870"/>
    <w:rsid w:val="003558A8"/>
    <w:rsid w:val="003558B0"/>
    <w:rsid w:val="003558C5"/>
    <w:rsid w:val="00355A1E"/>
    <w:rsid w:val="00355B94"/>
    <w:rsid w:val="00355BD5"/>
    <w:rsid w:val="00355D18"/>
    <w:rsid w:val="00355D1F"/>
    <w:rsid w:val="00355D56"/>
    <w:rsid w:val="00355D7F"/>
    <w:rsid w:val="00355DE0"/>
    <w:rsid w:val="00355E14"/>
    <w:rsid w:val="00355E1A"/>
    <w:rsid w:val="00355E3C"/>
    <w:rsid w:val="00355EF4"/>
    <w:rsid w:val="00355FB1"/>
    <w:rsid w:val="00355FCC"/>
    <w:rsid w:val="00355FEE"/>
    <w:rsid w:val="003560D8"/>
    <w:rsid w:val="0035616E"/>
    <w:rsid w:val="0035628F"/>
    <w:rsid w:val="0035633B"/>
    <w:rsid w:val="0035633E"/>
    <w:rsid w:val="00356366"/>
    <w:rsid w:val="00356376"/>
    <w:rsid w:val="0035638D"/>
    <w:rsid w:val="00356390"/>
    <w:rsid w:val="00356450"/>
    <w:rsid w:val="00356497"/>
    <w:rsid w:val="003564AE"/>
    <w:rsid w:val="0035659A"/>
    <w:rsid w:val="0035665E"/>
    <w:rsid w:val="00356750"/>
    <w:rsid w:val="00356791"/>
    <w:rsid w:val="003567A2"/>
    <w:rsid w:val="003567A8"/>
    <w:rsid w:val="003567BD"/>
    <w:rsid w:val="00356811"/>
    <w:rsid w:val="00356827"/>
    <w:rsid w:val="003569CD"/>
    <w:rsid w:val="00356A2E"/>
    <w:rsid w:val="00356AA6"/>
    <w:rsid w:val="00356AB4"/>
    <w:rsid w:val="00356AE2"/>
    <w:rsid w:val="00356B38"/>
    <w:rsid w:val="00356BA3"/>
    <w:rsid w:val="00356BB4"/>
    <w:rsid w:val="00356BB9"/>
    <w:rsid w:val="00356BF1"/>
    <w:rsid w:val="00356D2E"/>
    <w:rsid w:val="00356D8F"/>
    <w:rsid w:val="00356DBF"/>
    <w:rsid w:val="00356E7F"/>
    <w:rsid w:val="00356E97"/>
    <w:rsid w:val="00356EFA"/>
    <w:rsid w:val="00356F3D"/>
    <w:rsid w:val="00356F8D"/>
    <w:rsid w:val="00356FAF"/>
    <w:rsid w:val="00357002"/>
    <w:rsid w:val="00357033"/>
    <w:rsid w:val="00357054"/>
    <w:rsid w:val="0035708C"/>
    <w:rsid w:val="003570D2"/>
    <w:rsid w:val="0035720B"/>
    <w:rsid w:val="003572C3"/>
    <w:rsid w:val="00357357"/>
    <w:rsid w:val="0035737A"/>
    <w:rsid w:val="0035750A"/>
    <w:rsid w:val="0035757F"/>
    <w:rsid w:val="00357580"/>
    <w:rsid w:val="003575CF"/>
    <w:rsid w:val="003576AD"/>
    <w:rsid w:val="0035778A"/>
    <w:rsid w:val="003577AC"/>
    <w:rsid w:val="003577CB"/>
    <w:rsid w:val="003577DA"/>
    <w:rsid w:val="003577DD"/>
    <w:rsid w:val="003578FF"/>
    <w:rsid w:val="0035791D"/>
    <w:rsid w:val="00357949"/>
    <w:rsid w:val="0035795B"/>
    <w:rsid w:val="00357A66"/>
    <w:rsid w:val="00357B54"/>
    <w:rsid w:val="00357BCD"/>
    <w:rsid w:val="00357C6E"/>
    <w:rsid w:val="00357CEB"/>
    <w:rsid w:val="00357D33"/>
    <w:rsid w:val="00357DFB"/>
    <w:rsid w:val="00357E48"/>
    <w:rsid w:val="00357F7A"/>
    <w:rsid w:val="00357F7B"/>
    <w:rsid w:val="00360059"/>
    <w:rsid w:val="003600C2"/>
    <w:rsid w:val="00360117"/>
    <w:rsid w:val="0036020C"/>
    <w:rsid w:val="00360244"/>
    <w:rsid w:val="00360247"/>
    <w:rsid w:val="0036032B"/>
    <w:rsid w:val="00360336"/>
    <w:rsid w:val="00360488"/>
    <w:rsid w:val="003604C6"/>
    <w:rsid w:val="0036058F"/>
    <w:rsid w:val="003605DA"/>
    <w:rsid w:val="0036061B"/>
    <w:rsid w:val="00360837"/>
    <w:rsid w:val="0036088E"/>
    <w:rsid w:val="003608EF"/>
    <w:rsid w:val="00360972"/>
    <w:rsid w:val="00360A25"/>
    <w:rsid w:val="00360A9B"/>
    <w:rsid w:val="00360A9F"/>
    <w:rsid w:val="00360BBF"/>
    <w:rsid w:val="00360BEB"/>
    <w:rsid w:val="00360C16"/>
    <w:rsid w:val="00360C69"/>
    <w:rsid w:val="00360D1B"/>
    <w:rsid w:val="00360D23"/>
    <w:rsid w:val="00360D7F"/>
    <w:rsid w:val="00360DEE"/>
    <w:rsid w:val="00360E2A"/>
    <w:rsid w:val="00360E68"/>
    <w:rsid w:val="00360E9E"/>
    <w:rsid w:val="00360F37"/>
    <w:rsid w:val="00360FA7"/>
    <w:rsid w:val="00360FD8"/>
    <w:rsid w:val="00360FE4"/>
    <w:rsid w:val="00361239"/>
    <w:rsid w:val="003612E3"/>
    <w:rsid w:val="0036134E"/>
    <w:rsid w:val="00361383"/>
    <w:rsid w:val="0036139A"/>
    <w:rsid w:val="003613A0"/>
    <w:rsid w:val="003614C0"/>
    <w:rsid w:val="003614EB"/>
    <w:rsid w:val="00361559"/>
    <w:rsid w:val="003615BD"/>
    <w:rsid w:val="003615DC"/>
    <w:rsid w:val="003615FB"/>
    <w:rsid w:val="003616A7"/>
    <w:rsid w:val="00361714"/>
    <w:rsid w:val="00361742"/>
    <w:rsid w:val="0036177A"/>
    <w:rsid w:val="003617C7"/>
    <w:rsid w:val="0036183D"/>
    <w:rsid w:val="00361851"/>
    <w:rsid w:val="003619BE"/>
    <w:rsid w:val="00361A23"/>
    <w:rsid w:val="00361A77"/>
    <w:rsid w:val="00361ACC"/>
    <w:rsid w:val="00361B0F"/>
    <w:rsid w:val="00361CD9"/>
    <w:rsid w:val="00361D72"/>
    <w:rsid w:val="00361D7E"/>
    <w:rsid w:val="00361D92"/>
    <w:rsid w:val="00361DE6"/>
    <w:rsid w:val="00361E77"/>
    <w:rsid w:val="00361EE3"/>
    <w:rsid w:val="00361F34"/>
    <w:rsid w:val="00361F82"/>
    <w:rsid w:val="0036201C"/>
    <w:rsid w:val="00362037"/>
    <w:rsid w:val="0036203A"/>
    <w:rsid w:val="0036206A"/>
    <w:rsid w:val="00362121"/>
    <w:rsid w:val="00362195"/>
    <w:rsid w:val="003621DF"/>
    <w:rsid w:val="003621F7"/>
    <w:rsid w:val="00362221"/>
    <w:rsid w:val="00362235"/>
    <w:rsid w:val="00362264"/>
    <w:rsid w:val="0036226A"/>
    <w:rsid w:val="0036228E"/>
    <w:rsid w:val="003622BF"/>
    <w:rsid w:val="0036230E"/>
    <w:rsid w:val="00362383"/>
    <w:rsid w:val="0036245C"/>
    <w:rsid w:val="00362468"/>
    <w:rsid w:val="0036248A"/>
    <w:rsid w:val="00362518"/>
    <w:rsid w:val="0036265C"/>
    <w:rsid w:val="00362694"/>
    <w:rsid w:val="0036276C"/>
    <w:rsid w:val="00362773"/>
    <w:rsid w:val="00362787"/>
    <w:rsid w:val="003627F6"/>
    <w:rsid w:val="003628A4"/>
    <w:rsid w:val="003628E1"/>
    <w:rsid w:val="0036299A"/>
    <w:rsid w:val="003629C7"/>
    <w:rsid w:val="00362B5F"/>
    <w:rsid w:val="00362C16"/>
    <w:rsid w:val="00362CDD"/>
    <w:rsid w:val="00362D0A"/>
    <w:rsid w:val="00362D55"/>
    <w:rsid w:val="00362DE6"/>
    <w:rsid w:val="00362DF4"/>
    <w:rsid w:val="00362FDE"/>
    <w:rsid w:val="0036310F"/>
    <w:rsid w:val="0036311C"/>
    <w:rsid w:val="003631CB"/>
    <w:rsid w:val="003631D4"/>
    <w:rsid w:val="0036322E"/>
    <w:rsid w:val="00363243"/>
    <w:rsid w:val="003633B2"/>
    <w:rsid w:val="0036343B"/>
    <w:rsid w:val="003634B8"/>
    <w:rsid w:val="003634D3"/>
    <w:rsid w:val="0036350C"/>
    <w:rsid w:val="00363535"/>
    <w:rsid w:val="00363639"/>
    <w:rsid w:val="00363706"/>
    <w:rsid w:val="0036373C"/>
    <w:rsid w:val="00363783"/>
    <w:rsid w:val="0036389B"/>
    <w:rsid w:val="0036389C"/>
    <w:rsid w:val="003639F0"/>
    <w:rsid w:val="00363A30"/>
    <w:rsid w:val="00363ACB"/>
    <w:rsid w:val="00363B32"/>
    <w:rsid w:val="00363B91"/>
    <w:rsid w:val="00363C6D"/>
    <w:rsid w:val="00363C93"/>
    <w:rsid w:val="00363D00"/>
    <w:rsid w:val="00363E64"/>
    <w:rsid w:val="00363F3C"/>
    <w:rsid w:val="0036400D"/>
    <w:rsid w:val="00364045"/>
    <w:rsid w:val="003640A1"/>
    <w:rsid w:val="0036428A"/>
    <w:rsid w:val="003642B2"/>
    <w:rsid w:val="00364335"/>
    <w:rsid w:val="00364392"/>
    <w:rsid w:val="003643D6"/>
    <w:rsid w:val="003643D8"/>
    <w:rsid w:val="003643EC"/>
    <w:rsid w:val="00364448"/>
    <w:rsid w:val="00364464"/>
    <w:rsid w:val="00364498"/>
    <w:rsid w:val="00364500"/>
    <w:rsid w:val="00364657"/>
    <w:rsid w:val="0036472C"/>
    <w:rsid w:val="0036472D"/>
    <w:rsid w:val="00364796"/>
    <w:rsid w:val="003647A9"/>
    <w:rsid w:val="003647EF"/>
    <w:rsid w:val="0036486C"/>
    <w:rsid w:val="003648CF"/>
    <w:rsid w:val="0036490D"/>
    <w:rsid w:val="00364940"/>
    <w:rsid w:val="00364991"/>
    <w:rsid w:val="00364A02"/>
    <w:rsid w:val="00364A95"/>
    <w:rsid w:val="00364AB5"/>
    <w:rsid w:val="00364B17"/>
    <w:rsid w:val="00364B87"/>
    <w:rsid w:val="00364BD2"/>
    <w:rsid w:val="00364C76"/>
    <w:rsid w:val="00364D06"/>
    <w:rsid w:val="00364DC2"/>
    <w:rsid w:val="00364E68"/>
    <w:rsid w:val="00364E86"/>
    <w:rsid w:val="00364EDD"/>
    <w:rsid w:val="00364F4F"/>
    <w:rsid w:val="00364FA6"/>
    <w:rsid w:val="00365154"/>
    <w:rsid w:val="00365167"/>
    <w:rsid w:val="003651CD"/>
    <w:rsid w:val="00365212"/>
    <w:rsid w:val="00365238"/>
    <w:rsid w:val="00365288"/>
    <w:rsid w:val="003652BF"/>
    <w:rsid w:val="003653C0"/>
    <w:rsid w:val="0036540C"/>
    <w:rsid w:val="003654D9"/>
    <w:rsid w:val="00365685"/>
    <w:rsid w:val="0036569B"/>
    <w:rsid w:val="0036578E"/>
    <w:rsid w:val="0036579D"/>
    <w:rsid w:val="0036593F"/>
    <w:rsid w:val="00365985"/>
    <w:rsid w:val="003659FB"/>
    <w:rsid w:val="003659FD"/>
    <w:rsid w:val="00365AFB"/>
    <w:rsid w:val="00365B0A"/>
    <w:rsid w:val="00365B18"/>
    <w:rsid w:val="00365C0B"/>
    <w:rsid w:val="00365C58"/>
    <w:rsid w:val="00365CBA"/>
    <w:rsid w:val="00365CE6"/>
    <w:rsid w:val="00365D6A"/>
    <w:rsid w:val="00365D78"/>
    <w:rsid w:val="00365D9D"/>
    <w:rsid w:val="00365DBE"/>
    <w:rsid w:val="00365DDE"/>
    <w:rsid w:val="00365DF9"/>
    <w:rsid w:val="00365E1D"/>
    <w:rsid w:val="00365EF4"/>
    <w:rsid w:val="0036615F"/>
    <w:rsid w:val="00366181"/>
    <w:rsid w:val="003661D6"/>
    <w:rsid w:val="003661D7"/>
    <w:rsid w:val="00366250"/>
    <w:rsid w:val="00366260"/>
    <w:rsid w:val="00366264"/>
    <w:rsid w:val="00366276"/>
    <w:rsid w:val="00366290"/>
    <w:rsid w:val="003662D5"/>
    <w:rsid w:val="00366368"/>
    <w:rsid w:val="003663F6"/>
    <w:rsid w:val="003664CD"/>
    <w:rsid w:val="003664EF"/>
    <w:rsid w:val="00366724"/>
    <w:rsid w:val="0036679B"/>
    <w:rsid w:val="003668EB"/>
    <w:rsid w:val="003668F9"/>
    <w:rsid w:val="00366938"/>
    <w:rsid w:val="00366977"/>
    <w:rsid w:val="003669C3"/>
    <w:rsid w:val="003669DC"/>
    <w:rsid w:val="003669E6"/>
    <w:rsid w:val="003669F1"/>
    <w:rsid w:val="00366A36"/>
    <w:rsid w:val="00366A4D"/>
    <w:rsid w:val="00366A58"/>
    <w:rsid w:val="00366A61"/>
    <w:rsid w:val="00366AC1"/>
    <w:rsid w:val="00366B98"/>
    <w:rsid w:val="00366BBA"/>
    <w:rsid w:val="00366BF9"/>
    <w:rsid w:val="00366C15"/>
    <w:rsid w:val="00366C65"/>
    <w:rsid w:val="00366CF6"/>
    <w:rsid w:val="00366CF8"/>
    <w:rsid w:val="00366D90"/>
    <w:rsid w:val="00366DBC"/>
    <w:rsid w:val="00366EE6"/>
    <w:rsid w:val="00366F2E"/>
    <w:rsid w:val="00366F4C"/>
    <w:rsid w:val="00367021"/>
    <w:rsid w:val="0036702F"/>
    <w:rsid w:val="00367360"/>
    <w:rsid w:val="003673FB"/>
    <w:rsid w:val="003674FB"/>
    <w:rsid w:val="00367567"/>
    <w:rsid w:val="003675A0"/>
    <w:rsid w:val="003675AE"/>
    <w:rsid w:val="00367606"/>
    <w:rsid w:val="00367642"/>
    <w:rsid w:val="00367682"/>
    <w:rsid w:val="00367687"/>
    <w:rsid w:val="0036768D"/>
    <w:rsid w:val="00367835"/>
    <w:rsid w:val="00367924"/>
    <w:rsid w:val="00367961"/>
    <w:rsid w:val="003679C1"/>
    <w:rsid w:val="003679FE"/>
    <w:rsid w:val="00367A1A"/>
    <w:rsid w:val="00367AA1"/>
    <w:rsid w:val="00367AD3"/>
    <w:rsid w:val="00367AD5"/>
    <w:rsid w:val="00367B2E"/>
    <w:rsid w:val="00367C98"/>
    <w:rsid w:val="00367CCC"/>
    <w:rsid w:val="00367E35"/>
    <w:rsid w:val="00367E39"/>
    <w:rsid w:val="00367EBC"/>
    <w:rsid w:val="00367F39"/>
    <w:rsid w:val="00367F57"/>
    <w:rsid w:val="00367F8E"/>
    <w:rsid w:val="00368065"/>
    <w:rsid w:val="00370077"/>
    <w:rsid w:val="00370099"/>
    <w:rsid w:val="003700AA"/>
    <w:rsid w:val="00370149"/>
    <w:rsid w:val="00370202"/>
    <w:rsid w:val="00370236"/>
    <w:rsid w:val="0037023C"/>
    <w:rsid w:val="00370267"/>
    <w:rsid w:val="003702CD"/>
    <w:rsid w:val="003703B7"/>
    <w:rsid w:val="003703D1"/>
    <w:rsid w:val="003705CD"/>
    <w:rsid w:val="003706B4"/>
    <w:rsid w:val="00370763"/>
    <w:rsid w:val="003707CC"/>
    <w:rsid w:val="003707D0"/>
    <w:rsid w:val="003707DB"/>
    <w:rsid w:val="0037088F"/>
    <w:rsid w:val="003708FD"/>
    <w:rsid w:val="0037093A"/>
    <w:rsid w:val="00370A0E"/>
    <w:rsid w:val="00370A91"/>
    <w:rsid w:val="00370B31"/>
    <w:rsid w:val="00370B79"/>
    <w:rsid w:val="00370BD7"/>
    <w:rsid w:val="00370BE1"/>
    <w:rsid w:val="00370C27"/>
    <w:rsid w:val="00370CB2"/>
    <w:rsid w:val="00370D16"/>
    <w:rsid w:val="00370DF2"/>
    <w:rsid w:val="00370E0B"/>
    <w:rsid w:val="00370E10"/>
    <w:rsid w:val="00370E2E"/>
    <w:rsid w:val="00370ED8"/>
    <w:rsid w:val="00371062"/>
    <w:rsid w:val="00371097"/>
    <w:rsid w:val="00371138"/>
    <w:rsid w:val="003711B0"/>
    <w:rsid w:val="003711C8"/>
    <w:rsid w:val="00371201"/>
    <w:rsid w:val="0037127F"/>
    <w:rsid w:val="00371331"/>
    <w:rsid w:val="00371354"/>
    <w:rsid w:val="0037138B"/>
    <w:rsid w:val="00371393"/>
    <w:rsid w:val="0037147C"/>
    <w:rsid w:val="0037148D"/>
    <w:rsid w:val="003714B0"/>
    <w:rsid w:val="003714ED"/>
    <w:rsid w:val="00371502"/>
    <w:rsid w:val="00371677"/>
    <w:rsid w:val="003716A1"/>
    <w:rsid w:val="003716DE"/>
    <w:rsid w:val="003716E7"/>
    <w:rsid w:val="0037180D"/>
    <w:rsid w:val="0037184D"/>
    <w:rsid w:val="0037185D"/>
    <w:rsid w:val="00371863"/>
    <w:rsid w:val="003718FA"/>
    <w:rsid w:val="00371922"/>
    <w:rsid w:val="0037198D"/>
    <w:rsid w:val="00371A2D"/>
    <w:rsid w:val="00371A94"/>
    <w:rsid w:val="00371BE7"/>
    <w:rsid w:val="00371C40"/>
    <w:rsid w:val="00371C45"/>
    <w:rsid w:val="00371C9A"/>
    <w:rsid w:val="00371D4B"/>
    <w:rsid w:val="00371DC3"/>
    <w:rsid w:val="00371DCD"/>
    <w:rsid w:val="00371F2C"/>
    <w:rsid w:val="00371F75"/>
    <w:rsid w:val="00371FE6"/>
    <w:rsid w:val="00372026"/>
    <w:rsid w:val="0037202B"/>
    <w:rsid w:val="0037207A"/>
    <w:rsid w:val="0037211F"/>
    <w:rsid w:val="00372140"/>
    <w:rsid w:val="003721D3"/>
    <w:rsid w:val="003721D5"/>
    <w:rsid w:val="00372346"/>
    <w:rsid w:val="003723A2"/>
    <w:rsid w:val="0037249F"/>
    <w:rsid w:val="003724EB"/>
    <w:rsid w:val="00372587"/>
    <w:rsid w:val="003725EE"/>
    <w:rsid w:val="003725F1"/>
    <w:rsid w:val="00372614"/>
    <w:rsid w:val="00372621"/>
    <w:rsid w:val="0037264D"/>
    <w:rsid w:val="0037269D"/>
    <w:rsid w:val="00372714"/>
    <w:rsid w:val="00372734"/>
    <w:rsid w:val="00372778"/>
    <w:rsid w:val="00372781"/>
    <w:rsid w:val="00372795"/>
    <w:rsid w:val="003727A5"/>
    <w:rsid w:val="00372815"/>
    <w:rsid w:val="0037289F"/>
    <w:rsid w:val="003728A3"/>
    <w:rsid w:val="0037296A"/>
    <w:rsid w:val="00372979"/>
    <w:rsid w:val="003729F4"/>
    <w:rsid w:val="003729F9"/>
    <w:rsid w:val="00372AD9"/>
    <w:rsid w:val="00372B43"/>
    <w:rsid w:val="00372C52"/>
    <w:rsid w:val="00372CF0"/>
    <w:rsid w:val="00372D4B"/>
    <w:rsid w:val="00372DFB"/>
    <w:rsid w:val="00372F8D"/>
    <w:rsid w:val="00373044"/>
    <w:rsid w:val="00373048"/>
    <w:rsid w:val="0037305D"/>
    <w:rsid w:val="003730E4"/>
    <w:rsid w:val="003730FB"/>
    <w:rsid w:val="0037311A"/>
    <w:rsid w:val="0037319D"/>
    <w:rsid w:val="003731E4"/>
    <w:rsid w:val="00373276"/>
    <w:rsid w:val="003732C2"/>
    <w:rsid w:val="003734CE"/>
    <w:rsid w:val="00373594"/>
    <w:rsid w:val="003735C3"/>
    <w:rsid w:val="00373660"/>
    <w:rsid w:val="00373671"/>
    <w:rsid w:val="003736BD"/>
    <w:rsid w:val="00373748"/>
    <w:rsid w:val="0037379D"/>
    <w:rsid w:val="0037380F"/>
    <w:rsid w:val="003738BD"/>
    <w:rsid w:val="003738D0"/>
    <w:rsid w:val="00373941"/>
    <w:rsid w:val="00373973"/>
    <w:rsid w:val="003739A8"/>
    <w:rsid w:val="003739E6"/>
    <w:rsid w:val="00373A38"/>
    <w:rsid w:val="00373A56"/>
    <w:rsid w:val="00373C8F"/>
    <w:rsid w:val="00373CE9"/>
    <w:rsid w:val="00373D69"/>
    <w:rsid w:val="00373E23"/>
    <w:rsid w:val="00373E3B"/>
    <w:rsid w:val="00373EC8"/>
    <w:rsid w:val="0037403D"/>
    <w:rsid w:val="003740A6"/>
    <w:rsid w:val="003740DC"/>
    <w:rsid w:val="0037411C"/>
    <w:rsid w:val="003741B9"/>
    <w:rsid w:val="00374374"/>
    <w:rsid w:val="0037438B"/>
    <w:rsid w:val="003744A9"/>
    <w:rsid w:val="0037453D"/>
    <w:rsid w:val="003745C0"/>
    <w:rsid w:val="003745C4"/>
    <w:rsid w:val="003746DD"/>
    <w:rsid w:val="00374737"/>
    <w:rsid w:val="0037479B"/>
    <w:rsid w:val="003747AA"/>
    <w:rsid w:val="003747B1"/>
    <w:rsid w:val="003747D5"/>
    <w:rsid w:val="003747DD"/>
    <w:rsid w:val="00374902"/>
    <w:rsid w:val="00374959"/>
    <w:rsid w:val="00374A0B"/>
    <w:rsid w:val="00374A9A"/>
    <w:rsid w:val="00374B55"/>
    <w:rsid w:val="00374BAD"/>
    <w:rsid w:val="00374CD9"/>
    <w:rsid w:val="00374D2C"/>
    <w:rsid w:val="00374E1E"/>
    <w:rsid w:val="00374E3A"/>
    <w:rsid w:val="00374E42"/>
    <w:rsid w:val="00375070"/>
    <w:rsid w:val="003750E1"/>
    <w:rsid w:val="00375135"/>
    <w:rsid w:val="003751A4"/>
    <w:rsid w:val="003751BE"/>
    <w:rsid w:val="00375243"/>
    <w:rsid w:val="00375322"/>
    <w:rsid w:val="00375369"/>
    <w:rsid w:val="003753F5"/>
    <w:rsid w:val="003754EA"/>
    <w:rsid w:val="003754FA"/>
    <w:rsid w:val="003755E5"/>
    <w:rsid w:val="00375657"/>
    <w:rsid w:val="00375709"/>
    <w:rsid w:val="0037574C"/>
    <w:rsid w:val="00375758"/>
    <w:rsid w:val="003757CE"/>
    <w:rsid w:val="00375804"/>
    <w:rsid w:val="003758AF"/>
    <w:rsid w:val="003758D9"/>
    <w:rsid w:val="003758E1"/>
    <w:rsid w:val="00375960"/>
    <w:rsid w:val="003759AE"/>
    <w:rsid w:val="003759CD"/>
    <w:rsid w:val="00375A15"/>
    <w:rsid w:val="00375B85"/>
    <w:rsid w:val="00375C0E"/>
    <w:rsid w:val="00375C1A"/>
    <w:rsid w:val="00375C4D"/>
    <w:rsid w:val="00375CC9"/>
    <w:rsid w:val="00375CD4"/>
    <w:rsid w:val="00375D8F"/>
    <w:rsid w:val="00375DB9"/>
    <w:rsid w:val="00375DE2"/>
    <w:rsid w:val="00375E27"/>
    <w:rsid w:val="00375E9D"/>
    <w:rsid w:val="00375F85"/>
    <w:rsid w:val="00375F90"/>
    <w:rsid w:val="0037601A"/>
    <w:rsid w:val="0037602B"/>
    <w:rsid w:val="0037605B"/>
    <w:rsid w:val="00376110"/>
    <w:rsid w:val="00376171"/>
    <w:rsid w:val="00376176"/>
    <w:rsid w:val="0037622F"/>
    <w:rsid w:val="0037623B"/>
    <w:rsid w:val="00376337"/>
    <w:rsid w:val="003763C7"/>
    <w:rsid w:val="003763D1"/>
    <w:rsid w:val="003763E1"/>
    <w:rsid w:val="003763FE"/>
    <w:rsid w:val="00376484"/>
    <w:rsid w:val="003764D3"/>
    <w:rsid w:val="003764FD"/>
    <w:rsid w:val="003765B9"/>
    <w:rsid w:val="003765D7"/>
    <w:rsid w:val="003766D8"/>
    <w:rsid w:val="003766E0"/>
    <w:rsid w:val="00376734"/>
    <w:rsid w:val="00376777"/>
    <w:rsid w:val="003768CD"/>
    <w:rsid w:val="00376A04"/>
    <w:rsid w:val="00376A25"/>
    <w:rsid w:val="00376AB6"/>
    <w:rsid w:val="00376B46"/>
    <w:rsid w:val="00376B63"/>
    <w:rsid w:val="00376BA1"/>
    <w:rsid w:val="00376C2E"/>
    <w:rsid w:val="00376C30"/>
    <w:rsid w:val="00376C51"/>
    <w:rsid w:val="00376CC9"/>
    <w:rsid w:val="00376D4C"/>
    <w:rsid w:val="00376DCC"/>
    <w:rsid w:val="00376E95"/>
    <w:rsid w:val="00376F8C"/>
    <w:rsid w:val="00376FF8"/>
    <w:rsid w:val="003770A1"/>
    <w:rsid w:val="003770F7"/>
    <w:rsid w:val="00377171"/>
    <w:rsid w:val="003771EF"/>
    <w:rsid w:val="00377212"/>
    <w:rsid w:val="00377270"/>
    <w:rsid w:val="003772BB"/>
    <w:rsid w:val="003772E3"/>
    <w:rsid w:val="0037737B"/>
    <w:rsid w:val="00377459"/>
    <w:rsid w:val="00377487"/>
    <w:rsid w:val="0037749B"/>
    <w:rsid w:val="003774A4"/>
    <w:rsid w:val="00377580"/>
    <w:rsid w:val="003776AE"/>
    <w:rsid w:val="00377743"/>
    <w:rsid w:val="00377754"/>
    <w:rsid w:val="003777A6"/>
    <w:rsid w:val="00377966"/>
    <w:rsid w:val="0037796A"/>
    <w:rsid w:val="00377A62"/>
    <w:rsid w:val="00377A95"/>
    <w:rsid w:val="00377B03"/>
    <w:rsid w:val="00377B53"/>
    <w:rsid w:val="00377BAD"/>
    <w:rsid w:val="00377BBE"/>
    <w:rsid w:val="00377C2D"/>
    <w:rsid w:val="00377C7A"/>
    <w:rsid w:val="00377DE5"/>
    <w:rsid w:val="00377E24"/>
    <w:rsid w:val="00377E33"/>
    <w:rsid w:val="00377ED0"/>
    <w:rsid w:val="00377FDB"/>
    <w:rsid w:val="00380064"/>
    <w:rsid w:val="00380114"/>
    <w:rsid w:val="00380118"/>
    <w:rsid w:val="0038013B"/>
    <w:rsid w:val="003801D4"/>
    <w:rsid w:val="003801F2"/>
    <w:rsid w:val="00380217"/>
    <w:rsid w:val="00380309"/>
    <w:rsid w:val="0038037D"/>
    <w:rsid w:val="003803BB"/>
    <w:rsid w:val="003803C8"/>
    <w:rsid w:val="00380449"/>
    <w:rsid w:val="0038047D"/>
    <w:rsid w:val="003804E3"/>
    <w:rsid w:val="00380501"/>
    <w:rsid w:val="00380668"/>
    <w:rsid w:val="003806B1"/>
    <w:rsid w:val="00380704"/>
    <w:rsid w:val="00380736"/>
    <w:rsid w:val="00380749"/>
    <w:rsid w:val="003809ED"/>
    <w:rsid w:val="003809FF"/>
    <w:rsid w:val="00380AA5"/>
    <w:rsid w:val="00380AE2"/>
    <w:rsid w:val="00380B24"/>
    <w:rsid w:val="00380BFF"/>
    <w:rsid w:val="00380C50"/>
    <w:rsid w:val="00380DEF"/>
    <w:rsid w:val="00380E29"/>
    <w:rsid w:val="00380EE4"/>
    <w:rsid w:val="00380EF9"/>
    <w:rsid w:val="00380F02"/>
    <w:rsid w:val="00380F2F"/>
    <w:rsid w:val="00380F4E"/>
    <w:rsid w:val="00380F7B"/>
    <w:rsid w:val="00380F8D"/>
    <w:rsid w:val="00381011"/>
    <w:rsid w:val="00381029"/>
    <w:rsid w:val="0038103B"/>
    <w:rsid w:val="003811AC"/>
    <w:rsid w:val="00381267"/>
    <w:rsid w:val="0038128B"/>
    <w:rsid w:val="003812B6"/>
    <w:rsid w:val="00381325"/>
    <w:rsid w:val="003813F7"/>
    <w:rsid w:val="003813FF"/>
    <w:rsid w:val="003814A0"/>
    <w:rsid w:val="00381521"/>
    <w:rsid w:val="00381649"/>
    <w:rsid w:val="003816C2"/>
    <w:rsid w:val="00381708"/>
    <w:rsid w:val="00381747"/>
    <w:rsid w:val="00381793"/>
    <w:rsid w:val="00381860"/>
    <w:rsid w:val="0038189C"/>
    <w:rsid w:val="003818F8"/>
    <w:rsid w:val="0038192C"/>
    <w:rsid w:val="0038193B"/>
    <w:rsid w:val="00381956"/>
    <w:rsid w:val="00381978"/>
    <w:rsid w:val="003819B7"/>
    <w:rsid w:val="003819BC"/>
    <w:rsid w:val="003819C8"/>
    <w:rsid w:val="003819E6"/>
    <w:rsid w:val="00381A3A"/>
    <w:rsid w:val="00381B04"/>
    <w:rsid w:val="00381B85"/>
    <w:rsid w:val="00381B92"/>
    <w:rsid w:val="00381C23"/>
    <w:rsid w:val="00381C3F"/>
    <w:rsid w:val="00381C5D"/>
    <w:rsid w:val="00381CA6"/>
    <w:rsid w:val="00381DE8"/>
    <w:rsid w:val="00381E3C"/>
    <w:rsid w:val="00381E9B"/>
    <w:rsid w:val="00381F5B"/>
    <w:rsid w:val="00381FAF"/>
    <w:rsid w:val="0038202F"/>
    <w:rsid w:val="003820C1"/>
    <w:rsid w:val="00382205"/>
    <w:rsid w:val="00382230"/>
    <w:rsid w:val="003822FA"/>
    <w:rsid w:val="0038230A"/>
    <w:rsid w:val="00382398"/>
    <w:rsid w:val="00382469"/>
    <w:rsid w:val="0038248C"/>
    <w:rsid w:val="003824F0"/>
    <w:rsid w:val="00382558"/>
    <w:rsid w:val="003825A6"/>
    <w:rsid w:val="00382644"/>
    <w:rsid w:val="0038279B"/>
    <w:rsid w:val="00382825"/>
    <w:rsid w:val="00382894"/>
    <w:rsid w:val="0038291A"/>
    <w:rsid w:val="0038298E"/>
    <w:rsid w:val="003829B8"/>
    <w:rsid w:val="00382AEF"/>
    <w:rsid w:val="00382BA9"/>
    <w:rsid w:val="00382BB0"/>
    <w:rsid w:val="00382C25"/>
    <w:rsid w:val="00382C2C"/>
    <w:rsid w:val="00382D13"/>
    <w:rsid w:val="00382D49"/>
    <w:rsid w:val="00382D88"/>
    <w:rsid w:val="00382EDE"/>
    <w:rsid w:val="00382F17"/>
    <w:rsid w:val="00383042"/>
    <w:rsid w:val="003830F9"/>
    <w:rsid w:val="0038318D"/>
    <w:rsid w:val="003831F2"/>
    <w:rsid w:val="00383258"/>
    <w:rsid w:val="003832D9"/>
    <w:rsid w:val="00383384"/>
    <w:rsid w:val="0038338C"/>
    <w:rsid w:val="003833B5"/>
    <w:rsid w:val="003833CE"/>
    <w:rsid w:val="003833E6"/>
    <w:rsid w:val="00383472"/>
    <w:rsid w:val="003834C9"/>
    <w:rsid w:val="0038352F"/>
    <w:rsid w:val="00383574"/>
    <w:rsid w:val="00383579"/>
    <w:rsid w:val="003835D8"/>
    <w:rsid w:val="003836D0"/>
    <w:rsid w:val="00383705"/>
    <w:rsid w:val="00383763"/>
    <w:rsid w:val="00383808"/>
    <w:rsid w:val="00383819"/>
    <w:rsid w:val="0038388A"/>
    <w:rsid w:val="003838A5"/>
    <w:rsid w:val="003838EA"/>
    <w:rsid w:val="003838F8"/>
    <w:rsid w:val="0038390E"/>
    <w:rsid w:val="00383932"/>
    <w:rsid w:val="00383982"/>
    <w:rsid w:val="00383984"/>
    <w:rsid w:val="003839E9"/>
    <w:rsid w:val="00383AD1"/>
    <w:rsid w:val="00383AFE"/>
    <w:rsid w:val="00383BB6"/>
    <w:rsid w:val="00383CDC"/>
    <w:rsid w:val="00383D44"/>
    <w:rsid w:val="00383D84"/>
    <w:rsid w:val="00383E18"/>
    <w:rsid w:val="00383E3B"/>
    <w:rsid w:val="00383EA8"/>
    <w:rsid w:val="00383F20"/>
    <w:rsid w:val="00383F80"/>
    <w:rsid w:val="00383F86"/>
    <w:rsid w:val="003840F7"/>
    <w:rsid w:val="00384110"/>
    <w:rsid w:val="003841B7"/>
    <w:rsid w:val="0038428F"/>
    <w:rsid w:val="003842E6"/>
    <w:rsid w:val="00384323"/>
    <w:rsid w:val="00384328"/>
    <w:rsid w:val="00384336"/>
    <w:rsid w:val="003843AE"/>
    <w:rsid w:val="003843F4"/>
    <w:rsid w:val="00384410"/>
    <w:rsid w:val="00384482"/>
    <w:rsid w:val="00384503"/>
    <w:rsid w:val="00384509"/>
    <w:rsid w:val="003845A4"/>
    <w:rsid w:val="00384614"/>
    <w:rsid w:val="003846AA"/>
    <w:rsid w:val="00384707"/>
    <w:rsid w:val="0038484B"/>
    <w:rsid w:val="0038493E"/>
    <w:rsid w:val="00384997"/>
    <w:rsid w:val="00384998"/>
    <w:rsid w:val="00384A45"/>
    <w:rsid w:val="00384A82"/>
    <w:rsid w:val="00384B4B"/>
    <w:rsid w:val="00384C47"/>
    <w:rsid w:val="00384C6B"/>
    <w:rsid w:val="00384EB7"/>
    <w:rsid w:val="00384F1A"/>
    <w:rsid w:val="00384F4A"/>
    <w:rsid w:val="00384FCC"/>
    <w:rsid w:val="0038507A"/>
    <w:rsid w:val="003850F4"/>
    <w:rsid w:val="0038510C"/>
    <w:rsid w:val="0038516E"/>
    <w:rsid w:val="00385299"/>
    <w:rsid w:val="003853CF"/>
    <w:rsid w:val="0038554E"/>
    <w:rsid w:val="0038558E"/>
    <w:rsid w:val="00385640"/>
    <w:rsid w:val="0038568B"/>
    <w:rsid w:val="00385716"/>
    <w:rsid w:val="0038571D"/>
    <w:rsid w:val="00385731"/>
    <w:rsid w:val="00385768"/>
    <w:rsid w:val="0038589F"/>
    <w:rsid w:val="003859CE"/>
    <w:rsid w:val="00385A7C"/>
    <w:rsid w:val="00385A81"/>
    <w:rsid w:val="00385B40"/>
    <w:rsid w:val="00385B67"/>
    <w:rsid w:val="00385C7F"/>
    <w:rsid w:val="00385C8E"/>
    <w:rsid w:val="00385D97"/>
    <w:rsid w:val="00385E29"/>
    <w:rsid w:val="00385E3F"/>
    <w:rsid w:val="00385E59"/>
    <w:rsid w:val="00385EBC"/>
    <w:rsid w:val="00385F52"/>
    <w:rsid w:val="00385FB2"/>
    <w:rsid w:val="0038604B"/>
    <w:rsid w:val="003860B2"/>
    <w:rsid w:val="003860C1"/>
    <w:rsid w:val="003861A2"/>
    <w:rsid w:val="003861BB"/>
    <w:rsid w:val="0038621D"/>
    <w:rsid w:val="00386225"/>
    <w:rsid w:val="003862B4"/>
    <w:rsid w:val="003862D1"/>
    <w:rsid w:val="003862DB"/>
    <w:rsid w:val="0038638C"/>
    <w:rsid w:val="00386421"/>
    <w:rsid w:val="00386433"/>
    <w:rsid w:val="003864C6"/>
    <w:rsid w:val="00386575"/>
    <w:rsid w:val="0038664F"/>
    <w:rsid w:val="0038673E"/>
    <w:rsid w:val="00386747"/>
    <w:rsid w:val="00386765"/>
    <w:rsid w:val="003867B8"/>
    <w:rsid w:val="003867F3"/>
    <w:rsid w:val="0038684F"/>
    <w:rsid w:val="003868B2"/>
    <w:rsid w:val="0038692C"/>
    <w:rsid w:val="00386967"/>
    <w:rsid w:val="00386A40"/>
    <w:rsid w:val="00386ACE"/>
    <w:rsid w:val="00386B27"/>
    <w:rsid w:val="00386BE9"/>
    <w:rsid w:val="00386BEB"/>
    <w:rsid w:val="00386C60"/>
    <w:rsid w:val="00386D32"/>
    <w:rsid w:val="00386D37"/>
    <w:rsid w:val="00386E06"/>
    <w:rsid w:val="00386E77"/>
    <w:rsid w:val="00386EDF"/>
    <w:rsid w:val="00386EFB"/>
    <w:rsid w:val="00386F65"/>
    <w:rsid w:val="00386F73"/>
    <w:rsid w:val="003870A5"/>
    <w:rsid w:val="003871EF"/>
    <w:rsid w:val="0038727F"/>
    <w:rsid w:val="003872D2"/>
    <w:rsid w:val="00387311"/>
    <w:rsid w:val="0038734B"/>
    <w:rsid w:val="003873FC"/>
    <w:rsid w:val="00387416"/>
    <w:rsid w:val="0038743F"/>
    <w:rsid w:val="0038748E"/>
    <w:rsid w:val="003874AE"/>
    <w:rsid w:val="003874D7"/>
    <w:rsid w:val="003874FB"/>
    <w:rsid w:val="00387559"/>
    <w:rsid w:val="0038759A"/>
    <w:rsid w:val="00387650"/>
    <w:rsid w:val="00387747"/>
    <w:rsid w:val="00387795"/>
    <w:rsid w:val="003877DA"/>
    <w:rsid w:val="00387966"/>
    <w:rsid w:val="00387A0D"/>
    <w:rsid w:val="00387A0F"/>
    <w:rsid w:val="00387A10"/>
    <w:rsid w:val="00387A1D"/>
    <w:rsid w:val="00387B7D"/>
    <w:rsid w:val="00387B90"/>
    <w:rsid w:val="00387B9D"/>
    <w:rsid w:val="00387C53"/>
    <w:rsid w:val="00387CE8"/>
    <w:rsid w:val="00387D41"/>
    <w:rsid w:val="00387DE9"/>
    <w:rsid w:val="00387E03"/>
    <w:rsid w:val="00387FA4"/>
    <w:rsid w:val="00387FE8"/>
    <w:rsid w:val="003900C4"/>
    <w:rsid w:val="00390198"/>
    <w:rsid w:val="003901AE"/>
    <w:rsid w:val="0039030E"/>
    <w:rsid w:val="003903C1"/>
    <w:rsid w:val="0039051F"/>
    <w:rsid w:val="003905C7"/>
    <w:rsid w:val="003905EF"/>
    <w:rsid w:val="0039061D"/>
    <w:rsid w:val="0039067D"/>
    <w:rsid w:val="00390706"/>
    <w:rsid w:val="00390733"/>
    <w:rsid w:val="003907F8"/>
    <w:rsid w:val="00390803"/>
    <w:rsid w:val="00390825"/>
    <w:rsid w:val="003908CF"/>
    <w:rsid w:val="0039090A"/>
    <w:rsid w:val="00390B9B"/>
    <w:rsid w:val="00390BE7"/>
    <w:rsid w:val="00390C59"/>
    <w:rsid w:val="00390D11"/>
    <w:rsid w:val="00390E30"/>
    <w:rsid w:val="00390E45"/>
    <w:rsid w:val="00390E95"/>
    <w:rsid w:val="00390EAF"/>
    <w:rsid w:val="00390EDE"/>
    <w:rsid w:val="00390EE8"/>
    <w:rsid w:val="00390F68"/>
    <w:rsid w:val="00390FAF"/>
    <w:rsid w:val="0039101D"/>
    <w:rsid w:val="0039103F"/>
    <w:rsid w:val="0039109B"/>
    <w:rsid w:val="003910A7"/>
    <w:rsid w:val="0039112E"/>
    <w:rsid w:val="00391156"/>
    <w:rsid w:val="00391190"/>
    <w:rsid w:val="003911B6"/>
    <w:rsid w:val="0039121B"/>
    <w:rsid w:val="00391269"/>
    <w:rsid w:val="00391281"/>
    <w:rsid w:val="00391286"/>
    <w:rsid w:val="00391373"/>
    <w:rsid w:val="00391378"/>
    <w:rsid w:val="003913AE"/>
    <w:rsid w:val="0039141A"/>
    <w:rsid w:val="003914A6"/>
    <w:rsid w:val="003915E7"/>
    <w:rsid w:val="00391667"/>
    <w:rsid w:val="0039166D"/>
    <w:rsid w:val="00391689"/>
    <w:rsid w:val="00391752"/>
    <w:rsid w:val="00391770"/>
    <w:rsid w:val="00391798"/>
    <w:rsid w:val="003917CB"/>
    <w:rsid w:val="00391845"/>
    <w:rsid w:val="00391931"/>
    <w:rsid w:val="00391A75"/>
    <w:rsid w:val="00391B80"/>
    <w:rsid w:val="00391BB4"/>
    <w:rsid w:val="00391D47"/>
    <w:rsid w:val="00391D4B"/>
    <w:rsid w:val="00391D6C"/>
    <w:rsid w:val="00391DB3"/>
    <w:rsid w:val="00391E27"/>
    <w:rsid w:val="00391E4D"/>
    <w:rsid w:val="00391E82"/>
    <w:rsid w:val="00391E84"/>
    <w:rsid w:val="00391EB2"/>
    <w:rsid w:val="00391F6D"/>
    <w:rsid w:val="003920C6"/>
    <w:rsid w:val="00392278"/>
    <w:rsid w:val="00392279"/>
    <w:rsid w:val="003922B2"/>
    <w:rsid w:val="003923B8"/>
    <w:rsid w:val="0039243B"/>
    <w:rsid w:val="003924B2"/>
    <w:rsid w:val="00392513"/>
    <w:rsid w:val="003925EE"/>
    <w:rsid w:val="0039264A"/>
    <w:rsid w:val="003926B0"/>
    <w:rsid w:val="003926D4"/>
    <w:rsid w:val="003926F9"/>
    <w:rsid w:val="0039270D"/>
    <w:rsid w:val="00392731"/>
    <w:rsid w:val="003927A1"/>
    <w:rsid w:val="003927DE"/>
    <w:rsid w:val="0039287C"/>
    <w:rsid w:val="0039288F"/>
    <w:rsid w:val="003928EC"/>
    <w:rsid w:val="0039291B"/>
    <w:rsid w:val="00392981"/>
    <w:rsid w:val="003929CF"/>
    <w:rsid w:val="00392A86"/>
    <w:rsid w:val="00392B53"/>
    <w:rsid w:val="00392B9E"/>
    <w:rsid w:val="00392C6A"/>
    <w:rsid w:val="00392D42"/>
    <w:rsid w:val="00392D4C"/>
    <w:rsid w:val="00392DEA"/>
    <w:rsid w:val="00392F76"/>
    <w:rsid w:val="003931CC"/>
    <w:rsid w:val="003932C8"/>
    <w:rsid w:val="003932E9"/>
    <w:rsid w:val="0039340C"/>
    <w:rsid w:val="00393438"/>
    <w:rsid w:val="0039344B"/>
    <w:rsid w:val="0039347F"/>
    <w:rsid w:val="003934DB"/>
    <w:rsid w:val="00393570"/>
    <w:rsid w:val="003935AB"/>
    <w:rsid w:val="00393621"/>
    <w:rsid w:val="0039371E"/>
    <w:rsid w:val="00393788"/>
    <w:rsid w:val="003937A1"/>
    <w:rsid w:val="00393825"/>
    <w:rsid w:val="0039383E"/>
    <w:rsid w:val="00393926"/>
    <w:rsid w:val="00393A63"/>
    <w:rsid w:val="00393A7E"/>
    <w:rsid w:val="00393BB5"/>
    <w:rsid w:val="00393C2E"/>
    <w:rsid w:val="00393CE3"/>
    <w:rsid w:val="00393D95"/>
    <w:rsid w:val="00393DB4"/>
    <w:rsid w:val="00393E11"/>
    <w:rsid w:val="00393EA9"/>
    <w:rsid w:val="00393F1E"/>
    <w:rsid w:val="00393F75"/>
    <w:rsid w:val="00394013"/>
    <w:rsid w:val="00394188"/>
    <w:rsid w:val="00394193"/>
    <w:rsid w:val="0039423A"/>
    <w:rsid w:val="003942A6"/>
    <w:rsid w:val="00394309"/>
    <w:rsid w:val="0039434A"/>
    <w:rsid w:val="00394448"/>
    <w:rsid w:val="00394516"/>
    <w:rsid w:val="0039452C"/>
    <w:rsid w:val="003945A0"/>
    <w:rsid w:val="003945BF"/>
    <w:rsid w:val="0039460A"/>
    <w:rsid w:val="00394612"/>
    <w:rsid w:val="00394618"/>
    <w:rsid w:val="0039477C"/>
    <w:rsid w:val="00394823"/>
    <w:rsid w:val="00394867"/>
    <w:rsid w:val="00394896"/>
    <w:rsid w:val="003948BF"/>
    <w:rsid w:val="003948F0"/>
    <w:rsid w:val="003948FC"/>
    <w:rsid w:val="00394925"/>
    <w:rsid w:val="003949C1"/>
    <w:rsid w:val="00394A5A"/>
    <w:rsid w:val="00394B02"/>
    <w:rsid w:val="00394B16"/>
    <w:rsid w:val="00394B91"/>
    <w:rsid w:val="00394BC0"/>
    <w:rsid w:val="00394BFB"/>
    <w:rsid w:val="00394C6C"/>
    <w:rsid w:val="00394CB1"/>
    <w:rsid w:val="00394CE0"/>
    <w:rsid w:val="00394DBD"/>
    <w:rsid w:val="00394DCC"/>
    <w:rsid w:val="00394E29"/>
    <w:rsid w:val="00394E47"/>
    <w:rsid w:val="00394E53"/>
    <w:rsid w:val="00394ECE"/>
    <w:rsid w:val="00394FE3"/>
    <w:rsid w:val="00394FEE"/>
    <w:rsid w:val="00395009"/>
    <w:rsid w:val="0039504C"/>
    <w:rsid w:val="00395067"/>
    <w:rsid w:val="00395089"/>
    <w:rsid w:val="003950B8"/>
    <w:rsid w:val="003950EF"/>
    <w:rsid w:val="003950F7"/>
    <w:rsid w:val="0039511E"/>
    <w:rsid w:val="003951FC"/>
    <w:rsid w:val="0039525C"/>
    <w:rsid w:val="00395286"/>
    <w:rsid w:val="003952A3"/>
    <w:rsid w:val="0039530B"/>
    <w:rsid w:val="003954E8"/>
    <w:rsid w:val="00395529"/>
    <w:rsid w:val="0039571B"/>
    <w:rsid w:val="00395720"/>
    <w:rsid w:val="00395775"/>
    <w:rsid w:val="0039589E"/>
    <w:rsid w:val="003958CA"/>
    <w:rsid w:val="0039591A"/>
    <w:rsid w:val="00395954"/>
    <w:rsid w:val="00395979"/>
    <w:rsid w:val="00395A91"/>
    <w:rsid w:val="00395AAF"/>
    <w:rsid w:val="00395C47"/>
    <w:rsid w:val="00395C56"/>
    <w:rsid w:val="00395CFA"/>
    <w:rsid w:val="00395D23"/>
    <w:rsid w:val="00395E4B"/>
    <w:rsid w:val="00395E97"/>
    <w:rsid w:val="00395ED9"/>
    <w:rsid w:val="003960CE"/>
    <w:rsid w:val="00396127"/>
    <w:rsid w:val="003961BE"/>
    <w:rsid w:val="003961D3"/>
    <w:rsid w:val="003961E3"/>
    <w:rsid w:val="003962BC"/>
    <w:rsid w:val="0039635B"/>
    <w:rsid w:val="003963EA"/>
    <w:rsid w:val="003963F6"/>
    <w:rsid w:val="00396456"/>
    <w:rsid w:val="0039649C"/>
    <w:rsid w:val="003964A0"/>
    <w:rsid w:val="003964B9"/>
    <w:rsid w:val="003964BB"/>
    <w:rsid w:val="003964DB"/>
    <w:rsid w:val="00396534"/>
    <w:rsid w:val="00396614"/>
    <w:rsid w:val="0039665A"/>
    <w:rsid w:val="003966F1"/>
    <w:rsid w:val="00396715"/>
    <w:rsid w:val="00396775"/>
    <w:rsid w:val="003967BE"/>
    <w:rsid w:val="003967FF"/>
    <w:rsid w:val="0039680E"/>
    <w:rsid w:val="0039682A"/>
    <w:rsid w:val="003968E0"/>
    <w:rsid w:val="00396998"/>
    <w:rsid w:val="00396B2A"/>
    <w:rsid w:val="00396B88"/>
    <w:rsid w:val="00396C8F"/>
    <w:rsid w:val="00396CB2"/>
    <w:rsid w:val="00396CC7"/>
    <w:rsid w:val="00396D40"/>
    <w:rsid w:val="00396DAB"/>
    <w:rsid w:val="00396DE1"/>
    <w:rsid w:val="00396DFD"/>
    <w:rsid w:val="00396ED0"/>
    <w:rsid w:val="00396EF4"/>
    <w:rsid w:val="00396FE3"/>
    <w:rsid w:val="00397129"/>
    <w:rsid w:val="00397173"/>
    <w:rsid w:val="0039719A"/>
    <w:rsid w:val="003972BF"/>
    <w:rsid w:val="003972D1"/>
    <w:rsid w:val="0039746F"/>
    <w:rsid w:val="003974DE"/>
    <w:rsid w:val="00397589"/>
    <w:rsid w:val="003975D6"/>
    <w:rsid w:val="00397607"/>
    <w:rsid w:val="003976A8"/>
    <w:rsid w:val="003976F5"/>
    <w:rsid w:val="0039775E"/>
    <w:rsid w:val="0039776C"/>
    <w:rsid w:val="00397794"/>
    <w:rsid w:val="003977B1"/>
    <w:rsid w:val="003977DF"/>
    <w:rsid w:val="00397825"/>
    <w:rsid w:val="00397830"/>
    <w:rsid w:val="003978A9"/>
    <w:rsid w:val="00397921"/>
    <w:rsid w:val="00397A1A"/>
    <w:rsid w:val="00397AC1"/>
    <w:rsid w:val="00397AE3"/>
    <w:rsid w:val="00397BBC"/>
    <w:rsid w:val="00397BF2"/>
    <w:rsid w:val="00397C27"/>
    <w:rsid w:val="00397D4C"/>
    <w:rsid w:val="00397DA2"/>
    <w:rsid w:val="00397DBF"/>
    <w:rsid w:val="00397E4C"/>
    <w:rsid w:val="00397F52"/>
    <w:rsid w:val="00397F72"/>
    <w:rsid w:val="003A000C"/>
    <w:rsid w:val="003A00B4"/>
    <w:rsid w:val="003A0145"/>
    <w:rsid w:val="003A01F7"/>
    <w:rsid w:val="003A0212"/>
    <w:rsid w:val="003A024F"/>
    <w:rsid w:val="003A0335"/>
    <w:rsid w:val="003A03F3"/>
    <w:rsid w:val="003A04B8"/>
    <w:rsid w:val="003A056B"/>
    <w:rsid w:val="003A0583"/>
    <w:rsid w:val="003A06EF"/>
    <w:rsid w:val="003A07AD"/>
    <w:rsid w:val="003A0836"/>
    <w:rsid w:val="003A0853"/>
    <w:rsid w:val="003A086B"/>
    <w:rsid w:val="003A0889"/>
    <w:rsid w:val="003A088F"/>
    <w:rsid w:val="003A08C7"/>
    <w:rsid w:val="003A097A"/>
    <w:rsid w:val="003A0A14"/>
    <w:rsid w:val="003A0A31"/>
    <w:rsid w:val="003A0BF9"/>
    <w:rsid w:val="003A0DD0"/>
    <w:rsid w:val="003A0E00"/>
    <w:rsid w:val="003A0E82"/>
    <w:rsid w:val="003A0E8D"/>
    <w:rsid w:val="003A0FD5"/>
    <w:rsid w:val="003A1019"/>
    <w:rsid w:val="003A10B6"/>
    <w:rsid w:val="003A111C"/>
    <w:rsid w:val="003A1147"/>
    <w:rsid w:val="003A1170"/>
    <w:rsid w:val="003A12C5"/>
    <w:rsid w:val="003A131C"/>
    <w:rsid w:val="003A138E"/>
    <w:rsid w:val="003A1399"/>
    <w:rsid w:val="003A13C0"/>
    <w:rsid w:val="003A142A"/>
    <w:rsid w:val="003A151B"/>
    <w:rsid w:val="003A159C"/>
    <w:rsid w:val="003A1636"/>
    <w:rsid w:val="003A16EE"/>
    <w:rsid w:val="003A17FE"/>
    <w:rsid w:val="003A184F"/>
    <w:rsid w:val="003A1940"/>
    <w:rsid w:val="003A19CB"/>
    <w:rsid w:val="003A1A67"/>
    <w:rsid w:val="003A1B10"/>
    <w:rsid w:val="003A1B43"/>
    <w:rsid w:val="003A1B88"/>
    <w:rsid w:val="003A1C31"/>
    <w:rsid w:val="003A1C83"/>
    <w:rsid w:val="003A1C8B"/>
    <w:rsid w:val="003A1C8D"/>
    <w:rsid w:val="003A1CF6"/>
    <w:rsid w:val="003A1D0F"/>
    <w:rsid w:val="003A1D24"/>
    <w:rsid w:val="003A1D49"/>
    <w:rsid w:val="003A1D79"/>
    <w:rsid w:val="003A1E22"/>
    <w:rsid w:val="003A1E43"/>
    <w:rsid w:val="003A1F1D"/>
    <w:rsid w:val="003A1FA6"/>
    <w:rsid w:val="003A2026"/>
    <w:rsid w:val="003A20DA"/>
    <w:rsid w:val="003A20F7"/>
    <w:rsid w:val="003A217F"/>
    <w:rsid w:val="003A2599"/>
    <w:rsid w:val="003A2655"/>
    <w:rsid w:val="003A26BC"/>
    <w:rsid w:val="003A2760"/>
    <w:rsid w:val="003A2794"/>
    <w:rsid w:val="003A27A4"/>
    <w:rsid w:val="003A27C1"/>
    <w:rsid w:val="003A2873"/>
    <w:rsid w:val="003A28BC"/>
    <w:rsid w:val="003A2AC5"/>
    <w:rsid w:val="003A2B31"/>
    <w:rsid w:val="003A2B5A"/>
    <w:rsid w:val="003A2C3E"/>
    <w:rsid w:val="003A2C4A"/>
    <w:rsid w:val="003A2CAC"/>
    <w:rsid w:val="003A2D26"/>
    <w:rsid w:val="003A2D72"/>
    <w:rsid w:val="003A2DB4"/>
    <w:rsid w:val="003A2E5E"/>
    <w:rsid w:val="003A2F24"/>
    <w:rsid w:val="003A2F71"/>
    <w:rsid w:val="003A2FB2"/>
    <w:rsid w:val="003A2FB3"/>
    <w:rsid w:val="003A3047"/>
    <w:rsid w:val="003A3053"/>
    <w:rsid w:val="003A305C"/>
    <w:rsid w:val="003A30B9"/>
    <w:rsid w:val="003A3118"/>
    <w:rsid w:val="003A3164"/>
    <w:rsid w:val="003A3284"/>
    <w:rsid w:val="003A3326"/>
    <w:rsid w:val="003A33E1"/>
    <w:rsid w:val="003A3465"/>
    <w:rsid w:val="003A34FF"/>
    <w:rsid w:val="003A355D"/>
    <w:rsid w:val="003A35CC"/>
    <w:rsid w:val="003A360E"/>
    <w:rsid w:val="003A362B"/>
    <w:rsid w:val="003A367F"/>
    <w:rsid w:val="003A3722"/>
    <w:rsid w:val="003A3784"/>
    <w:rsid w:val="003A3796"/>
    <w:rsid w:val="003A3830"/>
    <w:rsid w:val="003A38AF"/>
    <w:rsid w:val="003A39AD"/>
    <w:rsid w:val="003A39B3"/>
    <w:rsid w:val="003A39CC"/>
    <w:rsid w:val="003A3A1F"/>
    <w:rsid w:val="003A3A26"/>
    <w:rsid w:val="003A3A7E"/>
    <w:rsid w:val="003A3ADC"/>
    <w:rsid w:val="003A3AFC"/>
    <w:rsid w:val="003A3B1B"/>
    <w:rsid w:val="003A3B37"/>
    <w:rsid w:val="003A3C55"/>
    <w:rsid w:val="003A3C65"/>
    <w:rsid w:val="003A3CA9"/>
    <w:rsid w:val="003A3CFB"/>
    <w:rsid w:val="003A3D41"/>
    <w:rsid w:val="003A3DDC"/>
    <w:rsid w:val="003A3DFC"/>
    <w:rsid w:val="003A3E37"/>
    <w:rsid w:val="003A3EFB"/>
    <w:rsid w:val="003A3F48"/>
    <w:rsid w:val="003A3F4C"/>
    <w:rsid w:val="003A3F86"/>
    <w:rsid w:val="003A3FE6"/>
    <w:rsid w:val="003A403D"/>
    <w:rsid w:val="003A40E6"/>
    <w:rsid w:val="003A40FE"/>
    <w:rsid w:val="003A4145"/>
    <w:rsid w:val="003A416F"/>
    <w:rsid w:val="003A4399"/>
    <w:rsid w:val="003A448A"/>
    <w:rsid w:val="003A4518"/>
    <w:rsid w:val="003A4532"/>
    <w:rsid w:val="003A4534"/>
    <w:rsid w:val="003A455A"/>
    <w:rsid w:val="003A456B"/>
    <w:rsid w:val="003A46F0"/>
    <w:rsid w:val="003A4848"/>
    <w:rsid w:val="003A48A6"/>
    <w:rsid w:val="003A48E3"/>
    <w:rsid w:val="003A4915"/>
    <w:rsid w:val="003A497F"/>
    <w:rsid w:val="003A4A03"/>
    <w:rsid w:val="003A4A17"/>
    <w:rsid w:val="003A4A30"/>
    <w:rsid w:val="003A4A91"/>
    <w:rsid w:val="003A4B20"/>
    <w:rsid w:val="003A4BC8"/>
    <w:rsid w:val="003A4CA2"/>
    <w:rsid w:val="003A4CB1"/>
    <w:rsid w:val="003A4CFF"/>
    <w:rsid w:val="003A4D79"/>
    <w:rsid w:val="003A4D7E"/>
    <w:rsid w:val="003A4E11"/>
    <w:rsid w:val="003A4E65"/>
    <w:rsid w:val="003A4F72"/>
    <w:rsid w:val="003A4F8D"/>
    <w:rsid w:val="003A5053"/>
    <w:rsid w:val="003A508E"/>
    <w:rsid w:val="003A511C"/>
    <w:rsid w:val="003A517D"/>
    <w:rsid w:val="003A51E5"/>
    <w:rsid w:val="003A5263"/>
    <w:rsid w:val="003A5349"/>
    <w:rsid w:val="003A53C6"/>
    <w:rsid w:val="003A5449"/>
    <w:rsid w:val="003A54A3"/>
    <w:rsid w:val="003A54C1"/>
    <w:rsid w:val="003A54D6"/>
    <w:rsid w:val="003A5516"/>
    <w:rsid w:val="003A552A"/>
    <w:rsid w:val="003A55E1"/>
    <w:rsid w:val="003A5600"/>
    <w:rsid w:val="003A56EE"/>
    <w:rsid w:val="003A5712"/>
    <w:rsid w:val="003A5814"/>
    <w:rsid w:val="003A581B"/>
    <w:rsid w:val="003A5826"/>
    <w:rsid w:val="003A5874"/>
    <w:rsid w:val="003A58F4"/>
    <w:rsid w:val="003A58F5"/>
    <w:rsid w:val="003A58FA"/>
    <w:rsid w:val="003A593B"/>
    <w:rsid w:val="003A5A03"/>
    <w:rsid w:val="003A5A18"/>
    <w:rsid w:val="003A5A34"/>
    <w:rsid w:val="003A5A52"/>
    <w:rsid w:val="003A5A8D"/>
    <w:rsid w:val="003A5B0E"/>
    <w:rsid w:val="003A5BE4"/>
    <w:rsid w:val="003A5BEF"/>
    <w:rsid w:val="003A5CE7"/>
    <w:rsid w:val="003A5CF1"/>
    <w:rsid w:val="003A5D4F"/>
    <w:rsid w:val="003A5D8D"/>
    <w:rsid w:val="003A5EAD"/>
    <w:rsid w:val="003A5F7F"/>
    <w:rsid w:val="003A5FF2"/>
    <w:rsid w:val="003A6063"/>
    <w:rsid w:val="003A60CC"/>
    <w:rsid w:val="003A611C"/>
    <w:rsid w:val="003A6170"/>
    <w:rsid w:val="003A61E5"/>
    <w:rsid w:val="003A6204"/>
    <w:rsid w:val="003A6231"/>
    <w:rsid w:val="003A6235"/>
    <w:rsid w:val="003A6264"/>
    <w:rsid w:val="003A6298"/>
    <w:rsid w:val="003A64A0"/>
    <w:rsid w:val="003A64B4"/>
    <w:rsid w:val="003A64ED"/>
    <w:rsid w:val="003A6552"/>
    <w:rsid w:val="003A655C"/>
    <w:rsid w:val="003A6598"/>
    <w:rsid w:val="003A688B"/>
    <w:rsid w:val="003A69A9"/>
    <w:rsid w:val="003A6A04"/>
    <w:rsid w:val="003A6AB9"/>
    <w:rsid w:val="003A6B58"/>
    <w:rsid w:val="003A6BB0"/>
    <w:rsid w:val="003A6C1F"/>
    <w:rsid w:val="003A6CA4"/>
    <w:rsid w:val="003A6DC1"/>
    <w:rsid w:val="003A6DFE"/>
    <w:rsid w:val="003A6F19"/>
    <w:rsid w:val="003A6F20"/>
    <w:rsid w:val="003A6F2A"/>
    <w:rsid w:val="003A6F40"/>
    <w:rsid w:val="003A6F4E"/>
    <w:rsid w:val="003A700B"/>
    <w:rsid w:val="003A700F"/>
    <w:rsid w:val="003A723A"/>
    <w:rsid w:val="003A7264"/>
    <w:rsid w:val="003A7277"/>
    <w:rsid w:val="003A72C3"/>
    <w:rsid w:val="003A73C7"/>
    <w:rsid w:val="003A74BC"/>
    <w:rsid w:val="003A7682"/>
    <w:rsid w:val="003A7697"/>
    <w:rsid w:val="003A7699"/>
    <w:rsid w:val="003A76B9"/>
    <w:rsid w:val="003A7732"/>
    <w:rsid w:val="003A78E6"/>
    <w:rsid w:val="003A7903"/>
    <w:rsid w:val="003A7919"/>
    <w:rsid w:val="003A793B"/>
    <w:rsid w:val="003A79F4"/>
    <w:rsid w:val="003A7A5B"/>
    <w:rsid w:val="003A7A64"/>
    <w:rsid w:val="003A7B08"/>
    <w:rsid w:val="003A7B1B"/>
    <w:rsid w:val="003A7B1F"/>
    <w:rsid w:val="003A7B37"/>
    <w:rsid w:val="003A7BE7"/>
    <w:rsid w:val="003A7BFB"/>
    <w:rsid w:val="003A7D4B"/>
    <w:rsid w:val="003A7DAA"/>
    <w:rsid w:val="003A7F43"/>
    <w:rsid w:val="003B000B"/>
    <w:rsid w:val="003B0215"/>
    <w:rsid w:val="003B022F"/>
    <w:rsid w:val="003B027F"/>
    <w:rsid w:val="003B0284"/>
    <w:rsid w:val="003B029F"/>
    <w:rsid w:val="003B02C0"/>
    <w:rsid w:val="003B0358"/>
    <w:rsid w:val="003B03B0"/>
    <w:rsid w:val="003B0402"/>
    <w:rsid w:val="003B049C"/>
    <w:rsid w:val="003B04F3"/>
    <w:rsid w:val="003B05CE"/>
    <w:rsid w:val="003B0727"/>
    <w:rsid w:val="003B0745"/>
    <w:rsid w:val="003B0816"/>
    <w:rsid w:val="003B08EE"/>
    <w:rsid w:val="003B0902"/>
    <w:rsid w:val="003B0963"/>
    <w:rsid w:val="003B09E5"/>
    <w:rsid w:val="003B0A6A"/>
    <w:rsid w:val="003B0A81"/>
    <w:rsid w:val="003B0BC3"/>
    <w:rsid w:val="003B0C28"/>
    <w:rsid w:val="003B0D27"/>
    <w:rsid w:val="003B0D58"/>
    <w:rsid w:val="003B0DAF"/>
    <w:rsid w:val="003B0DF9"/>
    <w:rsid w:val="003B0E10"/>
    <w:rsid w:val="003B0EAF"/>
    <w:rsid w:val="003B0F12"/>
    <w:rsid w:val="003B0F26"/>
    <w:rsid w:val="003B0F48"/>
    <w:rsid w:val="003B1021"/>
    <w:rsid w:val="003B109D"/>
    <w:rsid w:val="003B1296"/>
    <w:rsid w:val="003B140A"/>
    <w:rsid w:val="003B1426"/>
    <w:rsid w:val="003B1453"/>
    <w:rsid w:val="003B154B"/>
    <w:rsid w:val="003B154C"/>
    <w:rsid w:val="003B1585"/>
    <w:rsid w:val="003B15D4"/>
    <w:rsid w:val="003B1606"/>
    <w:rsid w:val="003B1659"/>
    <w:rsid w:val="003B169B"/>
    <w:rsid w:val="003B16FB"/>
    <w:rsid w:val="003B1795"/>
    <w:rsid w:val="003B17B1"/>
    <w:rsid w:val="003B17B7"/>
    <w:rsid w:val="003B18C4"/>
    <w:rsid w:val="003B191E"/>
    <w:rsid w:val="003B193D"/>
    <w:rsid w:val="003B1941"/>
    <w:rsid w:val="003B196E"/>
    <w:rsid w:val="003B19C0"/>
    <w:rsid w:val="003B19C7"/>
    <w:rsid w:val="003B1A83"/>
    <w:rsid w:val="003B1A84"/>
    <w:rsid w:val="003B1B06"/>
    <w:rsid w:val="003B1BAA"/>
    <w:rsid w:val="003B1C38"/>
    <w:rsid w:val="003B1D60"/>
    <w:rsid w:val="003B1D70"/>
    <w:rsid w:val="003B1DF3"/>
    <w:rsid w:val="003B1DFB"/>
    <w:rsid w:val="003B1E18"/>
    <w:rsid w:val="003B1ED9"/>
    <w:rsid w:val="003B1EED"/>
    <w:rsid w:val="003B1FAF"/>
    <w:rsid w:val="003B1FCF"/>
    <w:rsid w:val="003B202E"/>
    <w:rsid w:val="003B2031"/>
    <w:rsid w:val="003B2051"/>
    <w:rsid w:val="003B20C1"/>
    <w:rsid w:val="003B2117"/>
    <w:rsid w:val="003B219C"/>
    <w:rsid w:val="003B21B7"/>
    <w:rsid w:val="003B21CC"/>
    <w:rsid w:val="003B21F4"/>
    <w:rsid w:val="003B22E3"/>
    <w:rsid w:val="003B22F4"/>
    <w:rsid w:val="003B236F"/>
    <w:rsid w:val="003B237C"/>
    <w:rsid w:val="003B23F0"/>
    <w:rsid w:val="003B2471"/>
    <w:rsid w:val="003B248F"/>
    <w:rsid w:val="003B24A7"/>
    <w:rsid w:val="003B24E7"/>
    <w:rsid w:val="003B2511"/>
    <w:rsid w:val="003B257F"/>
    <w:rsid w:val="003B2670"/>
    <w:rsid w:val="003B26BA"/>
    <w:rsid w:val="003B2712"/>
    <w:rsid w:val="003B272D"/>
    <w:rsid w:val="003B2752"/>
    <w:rsid w:val="003B2815"/>
    <w:rsid w:val="003B281E"/>
    <w:rsid w:val="003B28AD"/>
    <w:rsid w:val="003B28EA"/>
    <w:rsid w:val="003B290F"/>
    <w:rsid w:val="003B293E"/>
    <w:rsid w:val="003B29F1"/>
    <w:rsid w:val="003B2A90"/>
    <w:rsid w:val="003B2BAD"/>
    <w:rsid w:val="003B2BC4"/>
    <w:rsid w:val="003B2BC7"/>
    <w:rsid w:val="003B2BF8"/>
    <w:rsid w:val="003B2C02"/>
    <w:rsid w:val="003B2C77"/>
    <w:rsid w:val="003B2C7F"/>
    <w:rsid w:val="003B2C98"/>
    <w:rsid w:val="003B2CC9"/>
    <w:rsid w:val="003B2E74"/>
    <w:rsid w:val="003B2EAC"/>
    <w:rsid w:val="003B2EF1"/>
    <w:rsid w:val="003B2EF2"/>
    <w:rsid w:val="003B2F3A"/>
    <w:rsid w:val="003B2F74"/>
    <w:rsid w:val="003B2FC8"/>
    <w:rsid w:val="003B3009"/>
    <w:rsid w:val="003B30FB"/>
    <w:rsid w:val="003B3148"/>
    <w:rsid w:val="003B3170"/>
    <w:rsid w:val="003B3194"/>
    <w:rsid w:val="003B323A"/>
    <w:rsid w:val="003B32A7"/>
    <w:rsid w:val="003B3334"/>
    <w:rsid w:val="003B33A0"/>
    <w:rsid w:val="003B340D"/>
    <w:rsid w:val="003B3461"/>
    <w:rsid w:val="003B3496"/>
    <w:rsid w:val="003B34F6"/>
    <w:rsid w:val="003B35BD"/>
    <w:rsid w:val="003B35EC"/>
    <w:rsid w:val="003B367D"/>
    <w:rsid w:val="003B36B3"/>
    <w:rsid w:val="003B374D"/>
    <w:rsid w:val="003B37EC"/>
    <w:rsid w:val="003B3848"/>
    <w:rsid w:val="003B3856"/>
    <w:rsid w:val="003B393B"/>
    <w:rsid w:val="003B39A9"/>
    <w:rsid w:val="003B3A21"/>
    <w:rsid w:val="003B3A3A"/>
    <w:rsid w:val="003B3A67"/>
    <w:rsid w:val="003B3AB9"/>
    <w:rsid w:val="003B3B3B"/>
    <w:rsid w:val="003B3C11"/>
    <w:rsid w:val="003B3C19"/>
    <w:rsid w:val="003B3C2B"/>
    <w:rsid w:val="003B3CC6"/>
    <w:rsid w:val="003B3CFE"/>
    <w:rsid w:val="003B3DE5"/>
    <w:rsid w:val="003B3E67"/>
    <w:rsid w:val="003B3E81"/>
    <w:rsid w:val="003B3E91"/>
    <w:rsid w:val="003B3F07"/>
    <w:rsid w:val="003B4014"/>
    <w:rsid w:val="003B4066"/>
    <w:rsid w:val="003B4097"/>
    <w:rsid w:val="003B40F0"/>
    <w:rsid w:val="003B40FA"/>
    <w:rsid w:val="003B4132"/>
    <w:rsid w:val="003B4145"/>
    <w:rsid w:val="003B41B0"/>
    <w:rsid w:val="003B41CF"/>
    <w:rsid w:val="003B428A"/>
    <w:rsid w:val="003B4360"/>
    <w:rsid w:val="003B43BE"/>
    <w:rsid w:val="003B43DC"/>
    <w:rsid w:val="003B4434"/>
    <w:rsid w:val="003B448C"/>
    <w:rsid w:val="003B465D"/>
    <w:rsid w:val="003B46B4"/>
    <w:rsid w:val="003B46E5"/>
    <w:rsid w:val="003B474C"/>
    <w:rsid w:val="003B47B9"/>
    <w:rsid w:val="003B4807"/>
    <w:rsid w:val="003B497A"/>
    <w:rsid w:val="003B4A15"/>
    <w:rsid w:val="003B4B57"/>
    <w:rsid w:val="003B4B82"/>
    <w:rsid w:val="003B4BB7"/>
    <w:rsid w:val="003B4C4B"/>
    <w:rsid w:val="003B4CA9"/>
    <w:rsid w:val="003B4CE2"/>
    <w:rsid w:val="003B4D72"/>
    <w:rsid w:val="003B4D99"/>
    <w:rsid w:val="003B4E11"/>
    <w:rsid w:val="003B4E44"/>
    <w:rsid w:val="003B4EA4"/>
    <w:rsid w:val="003B4ED3"/>
    <w:rsid w:val="003B4FD9"/>
    <w:rsid w:val="003B502C"/>
    <w:rsid w:val="003B504D"/>
    <w:rsid w:val="003B5059"/>
    <w:rsid w:val="003B508C"/>
    <w:rsid w:val="003B5132"/>
    <w:rsid w:val="003B5201"/>
    <w:rsid w:val="003B53D3"/>
    <w:rsid w:val="003B54A3"/>
    <w:rsid w:val="003B54B8"/>
    <w:rsid w:val="003B5563"/>
    <w:rsid w:val="003B5644"/>
    <w:rsid w:val="003B56BA"/>
    <w:rsid w:val="003B572A"/>
    <w:rsid w:val="003B5745"/>
    <w:rsid w:val="003B57AB"/>
    <w:rsid w:val="003B57DA"/>
    <w:rsid w:val="003B580E"/>
    <w:rsid w:val="003B585A"/>
    <w:rsid w:val="003B585C"/>
    <w:rsid w:val="003B592E"/>
    <w:rsid w:val="003B59D0"/>
    <w:rsid w:val="003B5ABD"/>
    <w:rsid w:val="003B5B29"/>
    <w:rsid w:val="003B5B43"/>
    <w:rsid w:val="003B5B5C"/>
    <w:rsid w:val="003B5BBD"/>
    <w:rsid w:val="003B5CD4"/>
    <w:rsid w:val="003B5E04"/>
    <w:rsid w:val="003B5E78"/>
    <w:rsid w:val="003B5EE6"/>
    <w:rsid w:val="003B5F00"/>
    <w:rsid w:val="003B5FE6"/>
    <w:rsid w:val="003B60C4"/>
    <w:rsid w:val="003B623F"/>
    <w:rsid w:val="003B6258"/>
    <w:rsid w:val="003B6266"/>
    <w:rsid w:val="003B6285"/>
    <w:rsid w:val="003B6299"/>
    <w:rsid w:val="003B6411"/>
    <w:rsid w:val="003B641A"/>
    <w:rsid w:val="003B6628"/>
    <w:rsid w:val="003B6638"/>
    <w:rsid w:val="003B6691"/>
    <w:rsid w:val="003B66D1"/>
    <w:rsid w:val="003B679F"/>
    <w:rsid w:val="003B67A3"/>
    <w:rsid w:val="003B67CF"/>
    <w:rsid w:val="003B67EC"/>
    <w:rsid w:val="003B6822"/>
    <w:rsid w:val="003B6897"/>
    <w:rsid w:val="003B691A"/>
    <w:rsid w:val="003B694F"/>
    <w:rsid w:val="003B6A07"/>
    <w:rsid w:val="003B6A23"/>
    <w:rsid w:val="003B6A43"/>
    <w:rsid w:val="003B6AD5"/>
    <w:rsid w:val="003B6BF4"/>
    <w:rsid w:val="003B6C1C"/>
    <w:rsid w:val="003B6C8E"/>
    <w:rsid w:val="003B6E58"/>
    <w:rsid w:val="003B6EC7"/>
    <w:rsid w:val="003B6F0A"/>
    <w:rsid w:val="003B6FCB"/>
    <w:rsid w:val="003B702D"/>
    <w:rsid w:val="003B70FE"/>
    <w:rsid w:val="003B7213"/>
    <w:rsid w:val="003B7431"/>
    <w:rsid w:val="003B743F"/>
    <w:rsid w:val="003B753A"/>
    <w:rsid w:val="003B7554"/>
    <w:rsid w:val="003B7571"/>
    <w:rsid w:val="003B7581"/>
    <w:rsid w:val="003B75FE"/>
    <w:rsid w:val="003B7658"/>
    <w:rsid w:val="003B76CD"/>
    <w:rsid w:val="003B7702"/>
    <w:rsid w:val="003B77AF"/>
    <w:rsid w:val="003B77E1"/>
    <w:rsid w:val="003B77FC"/>
    <w:rsid w:val="003B7842"/>
    <w:rsid w:val="003B784F"/>
    <w:rsid w:val="003B7A4E"/>
    <w:rsid w:val="003B7B04"/>
    <w:rsid w:val="003B7CA1"/>
    <w:rsid w:val="003B7CF7"/>
    <w:rsid w:val="003B7D2A"/>
    <w:rsid w:val="003B7D49"/>
    <w:rsid w:val="003B7D58"/>
    <w:rsid w:val="003B7DD4"/>
    <w:rsid w:val="003B7DDF"/>
    <w:rsid w:val="003C0036"/>
    <w:rsid w:val="003C0107"/>
    <w:rsid w:val="003C0136"/>
    <w:rsid w:val="003C01AF"/>
    <w:rsid w:val="003C04D1"/>
    <w:rsid w:val="003C0515"/>
    <w:rsid w:val="003C05FC"/>
    <w:rsid w:val="003C0629"/>
    <w:rsid w:val="003C065C"/>
    <w:rsid w:val="003C07E8"/>
    <w:rsid w:val="003C0828"/>
    <w:rsid w:val="003C0880"/>
    <w:rsid w:val="003C08BE"/>
    <w:rsid w:val="003C08DA"/>
    <w:rsid w:val="003C08EA"/>
    <w:rsid w:val="003C092E"/>
    <w:rsid w:val="003C0952"/>
    <w:rsid w:val="003C09E2"/>
    <w:rsid w:val="003C0A07"/>
    <w:rsid w:val="003C0A79"/>
    <w:rsid w:val="003C0B40"/>
    <w:rsid w:val="003C0B82"/>
    <w:rsid w:val="003C0B99"/>
    <w:rsid w:val="003C0BD1"/>
    <w:rsid w:val="003C0C21"/>
    <w:rsid w:val="003C0D38"/>
    <w:rsid w:val="003C0D92"/>
    <w:rsid w:val="003C0E7B"/>
    <w:rsid w:val="003C0EF8"/>
    <w:rsid w:val="003C0F06"/>
    <w:rsid w:val="003C0F59"/>
    <w:rsid w:val="003C0F8D"/>
    <w:rsid w:val="003C0FC8"/>
    <w:rsid w:val="003C1061"/>
    <w:rsid w:val="003C1066"/>
    <w:rsid w:val="003C1089"/>
    <w:rsid w:val="003C1093"/>
    <w:rsid w:val="003C1120"/>
    <w:rsid w:val="003C113F"/>
    <w:rsid w:val="003C11AB"/>
    <w:rsid w:val="003C1226"/>
    <w:rsid w:val="003C12A1"/>
    <w:rsid w:val="003C12A6"/>
    <w:rsid w:val="003C12D4"/>
    <w:rsid w:val="003C12E6"/>
    <w:rsid w:val="003C12FC"/>
    <w:rsid w:val="003C13C1"/>
    <w:rsid w:val="003C13DC"/>
    <w:rsid w:val="003C1408"/>
    <w:rsid w:val="003C1483"/>
    <w:rsid w:val="003C148E"/>
    <w:rsid w:val="003C14E3"/>
    <w:rsid w:val="003C1555"/>
    <w:rsid w:val="003C157E"/>
    <w:rsid w:val="003C15B0"/>
    <w:rsid w:val="003C1676"/>
    <w:rsid w:val="003C170D"/>
    <w:rsid w:val="003C179A"/>
    <w:rsid w:val="003C188F"/>
    <w:rsid w:val="003C18F8"/>
    <w:rsid w:val="003C19D1"/>
    <w:rsid w:val="003C1AE6"/>
    <w:rsid w:val="003C1AFE"/>
    <w:rsid w:val="003C1BEA"/>
    <w:rsid w:val="003C1CA5"/>
    <w:rsid w:val="003C1CB1"/>
    <w:rsid w:val="003C1D51"/>
    <w:rsid w:val="003C1D60"/>
    <w:rsid w:val="003C1D88"/>
    <w:rsid w:val="003C1E41"/>
    <w:rsid w:val="003C1E4E"/>
    <w:rsid w:val="003C1E4F"/>
    <w:rsid w:val="003C1E8D"/>
    <w:rsid w:val="003C1EF9"/>
    <w:rsid w:val="003C1FB6"/>
    <w:rsid w:val="003C2018"/>
    <w:rsid w:val="003C206F"/>
    <w:rsid w:val="003C218C"/>
    <w:rsid w:val="003C224C"/>
    <w:rsid w:val="003C229D"/>
    <w:rsid w:val="003C2332"/>
    <w:rsid w:val="003C2365"/>
    <w:rsid w:val="003C2380"/>
    <w:rsid w:val="003C23A6"/>
    <w:rsid w:val="003C23BD"/>
    <w:rsid w:val="003C2423"/>
    <w:rsid w:val="003C2481"/>
    <w:rsid w:val="003C24CA"/>
    <w:rsid w:val="003C25A1"/>
    <w:rsid w:val="003C25DA"/>
    <w:rsid w:val="003C264A"/>
    <w:rsid w:val="003C2818"/>
    <w:rsid w:val="003C28F1"/>
    <w:rsid w:val="003C2948"/>
    <w:rsid w:val="003C29C9"/>
    <w:rsid w:val="003C2A09"/>
    <w:rsid w:val="003C2A1A"/>
    <w:rsid w:val="003C2A7B"/>
    <w:rsid w:val="003C2B92"/>
    <w:rsid w:val="003C2BA9"/>
    <w:rsid w:val="003C2BFC"/>
    <w:rsid w:val="003C2C7F"/>
    <w:rsid w:val="003C2CE6"/>
    <w:rsid w:val="003C2D02"/>
    <w:rsid w:val="003C2D6B"/>
    <w:rsid w:val="003C2E14"/>
    <w:rsid w:val="003C2EA0"/>
    <w:rsid w:val="003C2FE1"/>
    <w:rsid w:val="003C3003"/>
    <w:rsid w:val="003C3017"/>
    <w:rsid w:val="003C3040"/>
    <w:rsid w:val="003C30CD"/>
    <w:rsid w:val="003C30EE"/>
    <w:rsid w:val="003C311A"/>
    <w:rsid w:val="003C3134"/>
    <w:rsid w:val="003C31E3"/>
    <w:rsid w:val="003C31F0"/>
    <w:rsid w:val="003C321D"/>
    <w:rsid w:val="003C3256"/>
    <w:rsid w:val="003C329F"/>
    <w:rsid w:val="003C32C3"/>
    <w:rsid w:val="003C32D7"/>
    <w:rsid w:val="003C330D"/>
    <w:rsid w:val="003C3374"/>
    <w:rsid w:val="003C33B4"/>
    <w:rsid w:val="003C350D"/>
    <w:rsid w:val="003C35BA"/>
    <w:rsid w:val="003C37F6"/>
    <w:rsid w:val="003C38A6"/>
    <w:rsid w:val="003C3928"/>
    <w:rsid w:val="003C397C"/>
    <w:rsid w:val="003C39EB"/>
    <w:rsid w:val="003C3A4C"/>
    <w:rsid w:val="003C3A89"/>
    <w:rsid w:val="003C3A9B"/>
    <w:rsid w:val="003C3B0D"/>
    <w:rsid w:val="003C3B45"/>
    <w:rsid w:val="003C3B76"/>
    <w:rsid w:val="003C3B79"/>
    <w:rsid w:val="003C3B95"/>
    <w:rsid w:val="003C3BE5"/>
    <w:rsid w:val="003C3C9C"/>
    <w:rsid w:val="003C3D28"/>
    <w:rsid w:val="003C3DCA"/>
    <w:rsid w:val="003C3E04"/>
    <w:rsid w:val="003C3F35"/>
    <w:rsid w:val="003C3F87"/>
    <w:rsid w:val="003C3F9A"/>
    <w:rsid w:val="003C3FA8"/>
    <w:rsid w:val="003C3FBA"/>
    <w:rsid w:val="003C3FDF"/>
    <w:rsid w:val="003C4081"/>
    <w:rsid w:val="003C40E0"/>
    <w:rsid w:val="003C412B"/>
    <w:rsid w:val="003C4211"/>
    <w:rsid w:val="003C429B"/>
    <w:rsid w:val="003C433E"/>
    <w:rsid w:val="003C4382"/>
    <w:rsid w:val="003C4396"/>
    <w:rsid w:val="003C443F"/>
    <w:rsid w:val="003C447A"/>
    <w:rsid w:val="003C4482"/>
    <w:rsid w:val="003C4546"/>
    <w:rsid w:val="003C4566"/>
    <w:rsid w:val="003C4593"/>
    <w:rsid w:val="003C4629"/>
    <w:rsid w:val="003C47FC"/>
    <w:rsid w:val="003C4881"/>
    <w:rsid w:val="003C4937"/>
    <w:rsid w:val="003C498A"/>
    <w:rsid w:val="003C4B12"/>
    <w:rsid w:val="003C4B85"/>
    <w:rsid w:val="003C4C3A"/>
    <w:rsid w:val="003C4CAD"/>
    <w:rsid w:val="003C4CE5"/>
    <w:rsid w:val="003C4D50"/>
    <w:rsid w:val="003C4DAF"/>
    <w:rsid w:val="003C4DC1"/>
    <w:rsid w:val="003C4E21"/>
    <w:rsid w:val="003C4E49"/>
    <w:rsid w:val="003C4E5C"/>
    <w:rsid w:val="003C4F28"/>
    <w:rsid w:val="003C4FC1"/>
    <w:rsid w:val="003C5021"/>
    <w:rsid w:val="003C5065"/>
    <w:rsid w:val="003C508C"/>
    <w:rsid w:val="003C5112"/>
    <w:rsid w:val="003C5143"/>
    <w:rsid w:val="003C5167"/>
    <w:rsid w:val="003C51E0"/>
    <w:rsid w:val="003C5214"/>
    <w:rsid w:val="003C522B"/>
    <w:rsid w:val="003C5254"/>
    <w:rsid w:val="003C5260"/>
    <w:rsid w:val="003C52C0"/>
    <w:rsid w:val="003C52CB"/>
    <w:rsid w:val="003C52CD"/>
    <w:rsid w:val="003C5363"/>
    <w:rsid w:val="003C53F9"/>
    <w:rsid w:val="003C5498"/>
    <w:rsid w:val="003C54A4"/>
    <w:rsid w:val="003C54AB"/>
    <w:rsid w:val="003C5540"/>
    <w:rsid w:val="003C5852"/>
    <w:rsid w:val="003C586F"/>
    <w:rsid w:val="003C5AB7"/>
    <w:rsid w:val="003C5AC0"/>
    <w:rsid w:val="003C5C24"/>
    <w:rsid w:val="003C5CBC"/>
    <w:rsid w:val="003C5CDE"/>
    <w:rsid w:val="003C5E06"/>
    <w:rsid w:val="003C5E2A"/>
    <w:rsid w:val="003C5EC7"/>
    <w:rsid w:val="003C5ECC"/>
    <w:rsid w:val="003C5FFA"/>
    <w:rsid w:val="003C606A"/>
    <w:rsid w:val="003C6146"/>
    <w:rsid w:val="003C617F"/>
    <w:rsid w:val="003C62B1"/>
    <w:rsid w:val="003C6305"/>
    <w:rsid w:val="003C6322"/>
    <w:rsid w:val="003C637C"/>
    <w:rsid w:val="003C63AD"/>
    <w:rsid w:val="003C6477"/>
    <w:rsid w:val="003C64A4"/>
    <w:rsid w:val="003C6538"/>
    <w:rsid w:val="003C65B0"/>
    <w:rsid w:val="003C661A"/>
    <w:rsid w:val="003C66EF"/>
    <w:rsid w:val="003C670E"/>
    <w:rsid w:val="003C678A"/>
    <w:rsid w:val="003C680C"/>
    <w:rsid w:val="003C6896"/>
    <w:rsid w:val="003C698C"/>
    <w:rsid w:val="003C69F6"/>
    <w:rsid w:val="003C6A8E"/>
    <w:rsid w:val="003C6B22"/>
    <w:rsid w:val="003C6B36"/>
    <w:rsid w:val="003C6BE0"/>
    <w:rsid w:val="003C6BE7"/>
    <w:rsid w:val="003C6CB9"/>
    <w:rsid w:val="003C6D1F"/>
    <w:rsid w:val="003C6D2B"/>
    <w:rsid w:val="003C6FB6"/>
    <w:rsid w:val="003C7028"/>
    <w:rsid w:val="003C706B"/>
    <w:rsid w:val="003C7153"/>
    <w:rsid w:val="003C719A"/>
    <w:rsid w:val="003C7271"/>
    <w:rsid w:val="003C7305"/>
    <w:rsid w:val="003C7324"/>
    <w:rsid w:val="003C734E"/>
    <w:rsid w:val="003C73A3"/>
    <w:rsid w:val="003C740B"/>
    <w:rsid w:val="003C74B8"/>
    <w:rsid w:val="003C74D5"/>
    <w:rsid w:val="003C74E1"/>
    <w:rsid w:val="003C74E4"/>
    <w:rsid w:val="003C74F9"/>
    <w:rsid w:val="003C75AC"/>
    <w:rsid w:val="003C75AD"/>
    <w:rsid w:val="003C7702"/>
    <w:rsid w:val="003C7740"/>
    <w:rsid w:val="003C775E"/>
    <w:rsid w:val="003C7824"/>
    <w:rsid w:val="003C783A"/>
    <w:rsid w:val="003C788B"/>
    <w:rsid w:val="003C7980"/>
    <w:rsid w:val="003C7994"/>
    <w:rsid w:val="003C79C0"/>
    <w:rsid w:val="003C79CB"/>
    <w:rsid w:val="003C7A48"/>
    <w:rsid w:val="003C7B2D"/>
    <w:rsid w:val="003C7BBB"/>
    <w:rsid w:val="003C7BC9"/>
    <w:rsid w:val="003C7BED"/>
    <w:rsid w:val="003C7C25"/>
    <w:rsid w:val="003C7C5C"/>
    <w:rsid w:val="003C7C8A"/>
    <w:rsid w:val="003C7C94"/>
    <w:rsid w:val="003C7CD5"/>
    <w:rsid w:val="003C7D67"/>
    <w:rsid w:val="003C7DC0"/>
    <w:rsid w:val="003C7E34"/>
    <w:rsid w:val="003C7EB3"/>
    <w:rsid w:val="003C7EE5"/>
    <w:rsid w:val="003C7EFE"/>
    <w:rsid w:val="003C7F02"/>
    <w:rsid w:val="003C7F20"/>
    <w:rsid w:val="003C7F34"/>
    <w:rsid w:val="003C7FAA"/>
    <w:rsid w:val="003D00B8"/>
    <w:rsid w:val="003D012E"/>
    <w:rsid w:val="003D01B3"/>
    <w:rsid w:val="003D0276"/>
    <w:rsid w:val="003D029A"/>
    <w:rsid w:val="003D040B"/>
    <w:rsid w:val="003D05CA"/>
    <w:rsid w:val="003D0632"/>
    <w:rsid w:val="003D07AA"/>
    <w:rsid w:val="003D08AF"/>
    <w:rsid w:val="003D08EA"/>
    <w:rsid w:val="003D08EC"/>
    <w:rsid w:val="003D097B"/>
    <w:rsid w:val="003D0985"/>
    <w:rsid w:val="003D0A36"/>
    <w:rsid w:val="003D0A54"/>
    <w:rsid w:val="003D0A7F"/>
    <w:rsid w:val="003D0B96"/>
    <w:rsid w:val="003D0BE5"/>
    <w:rsid w:val="003D0C1F"/>
    <w:rsid w:val="003D0C5D"/>
    <w:rsid w:val="003D0CD4"/>
    <w:rsid w:val="003D0EB9"/>
    <w:rsid w:val="003D0FD4"/>
    <w:rsid w:val="003D0FDF"/>
    <w:rsid w:val="003D10A8"/>
    <w:rsid w:val="003D1103"/>
    <w:rsid w:val="003D1107"/>
    <w:rsid w:val="003D110A"/>
    <w:rsid w:val="003D1149"/>
    <w:rsid w:val="003D1171"/>
    <w:rsid w:val="003D125C"/>
    <w:rsid w:val="003D1316"/>
    <w:rsid w:val="003D1329"/>
    <w:rsid w:val="003D13EE"/>
    <w:rsid w:val="003D145C"/>
    <w:rsid w:val="003D1462"/>
    <w:rsid w:val="003D14BF"/>
    <w:rsid w:val="003D14FC"/>
    <w:rsid w:val="003D16AD"/>
    <w:rsid w:val="003D16BB"/>
    <w:rsid w:val="003D171F"/>
    <w:rsid w:val="003D17D0"/>
    <w:rsid w:val="003D1819"/>
    <w:rsid w:val="003D1915"/>
    <w:rsid w:val="003D19F7"/>
    <w:rsid w:val="003D1A21"/>
    <w:rsid w:val="003D1A84"/>
    <w:rsid w:val="003D1AAB"/>
    <w:rsid w:val="003D1BE9"/>
    <w:rsid w:val="003D1C22"/>
    <w:rsid w:val="003D1C31"/>
    <w:rsid w:val="003D1C43"/>
    <w:rsid w:val="003D1C53"/>
    <w:rsid w:val="003D1C79"/>
    <w:rsid w:val="003D1D85"/>
    <w:rsid w:val="003D1DBA"/>
    <w:rsid w:val="003D1E4E"/>
    <w:rsid w:val="003D1E85"/>
    <w:rsid w:val="003D1ED7"/>
    <w:rsid w:val="003D1EDB"/>
    <w:rsid w:val="003D1F79"/>
    <w:rsid w:val="003D2087"/>
    <w:rsid w:val="003D20BB"/>
    <w:rsid w:val="003D20DC"/>
    <w:rsid w:val="003D2191"/>
    <w:rsid w:val="003D21D5"/>
    <w:rsid w:val="003D21FF"/>
    <w:rsid w:val="003D2202"/>
    <w:rsid w:val="003D221B"/>
    <w:rsid w:val="003D2312"/>
    <w:rsid w:val="003D2344"/>
    <w:rsid w:val="003D2382"/>
    <w:rsid w:val="003D2441"/>
    <w:rsid w:val="003D2464"/>
    <w:rsid w:val="003D24CD"/>
    <w:rsid w:val="003D2506"/>
    <w:rsid w:val="003D250E"/>
    <w:rsid w:val="003D2519"/>
    <w:rsid w:val="003D2541"/>
    <w:rsid w:val="003D255E"/>
    <w:rsid w:val="003D25A8"/>
    <w:rsid w:val="003D25C9"/>
    <w:rsid w:val="003D2642"/>
    <w:rsid w:val="003D26AC"/>
    <w:rsid w:val="003D26F2"/>
    <w:rsid w:val="003D2771"/>
    <w:rsid w:val="003D28B5"/>
    <w:rsid w:val="003D2905"/>
    <w:rsid w:val="003D2A16"/>
    <w:rsid w:val="003D2A51"/>
    <w:rsid w:val="003D2B0D"/>
    <w:rsid w:val="003D2B93"/>
    <w:rsid w:val="003D2BB0"/>
    <w:rsid w:val="003D2CB5"/>
    <w:rsid w:val="003D2E9A"/>
    <w:rsid w:val="003D2EAE"/>
    <w:rsid w:val="003D2ECB"/>
    <w:rsid w:val="003D2FAD"/>
    <w:rsid w:val="003D2FDE"/>
    <w:rsid w:val="003D3014"/>
    <w:rsid w:val="003D305B"/>
    <w:rsid w:val="003D3079"/>
    <w:rsid w:val="003D30E1"/>
    <w:rsid w:val="003D30E9"/>
    <w:rsid w:val="003D31B0"/>
    <w:rsid w:val="003D31F8"/>
    <w:rsid w:val="003D320C"/>
    <w:rsid w:val="003D3222"/>
    <w:rsid w:val="003D32A7"/>
    <w:rsid w:val="003D33AB"/>
    <w:rsid w:val="003D3406"/>
    <w:rsid w:val="003D354F"/>
    <w:rsid w:val="003D3607"/>
    <w:rsid w:val="003D369D"/>
    <w:rsid w:val="003D36D3"/>
    <w:rsid w:val="003D3708"/>
    <w:rsid w:val="003D374E"/>
    <w:rsid w:val="003D381C"/>
    <w:rsid w:val="003D3879"/>
    <w:rsid w:val="003D38E3"/>
    <w:rsid w:val="003D38FF"/>
    <w:rsid w:val="003D39A7"/>
    <w:rsid w:val="003D3A91"/>
    <w:rsid w:val="003D3AC7"/>
    <w:rsid w:val="003D3AEE"/>
    <w:rsid w:val="003D3B8E"/>
    <w:rsid w:val="003D3C5F"/>
    <w:rsid w:val="003D3D59"/>
    <w:rsid w:val="003D3DEE"/>
    <w:rsid w:val="003D3E2C"/>
    <w:rsid w:val="003D3E3B"/>
    <w:rsid w:val="003D3E97"/>
    <w:rsid w:val="003D3F4B"/>
    <w:rsid w:val="003D3F50"/>
    <w:rsid w:val="003D401A"/>
    <w:rsid w:val="003D402E"/>
    <w:rsid w:val="003D40EF"/>
    <w:rsid w:val="003D4105"/>
    <w:rsid w:val="003D4116"/>
    <w:rsid w:val="003D41CF"/>
    <w:rsid w:val="003D4253"/>
    <w:rsid w:val="003D4262"/>
    <w:rsid w:val="003D42AD"/>
    <w:rsid w:val="003D4394"/>
    <w:rsid w:val="003D43CD"/>
    <w:rsid w:val="003D43E6"/>
    <w:rsid w:val="003D4444"/>
    <w:rsid w:val="003D44CE"/>
    <w:rsid w:val="003D4519"/>
    <w:rsid w:val="003D4522"/>
    <w:rsid w:val="003D456A"/>
    <w:rsid w:val="003D45B5"/>
    <w:rsid w:val="003D45EA"/>
    <w:rsid w:val="003D4768"/>
    <w:rsid w:val="003D47AA"/>
    <w:rsid w:val="003D483C"/>
    <w:rsid w:val="003D486E"/>
    <w:rsid w:val="003D48A8"/>
    <w:rsid w:val="003D498D"/>
    <w:rsid w:val="003D4997"/>
    <w:rsid w:val="003D49D6"/>
    <w:rsid w:val="003D4B6A"/>
    <w:rsid w:val="003D4B77"/>
    <w:rsid w:val="003D4BAE"/>
    <w:rsid w:val="003D4BF9"/>
    <w:rsid w:val="003D4E3F"/>
    <w:rsid w:val="003D4E89"/>
    <w:rsid w:val="003D4F56"/>
    <w:rsid w:val="003D4FB0"/>
    <w:rsid w:val="003D5038"/>
    <w:rsid w:val="003D50DD"/>
    <w:rsid w:val="003D50EA"/>
    <w:rsid w:val="003D50F3"/>
    <w:rsid w:val="003D512E"/>
    <w:rsid w:val="003D5154"/>
    <w:rsid w:val="003D518F"/>
    <w:rsid w:val="003D522D"/>
    <w:rsid w:val="003D5255"/>
    <w:rsid w:val="003D5264"/>
    <w:rsid w:val="003D527F"/>
    <w:rsid w:val="003D5292"/>
    <w:rsid w:val="003D535D"/>
    <w:rsid w:val="003D53A8"/>
    <w:rsid w:val="003D5461"/>
    <w:rsid w:val="003D5544"/>
    <w:rsid w:val="003D5589"/>
    <w:rsid w:val="003D559D"/>
    <w:rsid w:val="003D55AB"/>
    <w:rsid w:val="003D55CF"/>
    <w:rsid w:val="003D565A"/>
    <w:rsid w:val="003D58AD"/>
    <w:rsid w:val="003D59EE"/>
    <w:rsid w:val="003D5A30"/>
    <w:rsid w:val="003D5B2A"/>
    <w:rsid w:val="003D5B31"/>
    <w:rsid w:val="003D5B70"/>
    <w:rsid w:val="003D5B9D"/>
    <w:rsid w:val="003D5BB4"/>
    <w:rsid w:val="003D5CAA"/>
    <w:rsid w:val="003D5CD8"/>
    <w:rsid w:val="003D5CF9"/>
    <w:rsid w:val="003D5D05"/>
    <w:rsid w:val="003D5D2E"/>
    <w:rsid w:val="003D5DB7"/>
    <w:rsid w:val="003D5DBF"/>
    <w:rsid w:val="003D5DCE"/>
    <w:rsid w:val="003D5DD3"/>
    <w:rsid w:val="003D5E37"/>
    <w:rsid w:val="003D5E56"/>
    <w:rsid w:val="003D5EF8"/>
    <w:rsid w:val="003D5F53"/>
    <w:rsid w:val="003D5F94"/>
    <w:rsid w:val="003D5FC7"/>
    <w:rsid w:val="003D6085"/>
    <w:rsid w:val="003D60B1"/>
    <w:rsid w:val="003D60C2"/>
    <w:rsid w:val="003D60D8"/>
    <w:rsid w:val="003D6125"/>
    <w:rsid w:val="003D613A"/>
    <w:rsid w:val="003D61A6"/>
    <w:rsid w:val="003D61B5"/>
    <w:rsid w:val="003D61E6"/>
    <w:rsid w:val="003D620D"/>
    <w:rsid w:val="003D620E"/>
    <w:rsid w:val="003D63E8"/>
    <w:rsid w:val="003D6418"/>
    <w:rsid w:val="003D6421"/>
    <w:rsid w:val="003D6435"/>
    <w:rsid w:val="003D6478"/>
    <w:rsid w:val="003D64C7"/>
    <w:rsid w:val="003D659A"/>
    <w:rsid w:val="003D65A1"/>
    <w:rsid w:val="003D66C3"/>
    <w:rsid w:val="003D66ED"/>
    <w:rsid w:val="003D6771"/>
    <w:rsid w:val="003D67D1"/>
    <w:rsid w:val="003D6830"/>
    <w:rsid w:val="003D68DC"/>
    <w:rsid w:val="003D6920"/>
    <w:rsid w:val="003D693B"/>
    <w:rsid w:val="003D6986"/>
    <w:rsid w:val="003D69DB"/>
    <w:rsid w:val="003D6A02"/>
    <w:rsid w:val="003D6A52"/>
    <w:rsid w:val="003D6AEF"/>
    <w:rsid w:val="003D6B49"/>
    <w:rsid w:val="003D6B50"/>
    <w:rsid w:val="003D6B8D"/>
    <w:rsid w:val="003D6BCE"/>
    <w:rsid w:val="003D6BF1"/>
    <w:rsid w:val="003D6C4B"/>
    <w:rsid w:val="003D6C5D"/>
    <w:rsid w:val="003D6C6C"/>
    <w:rsid w:val="003D6E12"/>
    <w:rsid w:val="003D6E75"/>
    <w:rsid w:val="003D6EA6"/>
    <w:rsid w:val="003D6EC1"/>
    <w:rsid w:val="003D6EE9"/>
    <w:rsid w:val="003D70B0"/>
    <w:rsid w:val="003D70D6"/>
    <w:rsid w:val="003D70F2"/>
    <w:rsid w:val="003D7106"/>
    <w:rsid w:val="003D7111"/>
    <w:rsid w:val="003D7188"/>
    <w:rsid w:val="003D72A3"/>
    <w:rsid w:val="003D72FA"/>
    <w:rsid w:val="003D7376"/>
    <w:rsid w:val="003D73D4"/>
    <w:rsid w:val="003D74AE"/>
    <w:rsid w:val="003D74D3"/>
    <w:rsid w:val="003D74E4"/>
    <w:rsid w:val="003D7607"/>
    <w:rsid w:val="003D76AF"/>
    <w:rsid w:val="003D76C1"/>
    <w:rsid w:val="003D76EF"/>
    <w:rsid w:val="003D7795"/>
    <w:rsid w:val="003D7797"/>
    <w:rsid w:val="003D7972"/>
    <w:rsid w:val="003D79B2"/>
    <w:rsid w:val="003D79CD"/>
    <w:rsid w:val="003D7A64"/>
    <w:rsid w:val="003D7A91"/>
    <w:rsid w:val="003D7AEE"/>
    <w:rsid w:val="003D7B43"/>
    <w:rsid w:val="003D7B4E"/>
    <w:rsid w:val="003D7BC1"/>
    <w:rsid w:val="003D7C2A"/>
    <w:rsid w:val="003D7C82"/>
    <w:rsid w:val="003D7D9B"/>
    <w:rsid w:val="003D7DF5"/>
    <w:rsid w:val="003D7E31"/>
    <w:rsid w:val="003D7EE0"/>
    <w:rsid w:val="003D7F7A"/>
    <w:rsid w:val="003E0067"/>
    <w:rsid w:val="003E0078"/>
    <w:rsid w:val="003E00BA"/>
    <w:rsid w:val="003E0162"/>
    <w:rsid w:val="003E0167"/>
    <w:rsid w:val="003E0315"/>
    <w:rsid w:val="003E0326"/>
    <w:rsid w:val="003E035E"/>
    <w:rsid w:val="003E03B7"/>
    <w:rsid w:val="003E03C1"/>
    <w:rsid w:val="003E041B"/>
    <w:rsid w:val="003E0459"/>
    <w:rsid w:val="003E045A"/>
    <w:rsid w:val="003E0487"/>
    <w:rsid w:val="003E0524"/>
    <w:rsid w:val="003E0559"/>
    <w:rsid w:val="003E06A8"/>
    <w:rsid w:val="003E06AF"/>
    <w:rsid w:val="003E06BD"/>
    <w:rsid w:val="003E07AF"/>
    <w:rsid w:val="003E07B5"/>
    <w:rsid w:val="003E07D2"/>
    <w:rsid w:val="003E084C"/>
    <w:rsid w:val="003E08C7"/>
    <w:rsid w:val="003E0941"/>
    <w:rsid w:val="003E09D4"/>
    <w:rsid w:val="003E0ACC"/>
    <w:rsid w:val="003E0BB7"/>
    <w:rsid w:val="003E0C3D"/>
    <w:rsid w:val="003E0CC9"/>
    <w:rsid w:val="003E0D3C"/>
    <w:rsid w:val="003E0DAF"/>
    <w:rsid w:val="003E0E52"/>
    <w:rsid w:val="003E0E64"/>
    <w:rsid w:val="003E0EA8"/>
    <w:rsid w:val="003E0EC7"/>
    <w:rsid w:val="003E0FCB"/>
    <w:rsid w:val="003E1068"/>
    <w:rsid w:val="003E1179"/>
    <w:rsid w:val="003E1193"/>
    <w:rsid w:val="003E11A5"/>
    <w:rsid w:val="003E1209"/>
    <w:rsid w:val="003E1232"/>
    <w:rsid w:val="003E1233"/>
    <w:rsid w:val="003E133F"/>
    <w:rsid w:val="003E13BB"/>
    <w:rsid w:val="003E13CE"/>
    <w:rsid w:val="003E13E7"/>
    <w:rsid w:val="003E1453"/>
    <w:rsid w:val="003E14D1"/>
    <w:rsid w:val="003E1529"/>
    <w:rsid w:val="003E1652"/>
    <w:rsid w:val="003E170C"/>
    <w:rsid w:val="003E1885"/>
    <w:rsid w:val="003E18A4"/>
    <w:rsid w:val="003E18FF"/>
    <w:rsid w:val="003E193B"/>
    <w:rsid w:val="003E199F"/>
    <w:rsid w:val="003E1A85"/>
    <w:rsid w:val="003E1ABB"/>
    <w:rsid w:val="003E1B33"/>
    <w:rsid w:val="003E1BBE"/>
    <w:rsid w:val="003E1EC0"/>
    <w:rsid w:val="003E1EEA"/>
    <w:rsid w:val="003E2038"/>
    <w:rsid w:val="003E20D0"/>
    <w:rsid w:val="003E20F5"/>
    <w:rsid w:val="003E2101"/>
    <w:rsid w:val="003E212A"/>
    <w:rsid w:val="003E21FC"/>
    <w:rsid w:val="003E2230"/>
    <w:rsid w:val="003E2246"/>
    <w:rsid w:val="003E22C6"/>
    <w:rsid w:val="003E2476"/>
    <w:rsid w:val="003E24FD"/>
    <w:rsid w:val="003E2585"/>
    <w:rsid w:val="003E2672"/>
    <w:rsid w:val="003E2791"/>
    <w:rsid w:val="003E2793"/>
    <w:rsid w:val="003E27B9"/>
    <w:rsid w:val="003E2909"/>
    <w:rsid w:val="003E2915"/>
    <w:rsid w:val="003E2947"/>
    <w:rsid w:val="003E2974"/>
    <w:rsid w:val="003E2B8E"/>
    <w:rsid w:val="003E2BDF"/>
    <w:rsid w:val="003E2C95"/>
    <w:rsid w:val="003E2CA0"/>
    <w:rsid w:val="003E2CAF"/>
    <w:rsid w:val="003E2D05"/>
    <w:rsid w:val="003E2D36"/>
    <w:rsid w:val="003E2D6E"/>
    <w:rsid w:val="003E2DA2"/>
    <w:rsid w:val="003E2E0C"/>
    <w:rsid w:val="003E2E3E"/>
    <w:rsid w:val="003E2EA5"/>
    <w:rsid w:val="003E2EC3"/>
    <w:rsid w:val="003E2EC5"/>
    <w:rsid w:val="003E2F59"/>
    <w:rsid w:val="003E2F8A"/>
    <w:rsid w:val="003E3030"/>
    <w:rsid w:val="003E303D"/>
    <w:rsid w:val="003E30CD"/>
    <w:rsid w:val="003E3156"/>
    <w:rsid w:val="003E317F"/>
    <w:rsid w:val="003E318C"/>
    <w:rsid w:val="003E31C1"/>
    <w:rsid w:val="003E31FC"/>
    <w:rsid w:val="003E324D"/>
    <w:rsid w:val="003E32B8"/>
    <w:rsid w:val="003E32C8"/>
    <w:rsid w:val="003E3373"/>
    <w:rsid w:val="003E33AE"/>
    <w:rsid w:val="003E342E"/>
    <w:rsid w:val="003E3498"/>
    <w:rsid w:val="003E34C8"/>
    <w:rsid w:val="003E34E5"/>
    <w:rsid w:val="003E361E"/>
    <w:rsid w:val="003E3658"/>
    <w:rsid w:val="003E36AC"/>
    <w:rsid w:val="003E36B9"/>
    <w:rsid w:val="003E3725"/>
    <w:rsid w:val="003E3769"/>
    <w:rsid w:val="003E3793"/>
    <w:rsid w:val="003E379C"/>
    <w:rsid w:val="003E37A7"/>
    <w:rsid w:val="003E37BB"/>
    <w:rsid w:val="003E3955"/>
    <w:rsid w:val="003E3973"/>
    <w:rsid w:val="003E3974"/>
    <w:rsid w:val="003E3C2F"/>
    <w:rsid w:val="003E3CE5"/>
    <w:rsid w:val="003E3D37"/>
    <w:rsid w:val="003E3DAC"/>
    <w:rsid w:val="003E3E22"/>
    <w:rsid w:val="003E3F25"/>
    <w:rsid w:val="003E3F47"/>
    <w:rsid w:val="003E3FD3"/>
    <w:rsid w:val="003E400B"/>
    <w:rsid w:val="003E402E"/>
    <w:rsid w:val="003E4100"/>
    <w:rsid w:val="003E410C"/>
    <w:rsid w:val="003E4131"/>
    <w:rsid w:val="003E4151"/>
    <w:rsid w:val="003E416A"/>
    <w:rsid w:val="003E41EF"/>
    <w:rsid w:val="003E4200"/>
    <w:rsid w:val="003E42B5"/>
    <w:rsid w:val="003E42D1"/>
    <w:rsid w:val="003E4358"/>
    <w:rsid w:val="003E4360"/>
    <w:rsid w:val="003E4618"/>
    <w:rsid w:val="003E464F"/>
    <w:rsid w:val="003E4687"/>
    <w:rsid w:val="003E4712"/>
    <w:rsid w:val="003E47BC"/>
    <w:rsid w:val="003E4835"/>
    <w:rsid w:val="003E4869"/>
    <w:rsid w:val="003E4876"/>
    <w:rsid w:val="003E48C3"/>
    <w:rsid w:val="003E4964"/>
    <w:rsid w:val="003E4972"/>
    <w:rsid w:val="003E4989"/>
    <w:rsid w:val="003E4995"/>
    <w:rsid w:val="003E49D9"/>
    <w:rsid w:val="003E4A9E"/>
    <w:rsid w:val="003E4B8D"/>
    <w:rsid w:val="003E4C2A"/>
    <w:rsid w:val="003E4C3A"/>
    <w:rsid w:val="003E4C98"/>
    <w:rsid w:val="003E4CC9"/>
    <w:rsid w:val="003E4D27"/>
    <w:rsid w:val="003E4E12"/>
    <w:rsid w:val="003E4E81"/>
    <w:rsid w:val="003E4F16"/>
    <w:rsid w:val="003E4F66"/>
    <w:rsid w:val="003E5032"/>
    <w:rsid w:val="003E5054"/>
    <w:rsid w:val="003E50DF"/>
    <w:rsid w:val="003E512F"/>
    <w:rsid w:val="003E519A"/>
    <w:rsid w:val="003E51E1"/>
    <w:rsid w:val="003E51F6"/>
    <w:rsid w:val="003E5218"/>
    <w:rsid w:val="003E527B"/>
    <w:rsid w:val="003E5285"/>
    <w:rsid w:val="003E5377"/>
    <w:rsid w:val="003E5385"/>
    <w:rsid w:val="003E5542"/>
    <w:rsid w:val="003E5576"/>
    <w:rsid w:val="003E571C"/>
    <w:rsid w:val="003E5782"/>
    <w:rsid w:val="003E578B"/>
    <w:rsid w:val="003E5852"/>
    <w:rsid w:val="003E589A"/>
    <w:rsid w:val="003E5925"/>
    <w:rsid w:val="003E59C8"/>
    <w:rsid w:val="003E5A38"/>
    <w:rsid w:val="003E5AEF"/>
    <w:rsid w:val="003E5B3F"/>
    <w:rsid w:val="003E5BFD"/>
    <w:rsid w:val="003E5C97"/>
    <w:rsid w:val="003E5D08"/>
    <w:rsid w:val="003E5D9A"/>
    <w:rsid w:val="003E5E14"/>
    <w:rsid w:val="003E5E26"/>
    <w:rsid w:val="003E5EBF"/>
    <w:rsid w:val="003E5EF7"/>
    <w:rsid w:val="003E5EFE"/>
    <w:rsid w:val="003E5F82"/>
    <w:rsid w:val="003E5FFF"/>
    <w:rsid w:val="003E60D0"/>
    <w:rsid w:val="003E6110"/>
    <w:rsid w:val="003E626C"/>
    <w:rsid w:val="003E62ED"/>
    <w:rsid w:val="003E6310"/>
    <w:rsid w:val="003E6340"/>
    <w:rsid w:val="003E6356"/>
    <w:rsid w:val="003E6553"/>
    <w:rsid w:val="003E658D"/>
    <w:rsid w:val="003E65D1"/>
    <w:rsid w:val="003E65D4"/>
    <w:rsid w:val="003E65E0"/>
    <w:rsid w:val="003E66E2"/>
    <w:rsid w:val="003E66E4"/>
    <w:rsid w:val="003E6761"/>
    <w:rsid w:val="003E680A"/>
    <w:rsid w:val="003E6977"/>
    <w:rsid w:val="003E6989"/>
    <w:rsid w:val="003E6A1A"/>
    <w:rsid w:val="003E6A26"/>
    <w:rsid w:val="003E6AD3"/>
    <w:rsid w:val="003E6B71"/>
    <w:rsid w:val="003E6B9F"/>
    <w:rsid w:val="003E6BFE"/>
    <w:rsid w:val="003E6C02"/>
    <w:rsid w:val="003E6C64"/>
    <w:rsid w:val="003E6CFE"/>
    <w:rsid w:val="003E6D06"/>
    <w:rsid w:val="003E6D12"/>
    <w:rsid w:val="003E6D43"/>
    <w:rsid w:val="003E6D58"/>
    <w:rsid w:val="003E6DDA"/>
    <w:rsid w:val="003E6E5D"/>
    <w:rsid w:val="003E6FC7"/>
    <w:rsid w:val="003E7060"/>
    <w:rsid w:val="003E70BE"/>
    <w:rsid w:val="003E70F1"/>
    <w:rsid w:val="003E711E"/>
    <w:rsid w:val="003E71DA"/>
    <w:rsid w:val="003E71ED"/>
    <w:rsid w:val="003E720D"/>
    <w:rsid w:val="003E7240"/>
    <w:rsid w:val="003E7277"/>
    <w:rsid w:val="003E729D"/>
    <w:rsid w:val="003E7509"/>
    <w:rsid w:val="003E7585"/>
    <w:rsid w:val="003E75E0"/>
    <w:rsid w:val="003E76CD"/>
    <w:rsid w:val="003E7779"/>
    <w:rsid w:val="003E7797"/>
    <w:rsid w:val="003E77BE"/>
    <w:rsid w:val="003E77DA"/>
    <w:rsid w:val="003E781F"/>
    <w:rsid w:val="003E78C6"/>
    <w:rsid w:val="003E7987"/>
    <w:rsid w:val="003E79C8"/>
    <w:rsid w:val="003E79F3"/>
    <w:rsid w:val="003E7A25"/>
    <w:rsid w:val="003E7A29"/>
    <w:rsid w:val="003E7A46"/>
    <w:rsid w:val="003E7AE1"/>
    <w:rsid w:val="003E7B7F"/>
    <w:rsid w:val="003E7BD7"/>
    <w:rsid w:val="003E7C9D"/>
    <w:rsid w:val="003E7CB2"/>
    <w:rsid w:val="003E7D50"/>
    <w:rsid w:val="003E7DBE"/>
    <w:rsid w:val="003E7E67"/>
    <w:rsid w:val="003E7E70"/>
    <w:rsid w:val="003E7E7B"/>
    <w:rsid w:val="003E7ED9"/>
    <w:rsid w:val="003E7F0C"/>
    <w:rsid w:val="003E7F1F"/>
    <w:rsid w:val="003E7F57"/>
    <w:rsid w:val="003E7F69"/>
    <w:rsid w:val="003E7FA1"/>
    <w:rsid w:val="003F0050"/>
    <w:rsid w:val="003F006E"/>
    <w:rsid w:val="003F00A1"/>
    <w:rsid w:val="003F0181"/>
    <w:rsid w:val="003F01A5"/>
    <w:rsid w:val="003F01EA"/>
    <w:rsid w:val="003F022E"/>
    <w:rsid w:val="003F024A"/>
    <w:rsid w:val="003F0262"/>
    <w:rsid w:val="003F0298"/>
    <w:rsid w:val="003F02BA"/>
    <w:rsid w:val="003F02C3"/>
    <w:rsid w:val="003F02F3"/>
    <w:rsid w:val="003F033B"/>
    <w:rsid w:val="003F0357"/>
    <w:rsid w:val="003F03A4"/>
    <w:rsid w:val="003F0405"/>
    <w:rsid w:val="003F0423"/>
    <w:rsid w:val="003F047C"/>
    <w:rsid w:val="003F05D9"/>
    <w:rsid w:val="003F06CD"/>
    <w:rsid w:val="003F0867"/>
    <w:rsid w:val="003F086D"/>
    <w:rsid w:val="003F088C"/>
    <w:rsid w:val="003F09EF"/>
    <w:rsid w:val="003F0A01"/>
    <w:rsid w:val="003F0A43"/>
    <w:rsid w:val="003F0C04"/>
    <w:rsid w:val="003F0D3C"/>
    <w:rsid w:val="003F0E36"/>
    <w:rsid w:val="003F0E7C"/>
    <w:rsid w:val="003F0ED8"/>
    <w:rsid w:val="003F0F04"/>
    <w:rsid w:val="003F0F95"/>
    <w:rsid w:val="003F0FB9"/>
    <w:rsid w:val="003F0FE2"/>
    <w:rsid w:val="003F0FF7"/>
    <w:rsid w:val="003F1054"/>
    <w:rsid w:val="003F10E8"/>
    <w:rsid w:val="003F1197"/>
    <w:rsid w:val="003F11AD"/>
    <w:rsid w:val="003F11F7"/>
    <w:rsid w:val="003F11FB"/>
    <w:rsid w:val="003F1207"/>
    <w:rsid w:val="003F13C1"/>
    <w:rsid w:val="003F13C4"/>
    <w:rsid w:val="003F1442"/>
    <w:rsid w:val="003F1535"/>
    <w:rsid w:val="003F15E9"/>
    <w:rsid w:val="003F1720"/>
    <w:rsid w:val="003F173E"/>
    <w:rsid w:val="003F1750"/>
    <w:rsid w:val="003F176D"/>
    <w:rsid w:val="003F17CA"/>
    <w:rsid w:val="003F1848"/>
    <w:rsid w:val="003F1933"/>
    <w:rsid w:val="003F199A"/>
    <w:rsid w:val="003F19AF"/>
    <w:rsid w:val="003F1B71"/>
    <w:rsid w:val="003F1C65"/>
    <w:rsid w:val="003F1C6D"/>
    <w:rsid w:val="003F1D6C"/>
    <w:rsid w:val="003F1E07"/>
    <w:rsid w:val="003F1F42"/>
    <w:rsid w:val="003F1F68"/>
    <w:rsid w:val="003F1F8D"/>
    <w:rsid w:val="003F1FA9"/>
    <w:rsid w:val="003F1FD6"/>
    <w:rsid w:val="003F1FFD"/>
    <w:rsid w:val="003F210C"/>
    <w:rsid w:val="003F2115"/>
    <w:rsid w:val="003F2121"/>
    <w:rsid w:val="003F2162"/>
    <w:rsid w:val="003F23AD"/>
    <w:rsid w:val="003F23CA"/>
    <w:rsid w:val="003F2434"/>
    <w:rsid w:val="003F2435"/>
    <w:rsid w:val="003F247F"/>
    <w:rsid w:val="003F25C9"/>
    <w:rsid w:val="003F2680"/>
    <w:rsid w:val="003F2695"/>
    <w:rsid w:val="003F271B"/>
    <w:rsid w:val="003F2852"/>
    <w:rsid w:val="003F2886"/>
    <w:rsid w:val="003F2896"/>
    <w:rsid w:val="003F28D5"/>
    <w:rsid w:val="003F2908"/>
    <w:rsid w:val="003F294E"/>
    <w:rsid w:val="003F2965"/>
    <w:rsid w:val="003F2969"/>
    <w:rsid w:val="003F29CF"/>
    <w:rsid w:val="003F2A87"/>
    <w:rsid w:val="003F2BA5"/>
    <w:rsid w:val="003F2C98"/>
    <w:rsid w:val="003F2CBD"/>
    <w:rsid w:val="003F2D7C"/>
    <w:rsid w:val="003F2DB3"/>
    <w:rsid w:val="003F2E52"/>
    <w:rsid w:val="003F2EAB"/>
    <w:rsid w:val="003F2EAF"/>
    <w:rsid w:val="003F2F08"/>
    <w:rsid w:val="003F2F22"/>
    <w:rsid w:val="003F2F5D"/>
    <w:rsid w:val="003F2FF7"/>
    <w:rsid w:val="003F3026"/>
    <w:rsid w:val="003F306C"/>
    <w:rsid w:val="003F3086"/>
    <w:rsid w:val="003F30AC"/>
    <w:rsid w:val="003F3104"/>
    <w:rsid w:val="003F32E8"/>
    <w:rsid w:val="003F3319"/>
    <w:rsid w:val="003F333F"/>
    <w:rsid w:val="003F3372"/>
    <w:rsid w:val="003F345F"/>
    <w:rsid w:val="003F3486"/>
    <w:rsid w:val="003F3495"/>
    <w:rsid w:val="003F349A"/>
    <w:rsid w:val="003F357E"/>
    <w:rsid w:val="003F358C"/>
    <w:rsid w:val="003F35CF"/>
    <w:rsid w:val="003F36C8"/>
    <w:rsid w:val="003F3739"/>
    <w:rsid w:val="003F3899"/>
    <w:rsid w:val="003F389A"/>
    <w:rsid w:val="003F38C1"/>
    <w:rsid w:val="003F3931"/>
    <w:rsid w:val="003F3976"/>
    <w:rsid w:val="003F398A"/>
    <w:rsid w:val="003F3A18"/>
    <w:rsid w:val="003F3A63"/>
    <w:rsid w:val="003F3AE9"/>
    <w:rsid w:val="003F3BEE"/>
    <w:rsid w:val="003F3C39"/>
    <w:rsid w:val="003F3CD9"/>
    <w:rsid w:val="003F3D14"/>
    <w:rsid w:val="003F3DDD"/>
    <w:rsid w:val="003F3DF2"/>
    <w:rsid w:val="003F3E72"/>
    <w:rsid w:val="003F3F2A"/>
    <w:rsid w:val="003F4099"/>
    <w:rsid w:val="003F40C0"/>
    <w:rsid w:val="003F40CF"/>
    <w:rsid w:val="003F40DB"/>
    <w:rsid w:val="003F40EE"/>
    <w:rsid w:val="003F414A"/>
    <w:rsid w:val="003F41E2"/>
    <w:rsid w:val="003F4225"/>
    <w:rsid w:val="003F4252"/>
    <w:rsid w:val="003F42B2"/>
    <w:rsid w:val="003F42E7"/>
    <w:rsid w:val="003F42EF"/>
    <w:rsid w:val="003F434C"/>
    <w:rsid w:val="003F4371"/>
    <w:rsid w:val="003F4403"/>
    <w:rsid w:val="003F4452"/>
    <w:rsid w:val="003F447B"/>
    <w:rsid w:val="003F45FA"/>
    <w:rsid w:val="003F4729"/>
    <w:rsid w:val="003F4773"/>
    <w:rsid w:val="003F4775"/>
    <w:rsid w:val="003F47F3"/>
    <w:rsid w:val="003F4841"/>
    <w:rsid w:val="003F487D"/>
    <w:rsid w:val="003F48B3"/>
    <w:rsid w:val="003F4A3C"/>
    <w:rsid w:val="003F4AF4"/>
    <w:rsid w:val="003F4B59"/>
    <w:rsid w:val="003F4BA0"/>
    <w:rsid w:val="003F4C54"/>
    <w:rsid w:val="003F4CBA"/>
    <w:rsid w:val="003F4D43"/>
    <w:rsid w:val="003F4DAC"/>
    <w:rsid w:val="003F4E42"/>
    <w:rsid w:val="003F4E72"/>
    <w:rsid w:val="003F4F48"/>
    <w:rsid w:val="003F4FA0"/>
    <w:rsid w:val="003F4FA3"/>
    <w:rsid w:val="003F5011"/>
    <w:rsid w:val="003F5020"/>
    <w:rsid w:val="003F505D"/>
    <w:rsid w:val="003F506B"/>
    <w:rsid w:val="003F50C9"/>
    <w:rsid w:val="003F519B"/>
    <w:rsid w:val="003F51A9"/>
    <w:rsid w:val="003F51BD"/>
    <w:rsid w:val="003F525A"/>
    <w:rsid w:val="003F52E1"/>
    <w:rsid w:val="003F53D6"/>
    <w:rsid w:val="003F540C"/>
    <w:rsid w:val="003F542B"/>
    <w:rsid w:val="003F556B"/>
    <w:rsid w:val="003F55BE"/>
    <w:rsid w:val="003F55FD"/>
    <w:rsid w:val="003F5620"/>
    <w:rsid w:val="003F5698"/>
    <w:rsid w:val="003F569D"/>
    <w:rsid w:val="003F5718"/>
    <w:rsid w:val="003F573E"/>
    <w:rsid w:val="003F579A"/>
    <w:rsid w:val="003F57C4"/>
    <w:rsid w:val="003F580D"/>
    <w:rsid w:val="003F588C"/>
    <w:rsid w:val="003F58F8"/>
    <w:rsid w:val="003F5A06"/>
    <w:rsid w:val="003F5B14"/>
    <w:rsid w:val="003F5B3E"/>
    <w:rsid w:val="003F5B40"/>
    <w:rsid w:val="003F5BBE"/>
    <w:rsid w:val="003F5BCC"/>
    <w:rsid w:val="003F5BE8"/>
    <w:rsid w:val="003F5C7B"/>
    <w:rsid w:val="003F5D07"/>
    <w:rsid w:val="003F5D36"/>
    <w:rsid w:val="003F5DB3"/>
    <w:rsid w:val="003F5E3F"/>
    <w:rsid w:val="003F5E76"/>
    <w:rsid w:val="003F5ED4"/>
    <w:rsid w:val="003F5FB4"/>
    <w:rsid w:val="003F6058"/>
    <w:rsid w:val="003F607B"/>
    <w:rsid w:val="003F6089"/>
    <w:rsid w:val="003F60C3"/>
    <w:rsid w:val="003F60F7"/>
    <w:rsid w:val="003F60FC"/>
    <w:rsid w:val="003F61C7"/>
    <w:rsid w:val="003F61F8"/>
    <w:rsid w:val="003F6283"/>
    <w:rsid w:val="003F6356"/>
    <w:rsid w:val="003F63A2"/>
    <w:rsid w:val="003F63D9"/>
    <w:rsid w:val="003F6440"/>
    <w:rsid w:val="003F64AC"/>
    <w:rsid w:val="003F6518"/>
    <w:rsid w:val="003F6562"/>
    <w:rsid w:val="003F664D"/>
    <w:rsid w:val="003F665F"/>
    <w:rsid w:val="003F66B5"/>
    <w:rsid w:val="003F66CB"/>
    <w:rsid w:val="003F6775"/>
    <w:rsid w:val="003F681D"/>
    <w:rsid w:val="003F686A"/>
    <w:rsid w:val="003F690E"/>
    <w:rsid w:val="003F6954"/>
    <w:rsid w:val="003F6959"/>
    <w:rsid w:val="003F697F"/>
    <w:rsid w:val="003F69DD"/>
    <w:rsid w:val="003F6A31"/>
    <w:rsid w:val="003F6AC4"/>
    <w:rsid w:val="003F6B34"/>
    <w:rsid w:val="003F6BBB"/>
    <w:rsid w:val="003F6BFA"/>
    <w:rsid w:val="003F6C06"/>
    <w:rsid w:val="003F6C10"/>
    <w:rsid w:val="003F6DFD"/>
    <w:rsid w:val="003F6E1D"/>
    <w:rsid w:val="003F6F20"/>
    <w:rsid w:val="003F6F60"/>
    <w:rsid w:val="003F6F70"/>
    <w:rsid w:val="003F71D9"/>
    <w:rsid w:val="003F71E3"/>
    <w:rsid w:val="003F725B"/>
    <w:rsid w:val="003F7293"/>
    <w:rsid w:val="003F73BB"/>
    <w:rsid w:val="003F7408"/>
    <w:rsid w:val="003F753F"/>
    <w:rsid w:val="003F75C4"/>
    <w:rsid w:val="003F75C7"/>
    <w:rsid w:val="003F75FC"/>
    <w:rsid w:val="003F7676"/>
    <w:rsid w:val="003F7706"/>
    <w:rsid w:val="003F7841"/>
    <w:rsid w:val="003F7853"/>
    <w:rsid w:val="003F788A"/>
    <w:rsid w:val="003F7896"/>
    <w:rsid w:val="003F78B1"/>
    <w:rsid w:val="003F78B7"/>
    <w:rsid w:val="003F78BD"/>
    <w:rsid w:val="003F78EE"/>
    <w:rsid w:val="003F796D"/>
    <w:rsid w:val="003F79AE"/>
    <w:rsid w:val="003F79B0"/>
    <w:rsid w:val="003F79C7"/>
    <w:rsid w:val="003F7A4B"/>
    <w:rsid w:val="003F7A60"/>
    <w:rsid w:val="003F7AA6"/>
    <w:rsid w:val="003F7B03"/>
    <w:rsid w:val="003F7B04"/>
    <w:rsid w:val="003F7BA2"/>
    <w:rsid w:val="003F7C51"/>
    <w:rsid w:val="003F7C6B"/>
    <w:rsid w:val="003F7CDB"/>
    <w:rsid w:val="003F7CF7"/>
    <w:rsid w:val="003F7CF8"/>
    <w:rsid w:val="003F7DAA"/>
    <w:rsid w:val="003F7E2C"/>
    <w:rsid w:val="003F7E3D"/>
    <w:rsid w:val="003F7F40"/>
    <w:rsid w:val="00400090"/>
    <w:rsid w:val="00400096"/>
    <w:rsid w:val="00400253"/>
    <w:rsid w:val="004002CE"/>
    <w:rsid w:val="0040036B"/>
    <w:rsid w:val="004003EA"/>
    <w:rsid w:val="00400400"/>
    <w:rsid w:val="004006F7"/>
    <w:rsid w:val="004007AB"/>
    <w:rsid w:val="00400804"/>
    <w:rsid w:val="004009BF"/>
    <w:rsid w:val="004009C8"/>
    <w:rsid w:val="004009EF"/>
    <w:rsid w:val="00400A47"/>
    <w:rsid w:val="00400A77"/>
    <w:rsid w:val="00400BDC"/>
    <w:rsid w:val="00400CC2"/>
    <w:rsid w:val="00400E25"/>
    <w:rsid w:val="00400E5D"/>
    <w:rsid w:val="00400F1E"/>
    <w:rsid w:val="00400FA2"/>
    <w:rsid w:val="00401021"/>
    <w:rsid w:val="00401087"/>
    <w:rsid w:val="004010B0"/>
    <w:rsid w:val="004010FF"/>
    <w:rsid w:val="004012FC"/>
    <w:rsid w:val="0040145A"/>
    <w:rsid w:val="00401514"/>
    <w:rsid w:val="004015DB"/>
    <w:rsid w:val="00401638"/>
    <w:rsid w:val="004016AB"/>
    <w:rsid w:val="00401882"/>
    <w:rsid w:val="004018C2"/>
    <w:rsid w:val="004018D7"/>
    <w:rsid w:val="00401AB9"/>
    <w:rsid w:val="00401ABA"/>
    <w:rsid w:val="00401B65"/>
    <w:rsid w:val="00401B75"/>
    <w:rsid w:val="00401B7C"/>
    <w:rsid w:val="00401BA4"/>
    <w:rsid w:val="00401C4A"/>
    <w:rsid w:val="00401CA4"/>
    <w:rsid w:val="00401CF8"/>
    <w:rsid w:val="00401D04"/>
    <w:rsid w:val="00401D4E"/>
    <w:rsid w:val="00401D5F"/>
    <w:rsid w:val="00401E50"/>
    <w:rsid w:val="00401E83"/>
    <w:rsid w:val="00401E8D"/>
    <w:rsid w:val="00401EC9"/>
    <w:rsid w:val="00401ED3"/>
    <w:rsid w:val="00401EF0"/>
    <w:rsid w:val="00401F3A"/>
    <w:rsid w:val="00401FEA"/>
    <w:rsid w:val="00401FF7"/>
    <w:rsid w:val="004020EA"/>
    <w:rsid w:val="00402197"/>
    <w:rsid w:val="004021C5"/>
    <w:rsid w:val="00402287"/>
    <w:rsid w:val="004022D7"/>
    <w:rsid w:val="00402415"/>
    <w:rsid w:val="00402470"/>
    <w:rsid w:val="00402490"/>
    <w:rsid w:val="004025E4"/>
    <w:rsid w:val="004026CC"/>
    <w:rsid w:val="00402783"/>
    <w:rsid w:val="004027F9"/>
    <w:rsid w:val="00402804"/>
    <w:rsid w:val="004028A1"/>
    <w:rsid w:val="004028C3"/>
    <w:rsid w:val="004028C5"/>
    <w:rsid w:val="0040298F"/>
    <w:rsid w:val="004029CA"/>
    <w:rsid w:val="004029D8"/>
    <w:rsid w:val="00402AD5"/>
    <w:rsid w:val="00402B3E"/>
    <w:rsid w:val="00402BBE"/>
    <w:rsid w:val="00402C22"/>
    <w:rsid w:val="00402C7D"/>
    <w:rsid w:val="00402C81"/>
    <w:rsid w:val="00402D7F"/>
    <w:rsid w:val="00402DE1"/>
    <w:rsid w:val="00402EB7"/>
    <w:rsid w:val="00402EC7"/>
    <w:rsid w:val="00402EE2"/>
    <w:rsid w:val="00402F24"/>
    <w:rsid w:val="00402F2C"/>
    <w:rsid w:val="00402F6E"/>
    <w:rsid w:val="00403092"/>
    <w:rsid w:val="004030CC"/>
    <w:rsid w:val="00403149"/>
    <w:rsid w:val="00403161"/>
    <w:rsid w:val="00403171"/>
    <w:rsid w:val="0040319C"/>
    <w:rsid w:val="004031A9"/>
    <w:rsid w:val="00403263"/>
    <w:rsid w:val="0040327F"/>
    <w:rsid w:val="004032AB"/>
    <w:rsid w:val="0040334C"/>
    <w:rsid w:val="0040336F"/>
    <w:rsid w:val="00403394"/>
    <w:rsid w:val="004033EC"/>
    <w:rsid w:val="0040342C"/>
    <w:rsid w:val="004034F1"/>
    <w:rsid w:val="004035BF"/>
    <w:rsid w:val="0040361B"/>
    <w:rsid w:val="0040361E"/>
    <w:rsid w:val="004036B2"/>
    <w:rsid w:val="004036EF"/>
    <w:rsid w:val="00403733"/>
    <w:rsid w:val="004037C0"/>
    <w:rsid w:val="0040381B"/>
    <w:rsid w:val="004038DD"/>
    <w:rsid w:val="004038F0"/>
    <w:rsid w:val="0040398A"/>
    <w:rsid w:val="00403A23"/>
    <w:rsid w:val="00403AE4"/>
    <w:rsid w:val="00403AE9"/>
    <w:rsid w:val="00403B56"/>
    <w:rsid w:val="00403B87"/>
    <w:rsid w:val="00403BBA"/>
    <w:rsid w:val="00403BD9"/>
    <w:rsid w:val="00403D2E"/>
    <w:rsid w:val="00403D47"/>
    <w:rsid w:val="00403D70"/>
    <w:rsid w:val="00403F2B"/>
    <w:rsid w:val="00403F62"/>
    <w:rsid w:val="00403FA1"/>
    <w:rsid w:val="0040406B"/>
    <w:rsid w:val="004040AE"/>
    <w:rsid w:val="004040B6"/>
    <w:rsid w:val="0040416E"/>
    <w:rsid w:val="004041BA"/>
    <w:rsid w:val="004041EF"/>
    <w:rsid w:val="004042F3"/>
    <w:rsid w:val="004042F5"/>
    <w:rsid w:val="004043B5"/>
    <w:rsid w:val="004043DB"/>
    <w:rsid w:val="004043FE"/>
    <w:rsid w:val="0040453B"/>
    <w:rsid w:val="004045AC"/>
    <w:rsid w:val="0040461E"/>
    <w:rsid w:val="0040464B"/>
    <w:rsid w:val="0040471C"/>
    <w:rsid w:val="004047DC"/>
    <w:rsid w:val="004047E7"/>
    <w:rsid w:val="0040483C"/>
    <w:rsid w:val="0040485E"/>
    <w:rsid w:val="004048B6"/>
    <w:rsid w:val="004048C8"/>
    <w:rsid w:val="004048EA"/>
    <w:rsid w:val="0040491B"/>
    <w:rsid w:val="00404936"/>
    <w:rsid w:val="00404954"/>
    <w:rsid w:val="004049B3"/>
    <w:rsid w:val="00404ADD"/>
    <w:rsid w:val="00404B6C"/>
    <w:rsid w:val="00404B86"/>
    <w:rsid w:val="00404C19"/>
    <w:rsid w:val="00404D61"/>
    <w:rsid w:val="00404D80"/>
    <w:rsid w:val="00404DF1"/>
    <w:rsid w:val="00404DF4"/>
    <w:rsid w:val="00404E80"/>
    <w:rsid w:val="00404EA0"/>
    <w:rsid w:val="00404F1D"/>
    <w:rsid w:val="00404F3C"/>
    <w:rsid w:val="00404F72"/>
    <w:rsid w:val="00404F77"/>
    <w:rsid w:val="0040512D"/>
    <w:rsid w:val="00405132"/>
    <w:rsid w:val="0040516B"/>
    <w:rsid w:val="00405174"/>
    <w:rsid w:val="00405181"/>
    <w:rsid w:val="004051DD"/>
    <w:rsid w:val="004051E6"/>
    <w:rsid w:val="004051EC"/>
    <w:rsid w:val="004051FF"/>
    <w:rsid w:val="004052BF"/>
    <w:rsid w:val="004052D3"/>
    <w:rsid w:val="00405328"/>
    <w:rsid w:val="0040539E"/>
    <w:rsid w:val="004053FF"/>
    <w:rsid w:val="0040548C"/>
    <w:rsid w:val="00405492"/>
    <w:rsid w:val="004054CC"/>
    <w:rsid w:val="004054E1"/>
    <w:rsid w:val="00405573"/>
    <w:rsid w:val="00405587"/>
    <w:rsid w:val="004055E1"/>
    <w:rsid w:val="0040566D"/>
    <w:rsid w:val="0040572C"/>
    <w:rsid w:val="0040576E"/>
    <w:rsid w:val="0040581B"/>
    <w:rsid w:val="0040588F"/>
    <w:rsid w:val="00405982"/>
    <w:rsid w:val="00405997"/>
    <w:rsid w:val="004059EA"/>
    <w:rsid w:val="00405A3A"/>
    <w:rsid w:val="00405AB8"/>
    <w:rsid w:val="00405B05"/>
    <w:rsid w:val="00405B59"/>
    <w:rsid w:val="00405B5A"/>
    <w:rsid w:val="00405B5C"/>
    <w:rsid w:val="00405B79"/>
    <w:rsid w:val="00405BB7"/>
    <w:rsid w:val="00405D6E"/>
    <w:rsid w:val="00405E02"/>
    <w:rsid w:val="00405ED2"/>
    <w:rsid w:val="00405F68"/>
    <w:rsid w:val="00405FC3"/>
    <w:rsid w:val="00405FEE"/>
    <w:rsid w:val="0040604E"/>
    <w:rsid w:val="00406052"/>
    <w:rsid w:val="00406078"/>
    <w:rsid w:val="00406096"/>
    <w:rsid w:val="004060CB"/>
    <w:rsid w:val="004061BD"/>
    <w:rsid w:val="0040620E"/>
    <w:rsid w:val="00406228"/>
    <w:rsid w:val="00406329"/>
    <w:rsid w:val="00406369"/>
    <w:rsid w:val="004063FF"/>
    <w:rsid w:val="0040641C"/>
    <w:rsid w:val="0040648D"/>
    <w:rsid w:val="004064B4"/>
    <w:rsid w:val="00406613"/>
    <w:rsid w:val="004066B2"/>
    <w:rsid w:val="00406790"/>
    <w:rsid w:val="00406805"/>
    <w:rsid w:val="0040688A"/>
    <w:rsid w:val="004068A9"/>
    <w:rsid w:val="0040690A"/>
    <w:rsid w:val="00406917"/>
    <w:rsid w:val="00406969"/>
    <w:rsid w:val="00406995"/>
    <w:rsid w:val="00406AE4"/>
    <w:rsid w:val="00406B3F"/>
    <w:rsid w:val="00406B5B"/>
    <w:rsid w:val="00406C2B"/>
    <w:rsid w:val="00406D09"/>
    <w:rsid w:val="00406D90"/>
    <w:rsid w:val="00406D98"/>
    <w:rsid w:val="00406DB5"/>
    <w:rsid w:val="00406DD4"/>
    <w:rsid w:val="00406E1F"/>
    <w:rsid w:val="00406F1A"/>
    <w:rsid w:val="00406F1C"/>
    <w:rsid w:val="00406F52"/>
    <w:rsid w:val="00406F55"/>
    <w:rsid w:val="00406FC7"/>
    <w:rsid w:val="004070D3"/>
    <w:rsid w:val="00407168"/>
    <w:rsid w:val="00407183"/>
    <w:rsid w:val="004071E1"/>
    <w:rsid w:val="0040720E"/>
    <w:rsid w:val="004072CC"/>
    <w:rsid w:val="00407368"/>
    <w:rsid w:val="00407387"/>
    <w:rsid w:val="004073B6"/>
    <w:rsid w:val="004073ED"/>
    <w:rsid w:val="00407580"/>
    <w:rsid w:val="00407592"/>
    <w:rsid w:val="0040762D"/>
    <w:rsid w:val="0040763E"/>
    <w:rsid w:val="004076DD"/>
    <w:rsid w:val="004077DC"/>
    <w:rsid w:val="004077F4"/>
    <w:rsid w:val="0040782C"/>
    <w:rsid w:val="0040796E"/>
    <w:rsid w:val="00407991"/>
    <w:rsid w:val="00407A22"/>
    <w:rsid w:val="00407A34"/>
    <w:rsid w:val="00407C61"/>
    <w:rsid w:val="00407CD9"/>
    <w:rsid w:val="00407D19"/>
    <w:rsid w:val="00407D7A"/>
    <w:rsid w:val="00407DBC"/>
    <w:rsid w:val="00407DE4"/>
    <w:rsid w:val="00407DF0"/>
    <w:rsid w:val="00407F44"/>
    <w:rsid w:val="00407F95"/>
    <w:rsid w:val="00410069"/>
    <w:rsid w:val="004100D0"/>
    <w:rsid w:val="0041013C"/>
    <w:rsid w:val="0041017C"/>
    <w:rsid w:val="004101D4"/>
    <w:rsid w:val="00410288"/>
    <w:rsid w:val="00410339"/>
    <w:rsid w:val="004104A7"/>
    <w:rsid w:val="0041052B"/>
    <w:rsid w:val="00410538"/>
    <w:rsid w:val="004105FB"/>
    <w:rsid w:val="00410663"/>
    <w:rsid w:val="0041077D"/>
    <w:rsid w:val="0041078F"/>
    <w:rsid w:val="00410827"/>
    <w:rsid w:val="00410898"/>
    <w:rsid w:val="004108AB"/>
    <w:rsid w:val="00410A44"/>
    <w:rsid w:val="00410A5C"/>
    <w:rsid w:val="00410A7D"/>
    <w:rsid w:val="00410AB2"/>
    <w:rsid w:val="00410BB7"/>
    <w:rsid w:val="00410C02"/>
    <w:rsid w:val="00410C20"/>
    <w:rsid w:val="00410D39"/>
    <w:rsid w:val="00410D3A"/>
    <w:rsid w:val="00410D65"/>
    <w:rsid w:val="00410DEB"/>
    <w:rsid w:val="00410F44"/>
    <w:rsid w:val="00410F47"/>
    <w:rsid w:val="0041105F"/>
    <w:rsid w:val="004110E0"/>
    <w:rsid w:val="00411133"/>
    <w:rsid w:val="004111A8"/>
    <w:rsid w:val="004111F1"/>
    <w:rsid w:val="00411210"/>
    <w:rsid w:val="0041122B"/>
    <w:rsid w:val="0041128E"/>
    <w:rsid w:val="0041132D"/>
    <w:rsid w:val="00411464"/>
    <w:rsid w:val="004114A0"/>
    <w:rsid w:val="004114A9"/>
    <w:rsid w:val="004114F0"/>
    <w:rsid w:val="00411530"/>
    <w:rsid w:val="00411534"/>
    <w:rsid w:val="00411544"/>
    <w:rsid w:val="004115A3"/>
    <w:rsid w:val="004115D0"/>
    <w:rsid w:val="004115E1"/>
    <w:rsid w:val="0041160A"/>
    <w:rsid w:val="0041160B"/>
    <w:rsid w:val="00411646"/>
    <w:rsid w:val="00411647"/>
    <w:rsid w:val="00411670"/>
    <w:rsid w:val="00411699"/>
    <w:rsid w:val="00411701"/>
    <w:rsid w:val="00411760"/>
    <w:rsid w:val="0041178E"/>
    <w:rsid w:val="0041179E"/>
    <w:rsid w:val="00411825"/>
    <w:rsid w:val="00411910"/>
    <w:rsid w:val="00411976"/>
    <w:rsid w:val="0041197B"/>
    <w:rsid w:val="004119AA"/>
    <w:rsid w:val="004119FF"/>
    <w:rsid w:val="00411A06"/>
    <w:rsid w:val="00411A1E"/>
    <w:rsid w:val="00411A21"/>
    <w:rsid w:val="00411AE7"/>
    <w:rsid w:val="00411B16"/>
    <w:rsid w:val="00411B42"/>
    <w:rsid w:val="00411B7B"/>
    <w:rsid w:val="00411C28"/>
    <w:rsid w:val="00411C75"/>
    <w:rsid w:val="00411CFE"/>
    <w:rsid w:val="00411D37"/>
    <w:rsid w:val="00411D63"/>
    <w:rsid w:val="00411D7E"/>
    <w:rsid w:val="00411DF2"/>
    <w:rsid w:val="00411E73"/>
    <w:rsid w:val="00411E99"/>
    <w:rsid w:val="00411EE8"/>
    <w:rsid w:val="00411F4F"/>
    <w:rsid w:val="00412006"/>
    <w:rsid w:val="00412079"/>
    <w:rsid w:val="00412084"/>
    <w:rsid w:val="004120A2"/>
    <w:rsid w:val="004121AA"/>
    <w:rsid w:val="00412201"/>
    <w:rsid w:val="004122AA"/>
    <w:rsid w:val="004122D4"/>
    <w:rsid w:val="0041232A"/>
    <w:rsid w:val="00412387"/>
    <w:rsid w:val="004123F8"/>
    <w:rsid w:val="00412408"/>
    <w:rsid w:val="00412448"/>
    <w:rsid w:val="00412553"/>
    <w:rsid w:val="004125A1"/>
    <w:rsid w:val="00412741"/>
    <w:rsid w:val="0041275D"/>
    <w:rsid w:val="004127C1"/>
    <w:rsid w:val="0041281F"/>
    <w:rsid w:val="00412906"/>
    <w:rsid w:val="004129A9"/>
    <w:rsid w:val="00412AB0"/>
    <w:rsid w:val="00412AB5"/>
    <w:rsid w:val="00412B09"/>
    <w:rsid w:val="00412B10"/>
    <w:rsid w:val="00412B65"/>
    <w:rsid w:val="00412BAB"/>
    <w:rsid w:val="00412CB8"/>
    <w:rsid w:val="00412CF9"/>
    <w:rsid w:val="00412DA9"/>
    <w:rsid w:val="00412DAB"/>
    <w:rsid w:val="00412DCC"/>
    <w:rsid w:val="00412E27"/>
    <w:rsid w:val="00412F12"/>
    <w:rsid w:val="00412F6F"/>
    <w:rsid w:val="00412FD0"/>
    <w:rsid w:val="00412FE5"/>
    <w:rsid w:val="00412FE6"/>
    <w:rsid w:val="00413009"/>
    <w:rsid w:val="0041305A"/>
    <w:rsid w:val="004130A1"/>
    <w:rsid w:val="004130E6"/>
    <w:rsid w:val="004130EF"/>
    <w:rsid w:val="0041313C"/>
    <w:rsid w:val="004131BE"/>
    <w:rsid w:val="004133D0"/>
    <w:rsid w:val="004133E7"/>
    <w:rsid w:val="00413488"/>
    <w:rsid w:val="00413529"/>
    <w:rsid w:val="004135A2"/>
    <w:rsid w:val="004135D6"/>
    <w:rsid w:val="00413640"/>
    <w:rsid w:val="0041368C"/>
    <w:rsid w:val="004136A6"/>
    <w:rsid w:val="004137A8"/>
    <w:rsid w:val="004137FB"/>
    <w:rsid w:val="00413831"/>
    <w:rsid w:val="0041384A"/>
    <w:rsid w:val="0041397F"/>
    <w:rsid w:val="004139B9"/>
    <w:rsid w:val="004139BF"/>
    <w:rsid w:val="004139C2"/>
    <w:rsid w:val="004139FA"/>
    <w:rsid w:val="00413A88"/>
    <w:rsid w:val="00413B57"/>
    <w:rsid w:val="00413C03"/>
    <w:rsid w:val="00413C18"/>
    <w:rsid w:val="00413C30"/>
    <w:rsid w:val="00413C46"/>
    <w:rsid w:val="00413CAE"/>
    <w:rsid w:val="00413CD8"/>
    <w:rsid w:val="00413CFA"/>
    <w:rsid w:val="00413D89"/>
    <w:rsid w:val="00413E1A"/>
    <w:rsid w:val="00413E39"/>
    <w:rsid w:val="00413E45"/>
    <w:rsid w:val="00413E73"/>
    <w:rsid w:val="004140E7"/>
    <w:rsid w:val="004141CB"/>
    <w:rsid w:val="0041423C"/>
    <w:rsid w:val="004142C4"/>
    <w:rsid w:val="004142EC"/>
    <w:rsid w:val="004142F2"/>
    <w:rsid w:val="00414329"/>
    <w:rsid w:val="0041437C"/>
    <w:rsid w:val="00414399"/>
    <w:rsid w:val="00414476"/>
    <w:rsid w:val="00414484"/>
    <w:rsid w:val="0041448B"/>
    <w:rsid w:val="004144C7"/>
    <w:rsid w:val="004145B4"/>
    <w:rsid w:val="00414666"/>
    <w:rsid w:val="00414677"/>
    <w:rsid w:val="0041472E"/>
    <w:rsid w:val="0041483F"/>
    <w:rsid w:val="004148E0"/>
    <w:rsid w:val="004148F4"/>
    <w:rsid w:val="004149F4"/>
    <w:rsid w:val="00414B57"/>
    <w:rsid w:val="00414BB8"/>
    <w:rsid w:val="00414C36"/>
    <w:rsid w:val="00414CD3"/>
    <w:rsid w:val="00414D57"/>
    <w:rsid w:val="00414D5E"/>
    <w:rsid w:val="00414E22"/>
    <w:rsid w:val="00414E28"/>
    <w:rsid w:val="00414E4B"/>
    <w:rsid w:val="00414E5E"/>
    <w:rsid w:val="00414E89"/>
    <w:rsid w:val="00414F5A"/>
    <w:rsid w:val="00414F94"/>
    <w:rsid w:val="00414FFA"/>
    <w:rsid w:val="00415034"/>
    <w:rsid w:val="004150E1"/>
    <w:rsid w:val="004150F7"/>
    <w:rsid w:val="0041514B"/>
    <w:rsid w:val="00415241"/>
    <w:rsid w:val="0041529B"/>
    <w:rsid w:val="0041536E"/>
    <w:rsid w:val="0041537A"/>
    <w:rsid w:val="004153B9"/>
    <w:rsid w:val="004153FD"/>
    <w:rsid w:val="004154C9"/>
    <w:rsid w:val="00415555"/>
    <w:rsid w:val="0041556F"/>
    <w:rsid w:val="00415604"/>
    <w:rsid w:val="00415611"/>
    <w:rsid w:val="00415615"/>
    <w:rsid w:val="00415664"/>
    <w:rsid w:val="00415947"/>
    <w:rsid w:val="00415A38"/>
    <w:rsid w:val="00415B1A"/>
    <w:rsid w:val="00415B47"/>
    <w:rsid w:val="00415C27"/>
    <w:rsid w:val="00415C7D"/>
    <w:rsid w:val="00415CF1"/>
    <w:rsid w:val="00415D9B"/>
    <w:rsid w:val="00415E3E"/>
    <w:rsid w:val="00415E50"/>
    <w:rsid w:val="00415EC7"/>
    <w:rsid w:val="00415EE7"/>
    <w:rsid w:val="00415F47"/>
    <w:rsid w:val="004160C9"/>
    <w:rsid w:val="004160CB"/>
    <w:rsid w:val="004161B1"/>
    <w:rsid w:val="004161DC"/>
    <w:rsid w:val="004161F1"/>
    <w:rsid w:val="00416330"/>
    <w:rsid w:val="00416414"/>
    <w:rsid w:val="0041641B"/>
    <w:rsid w:val="00416457"/>
    <w:rsid w:val="004164BB"/>
    <w:rsid w:val="00416530"/>
    <w:rsid w:val="004165C8"/>
    <w:rsid w:val="00416726"/>
    <w:rsid w:val="00416789"/>
    <w:rsid w:val="0041683D"/>
    <w:rsid w:val="0041690D"/>
    <w:rsid w:val="00416953"/>
    <w:rsid w:val="00416991"/>
    <w:rsid w:val="00416A05"/>
    <w:rsid w:val="00416A1D"/>
    <w:rsid w:val="00416A72"/>
    <w:rsid w:val="00416A77"/>
    <w:rsid w:val="00416B18"/>
    <w:rsid w:val="00416C0A"/>
    <w:rsid w:val="00416C66"/>
    <w:rsid w:val="00416C68"/>
    <w:rsid w:val="00416CB8"/>
    <w:rsid w:val="00416CE5"/>
    <w:rsid w:val="00416CF1"/>
    <w:rsid w:val="00416D6E"/>
    <w:rsid w:val="00416ECA"/>
    <w:rsid w:val="00416EDA"/>
    <w:rsid w:val="00417045"/>
    <w:rsid w:val="00417132"/>
    <w:rsid w:val="004171AE"/>
    <w:rsid w:val="00417213"/>
    <w:rsid w:val="00417217"/>
    <w:rsid w:val="0041723B"/>
    <w:rsid w:val="0041727D"/>
    <w:rsid w:val="0041728C"/>
    <w:rsid w:val="0041729F"/>
    <w:rsid w:val="004172A2"/>
    <w:rsid w:val="0041730A"/>
    <w:rsid w:val="00417345"/>
    <w:rsid w:val="00417359"/>
    <w:rsid w:val="00417385"/>
    <w:rsid w:val="0041738C"/>
    <w:rsid w:val="004173D4"/>
    <w:rsid w:val="004173EC"/>
    <w:rsid w:val="0041741F"/>
    <w:rsid w:val="00417442"/>
    <w:rsid w:val="00417481"/>
    <w:rsid w:val="0041753C"/>
    <w:rsid w:val="004176D0"/>
    <w:rsid w:val="0041779A"/>
    <w:rsid w:val="004177B5"/>
    <w:rsid w:val="004177CE"/>
    <w:rsid w:val="004177E8"/>
    <w:rsid w:val="00417867"/>
    <w:rsid w:val="00417A32"/>
    <w:rsid w:val="00417BAB"/>
    <w:rsid w:val="00417C25"/>
    <w:rsid w:val="00417C55"/>
    <w:rsid w:val="00417CE0"/>
    <w:rsid w:val="00417D28"/>
    <w:rsid w:val="00417E95"/>
    <w:rsid w:val="00417EF7"/>
    <w:rsid w:val="00417F1E"/>
    <w:rsid w:val="00417FB0"/>
    <w:rsid w:val="00420021"/>
    <w:rsid w:val="00420053"/>
    <w:rsid w:val="0042014D"/>
    <w:rsid w:val="0042019E"/>
    <w:rsid w:val="00420378"/>
    <w:rsid w:val="004203EC"/>
    <w:rsid w:val="00420436"/>
    <w:rsid w:val="00420437"/>
    <w:rsid w:val="00420438"/>
    <w:rsid w:val="00420470"/>
    <w:rsid w:val="00420485"/>
    <w:rsid w:val="004204D1"/>
    <w:rsid w:val="004205C5"/>
    <w:rsid w:val="00420631"/>
    <w:rsid w:val="00420640"/>
    <w:rsid w:val="00420724"/>
    <w:rsid w:val="00420748"/>
    <w:rsid w:val="00420783"/>
    <w:rsid w:val="0042090E"/>
    <w:rsid w:val="00420948"/>
    <w:rsid w:val="00420963"/>
    <w:rsid w:val="004209BA"/>
    <w:rsid w:val="004209E6"/>
    <w:rsid w:val="00420AAD"/>
    <w:rsid w:val="00420B7A"/>
    <w:rsid w:val="00420D26"/>
    <w:rsid w:val="00420E14"/>
    <w:rsid w:val="00420E81"/>
    <w:rsid w:val="00420F1A"/>
    <w:rsid w:val="00420FE2"/>
    <w:rsid w:val="00421232"/>
    <w:rsid w:val="004212F0"/>
    <w:rsid w:val="00421345"/>
    <w:rsid w:val="00421488"/>
    <w:rsid w:val="00421493"/>
    <w:rsid w:val="004214BA"/>
    <w:rsid w:val="00421577"/>
    <w:rsid w:val="00421693"/>
    <w:rsid w:val="0042169F"/>
    <w:rsid w:val="0042175B"/>
    <w:rsid w:val="00421830"/>
    <w:rsid w:val="004219D5"/>
    <w:rsid w:val="00421A02"/>
    <w:rsid w:val="00421A0E"/>
    <w:rsid w:val="00421A99"/>
    <w:rsid w:val="00421B4F"/>
    <w:rsid w:val="00421DA2"/>
    <w:rsid w:val="00421E2F"/>
    <w:rsid w:val="00421E5A"/>
    <w:rsid w:val="00421E5D"/>
    <w:rsid w:val="00421EAC"/>
    <w:rsid w:val="00421EFB"/>
    <w:rsid w:val="00421FB4"/>
    <w:rsid w:val="0042205A"/>
    <w:rsid w:val="00422081"/>
    <w:rsid w:val="00422093"/>
    <w:rsid w:val="00422146"/>
    <w:rsid w:val="0042215C"/>
    <w:rsid w:val="00422171"/>
    <w:rsid w:val="00422245"/>
    <w:rsid w:val="00422284"/>
    <w:rsid w:val="0042233D"/>
    <w:rsid w:val="00422488"/>
    <w:rsid w:val="0042248F"/>
    <w:rsid w:val="0042252D"/>
    <w:rsid w:val="00422552"/>
    <w:rsid w:val="0042263D"/>
    <w:rsid w:val="0042264E"/>
    <w:rsid w:val="0042265B"/>
    <w:rsid w:val="00422723"/>
    <w:rsid w:val="00422725"/>
    <w:rsid w:val="0042273D"/>
    <w:rsid w:val="0042274E"/>
    <w:rsid w:val="004227C9"/>
    <w:rsid w:val="0042285F"/>
    <w:rsid w:val="00422895"/>
    <w:rsid w:val="004228D6"/>
    <w:rsid w:val="004228E4"/>
    <w:rsid w:val="0042292B"/>
    <w:rsid w:val="00422A77"/>
    <w:rsid w:val="00422AA1"/>
    <w:rsid w:val="00422B1C"/>
    <w:rsid w:val="00422B55"/>
    <w:rsid w:val="00422CD9"/>
    <w:rsid w:val="00422D9C"/>
    <w:rsid w:val="00422DA6"/>
    <w:rsid w:val="00422F27"/>
    <w:rsid w:val="00422FF6"/>
    <w:rsid w:val="0042306C"/>
    <w:rsid w:val="004230BF"/>
    <w:rsid w:val="0042311A"/>
    <w:rsid w:val="004231E8"/>
    <w:rsid w:val="00423289"/>
    <w:rsid w:val="00423348"/>
    <w:rsid w:val="00423393"/>
    <w:rsid w:val="0042339E"/>
    <w:rsid w:val="004233D7"/>
    <w:rsid w:val="0042346E"/>
    <w:rsid w:val="00423547"/>
    <w:rsid w:val="004235B2"/>
    <w:rsid w:val="0042361A"/>
    <w:rsid w:val="00423739"/>
    <w:rsid w:val="0042378B"/>
    <w:rsid w:val="00423873"/>
    <w:rsid w:val="0042388E"/>
    <w:rsid w:val="0042392D"/>
    <w:rsid w:val="004239F8"/>
    <w:rsid w:val="004239FB"/>
    <w:rsid w:val="00423ABD"/>
    <w:rsid w:val="00423B10"/>
    <w:rsid w:val="00423BBC"/>
    <w:rsid w:val="00423C6E"/>
    <w:rsid w:val="00423CB3"/>
    <w:rsid w:val="00423D6D"/>
    <w:rsid w:val="00423DCE"/>
    <w:rsid w:val="00423DF7"/>
    <w:rsid w:val="00423E27"/>
    <w:rsid w:val="00423EBD"/>
    <w:rsid w:val="00423EE9"/>
    <w:rsid w:val="00423F06"/>
    <w:rsid w:val="00423F71"/>
    <w:rsid w:val="004240AB"/>
    <w:rsid w:val="004240AF"/>
    <w:rsid w:val="004240C3"/>
    <w:rsid w:val="004240FB"/>
    <w:rsid w:val="0042413A"/>
    <w:rsid w:val="00424176"/>
    <w:rsid w:val="00424177"/>
    <w:rsid w:val="00424210"/>
    <w:rsid w:val="00424240"/>
    <w:rsid w:val="00424251"/>
    <w:rsid w:val="00424300"/>
    <w:rsid w:val="0042442F"/>
    <w:rsid w:val="00424480"/>
    <w:rsid w:val="004244D5"/>
    <w:rsid w:val="004244EE"/>
    <w:rsid w:val="0042450D"/>
    <w:rsid w:val="00424583"/>
    <w:rsid w:val="00424586"/>
    <w:rsid w:val="004245EA"/>
    <w:rsid w:val="0042465C"/>
    <w:rsid w:val="004246BA"/>
    <w:rsid w:val="004246CB"/>
    <w:rsid w:val="0042473A"/>
    <w:rsid w:val="00424795"/>
    <w:rsid w:val="004248B0"/>
    <w:rsid w:val="0042493A"/>
    <w:rsid w:val="00424943"/>
    <w:rsid w:val="00424992"/>
    <w:rsid w:val="0042499B"/>
    <w:rsid w:val="00424A65"/>
    <w:rsid w:val="00424AEE"/>
    <w:rsid w:val="00424BB9"/>
    <w:rsid w:val="00424CDD"/>
    <w:rsid w:val="00424CE0"/>
    <w:rsid w:val="00424D2A"/>
    <w:rsid w:val="00424D56"/>
    <w:rsid w:val="00424EB3"/>
    <w:rsid w:val="00424EEF"/>
    <w:rsid w:val="00425051"/>
    <w:rsid w:val="0042506A"/>
    <w:rsid w:val="00425092"/>
    <w:rsid w:val="0042509B"/>
    <w:rsid w:val="004250BA"/>
    <w:rsid w:val="004250BF"/>
    <w:rsid w:val="00425106"/>
    <w:rsid w:val="004251F3"/>
    <w:rsid w:val="00425203"/>
    <w:rsid w:val="0042523C"/>
    <w:rsid w:val="00425282"/>
    <w:rsid w:val="004252D9"/>
    <w:rsid w:val="0042530B"/>
    <w:rsid w:val="0042541C"/>
    <w:rsid w:val="00425465"/>
    <w:rsid w:val="00425475"/>
    <w:rsid w:val="00425493"/>
    <w:rsid w:val="004255EB"/>
    <w:rsid w:val="00425612"/>
    <w:rsid w:val="00425696"/>
    <w:rsid w:val="004257F4"/>
    <w:rsid w:val="0042582A"/>
    <w:rsid w:val="004259BE"/>
    <w:rsid w:val="00425A3D"/>
    <w:rsid w:val="00425B8F"/>
    <w:rsid w:val="00425BF4"/>
    <w:rsid w:val="00425E49"/>
    <w:rsid w:val="00425E7F"/>
    <w:rsid w:val="00425EA2"/>
    <w:rsid w:val="00425EC8"/>
    <w:rsid w:val="00425EDF"/>
    <w:rsid w:val="00425EE6"/>
    <w:rsid w:val="00425EF7"/>
    <w:rsid w:val="00425FC2"/>
    <w:rsid w:val="0042603D"/>
    <w:rsid w:val="004260DA"/>
    <w:rsid w:val="004261C7"/>
    <w:rsid w:val="004261E0"/>
    <w:rsid w:val="0042622E"/>
    <w:rsid w:val="0042629B"/>
    <w:rsid w:val="004262C7"/>
    <w:rsid w:val="00426352"/>
    <w:rsid w:val="004263EF"/>
    <w:rsid w:val="00426457"/>
    <w:rsid w:val="004264DC"/>
    <w:rsid w:val="0042659D"/>
    <w:rsid w:val="0042659F"/>
    <w:rsid w:val="004265CA"/>
    <w:rsid w:val="00426652"/>
    <w:rsid w:val="0042679D"/>
    <w:rsid w:val="004267DA"/>
    <w:rsid w:val="00426877"/>
    <w:rsid w:val="00426999"/>
    <w:rsid w:val="00426A09"/>
    <w:rsid w:val="00426A26"/>
    <w:rsid w:val="00426CD5"/>
    <w:rsid w:val="00426D07"/>
    <w:rsid w:val="00426E30"/>
    <w:rsid w:val="00426F5D"/>
    <w:rsid w:val="00426FDE"/>
    <w:rsid w:val="004270B2"/>
    <w:rsid w:val="0042715E"/>
    <w:rsid w:val="0042717A"/>
    <w:rsid w:val="00427252"/>
    <w:rsid w:val="00427317"/>
    <w:rsid w:val="0042735D"/>
    <w:rsid w:val="004273A0"/>
    <w:rsid w:val="00427489"/>
    <w:rsid w:val="004274BE"/>
    <w:rsid w:val="00427529"/>
    <w:rsid w:val="004275D8"/>
    <w:rsid w:val="004275FE"/>
    <w:rsid w:val="0042760C"/>
    <w:rsid w:val="0042761F"/>
    <w:rsid w:val="00427671"/>
    <w:rsid w:val="0042769C"/>
    <w:rsid w:val="0042773A"/>
    <w:rsid w:val="00427839"/>
    <w:rsid w:val="004278E9"/>
    <w:rsid w:val="00427B11"/>
    <w:rsid w:val="00427DED"/>
    <w:rsid w:val="00427E7E"/>
    <w:rsid w:val="00427F37"/>
    <w:rsid w:val="00427F76"/>
    <w:rsid w:val="00430116"/>
    <w:rsid w:val="00430121"/>
    <w:rsid w:val="00430178"/>
    <w:rsid w:val="00430185"/>
    <w:rsid w:val="0043024B"/>
    <w:rsid w:val="0043028F"/>
    <w:rsid w:val="0043029A"/>
    <w:rsid w:val="00430377"/>
    <w:rsid w:val="004303D7"/>
    <w:rsid w:val="00430412"/>
    <w:rsid w:val="00430459"/>
    <w:rsid w:val="00430472"/>
    <w:rsid w:val="0043052A"/>
    <w:rsid w:val="00430569"/>
    <w:rsid w:val="0043058D"/>
    <w:rsid w:val="004305DD"/>
    <w:rsid w:val="004305F3"/>
    <w:rsid w:val="004306FD"/>
    <w:rsid w:val="004307A0"/>
    <w:rsid w:val="004307E3"/>
    <w:rsid w:val="0043080F"/>
    <w:rsid w:val="00430826"/>
    <w:rsid w:val="0043082B"/>
    <w:rsid w:val="00430901"/>
    <w:rsid w:val="00430975"/>
    <w:rsid w:val="004309BB"/>
    <w:rsid w:val="00430A54"/>
    <w:rsid w:val="00430A9D"/>
    <w:rsid w:val="00430AEB"/>
    <w:rsid w:val="00430B13"/>
    <w:rsid w:val="00430B1F"/>
    <w:rsid w:val="00430B7E"/>
    <w:rsid w:val="00430BE0"/>
    <w:rsid w:val="00430CC2"/>
    <w:rsid w:val="00430CEB"/>
    <w:rsid w:val="00430E49"/>
    <w:rsid w:val="00430E84"/>
    <w:rsid w:val="00430F40"/>
    <w:rsid w:val="00430FD3"/>
    <w:rsid w:val="00430FF9"/>
    <w:rsid w:val="00431085"/>
    <w:rsid w:val="004311A4"/>
    <w:rsid w:val="00431247"/>
    <w:rsid w:val="00431249"/>
    <w:rsid w:val="0043127E"/>
    <w:rsid w:val="004312C8"/>
    <w:rsid w:val="0043133A"/>
    <w:rsid w:val="00431455"/>
    <w:rsid w:val="0043145D"/>
    <w:rsid w:val="00431484"/>
    <w:rsid w:val="00431554"/>
    <w:rsid w:val="004315B9"/>
    <w:rsid w:val="00431614"/>
    <w:rsid w:val="004316B5"/>
    <w:rsid w:val="00431724"/>
    <w:rsid w:val="00431726"/>
    <w:rsid w:val="00431745"/>
    <w:rsid w:val="0043174E"/>
    <w:rsid w:val="0043183F"/>
    <w:rsid w:val="00431845"/>
    <w:rsid w:val="004318FF"/>
    <w:rsid w:val="00431981"/>
    <w:rsid w:val="004319AB"/>
    <w:rsid w:val="00431A4A"/>
    <w:rsid w:val="00431A67"/>
    <w:rsid w:val="00431ABE"/>
    <w:rsid w:val="00431B3B"/>
    <w:rsid w:val="00431B3C"/>
    <w:rsid w:val="00431C21"/>
    <w:rsid w:val="00431C22"/>
    <w:rsid w:val="00431C90"/>
    <w:rsid w:val="00431C95"/>
    <w:rsid w:val="00431D0E"/>
    <w:rsid w:val="00431D4F"/>
    <w:rsid w:val="00431D7F"/>
    <w:rsid w:val="00431DCB"/>
    <w:rsid w:val="00431E16"/>
    <w:rsid w:val="00431E67"/>
    <w:rsid w:val="00431E89"/>
    <w:rsid w:val="00431E9C"/>
    <w:rsid w:val="00431F5F"/>
    <w:rsid w:val="00431F81"/>
    <w:rsid w:val="00432015"/>
    <w:rsid w:val="004320C4"/>
    <w:rsid w:val="004320D8"/>
    <w:rsid w:val="004320DB"/>
    <w:rsid w:val="004321BC"/>
    <w:rsid w:val="004321D9"/>
    <w:rsid w:val="0043225C"/>
    <w:rsid w:val="004322FA"/>
    <w:rsid w:val="00432410"/>
    <w:rsid w:val="00432617"/>
    <w:rsid w:val="004326F2"/>
    <w:rsid w:val="00432708"/>
    <w:rsid w:val="00432741"/>
    <w:rsid w:val="004327ED"/>
    <w:rsid w:val="0043280F"/>
    <w:rsid w:val="00432814"/>
    <w:rsid w:val="00432A94"/>
    <w:rsid w:val="00432B5B"/>
    <w:rsid w:val="00432C8A"/>
    <w:rsid w:val="00432D1C"/>
    <w:rsid w:val="00432D90"/>
    <w:rsid w:val="00432DCA"/>
    <w:rsid w:val="00432E01"/>
    <w:rsid w:val="00432E2B"/>
    <w:rsid w:val="00432E30"/>
    <w:rsid w:val="00432E99"/>
    <w:rsid w:val="00432EFB"/>
    <w:rsid w:val="00432F7C"/>
    <w:rsid w:val="00433145"/>
    <w:rsid w:val="00433194"/>
    <w:rsid w:val="004331AC"/>
    <w:rsid w:val="004331B3"/>
    <w:rsid w:val="004332A6"/>
    <w:rsid w:val="00433307"/>
    <w:rsid w:val="00433391"/>
    <w:rsid w:val="00433412"/>
    <w:rsid w:val="00433452"/>
    <w:rsid w:val="00433483"/>
    <w:rsid w:val="0043349D"/>
    <w:rsid w:val="004334C1"/>
    <w:rsid w:val="00433553"/>
    <w:rsid w:val="004335B5"/>
    <w:rsid w:val="004335E3"/>
    <w:rsid w:val="004336D7"/>
    <w:rsid w:val="00433783"/>
    <w:rsid w:val="004337A4"/>
    <w:rsid w:val="00433826"/>
    <w:rsid w:val="0043382D"/>
    <w:rsid w:val="004338E5"/>
    <w:rsid w:val="004339FE"/>
    <w:rsid w:val="00433A5E"/>
    <w:rsid w:val="00433AB8"/>
    <w:rsid w:val="00433AC0"/>
    <w:rsid w:val="00433B25"/>
    <w:rsid w:val="00433B64"/>
    <w:rsid w:val="00433BA4"/>
    <w:rsid w:val="00433BD3"/>
    <w:rsid w:val="00433C2A"/>
    <w:rsid w:val="00433C4F"/>
    <w:rsid w:val="00433C9D"/>
    <w:rsid w:val="00433D0C"/>
    <w:rsid w:val="00433D86"/>
    <w:rsid w:val="00433DD1"/>
    <w:rsid w:val="00433E71"/>
    <w:rsid w:val="00433FAE"/>
    <w:rsid w:val="00434019"/>
    <w:rsid w:val="0043403B"/>
    <w:rsid w:val="004340FE"/>
    <w:rsid w:val="004341E5"/>
    <w:rsid w:val="004342F0"/>
    <w:rsid w:val="004343BD"/>
    <w:rsid w:val="00434412"/>
    <w:rsid w:val="00434498"/>
    <w:rsid w:val="004345C3"/>
    <w:rsid w:val="004345C9"/>
    <w:rsid w:val="0043462E"/>
    <w:rsid w:val="0043465D"/>
    <w:rsid w:val="0043465F"/>
    <w:rsid w:val="0043468B"/>
    <w:rsid w:val="004346BB"/>
    <w:rsid w:val="004346BF"/>
    <w:rsid w:val="004346D1"/>
    <w:rsid w:val="0043471D"/>
    <w:rsid w:val="00434768"/>
    <w:rsid w:val="0043477F"/>
    <w:rsid w:val="00434783"/>
    <w:rsid w:val="004347F7"/>
    <w:rsid w:val="00434815"/>
    <w:rsid w:val="0043483B"/>
    <w:rsid w:val="00434858"/>
    <w:rsid w:val="004348B4"/>
    <w:rsid w:val="00434908"/>
    <w:rsid w:val="00434957"/>
    <w:rsid w:val="00434973"/>
    <w:rsid w:val="00434981"/>
    <w:rsid w:val="00434A20"/>
    <w:rsid w:val="00434A36"/>
    <w:rsid w:val="00434A67"/>
    <w:rsid w:val="00434A8C"/>
    <w:rsid w:val="00434AC7"/>
    <w:rsid w:val="00434AEA"/>
    <w:rsid w:val="00434C76"/>
    <w:rsid w:val="00434CD2"/>
    <w:rsid w:val="00434D06"/>
    <w:rsid w:val="00434D6B"/>
    <w:rsid w:val="00434E2A"/>
    <w:rsid w:val="00434F3D"/>
    <w:rsid w:val="00434F5F"/>
    <w:rsid w:val="00434FE9"/>
    <w:rsid w:val="00435205"/>
    <w:rsid w:val="00435360"/>
    <w:rsid w:val="004353BB"/>
    <w:rsid w:val="004353C8"/>
    <w:rsid w:val="00435400"/>
    <w:rsid w:val="0043542C"/>
    <w:rsid w:val="00435475"/>
    <w:rsid w:val="00435551"/>
    <w:rsid w:val="0043567A"/>
    <w:rsid w:val="00435721"/>
    <w:rsid w:val="0043574A"/>
    <w:rsid w:val="00435764"/>
    <w:rsid w:val="00435802"/>
    <w:rsid w:val="00435822"/>
    <w:rsid w:val="00435880"/>
    <w:rsid w:val="00435885"/>
    <w:rsid w:val="0043591D"/>
    <w:rsid w:val="004359AA"/>
    <w:rsid w:val="00435A30"/>
    <w:rsid w:val="00435B9C"/>
    <w:rsid w:val="00435BBC"/>
    <w:rsid w:val="00435BD2"/>
    <w:rsid w:val="00435C14"/>
    <w:rsid w:val="00435C2F"/>
    <w:rsid w:val="00435C5A"/>
    <w:rsid w:val="00435CEA"/>
    <w:rsid w:val="00435D61"/>
    <w:rsid w:val="00435DE6"/>
    <w:rsid w:val="00435DE8"/>
    <w:rsid w:val="00435EB1"/>
    <w:rsid w:val="00435ECF"/>
    <w:rsid w:val="00435F3F"/>
    <w:rsid w:val="00435F4C"/>
    <w:rsid w:val="0043601C"/>
    <w:rsid w:val="00436114"/>
    <w:rsid w:val="00436151"/>
    <w:rsid w:val="00436236"/>
    <w:rsid w:val="0043623C"/>
    <w:rsid w:val="004362A8"/>
    <w:rsid w:val="004363B3"/>
    <w:rsid w:val="004363FD"/>
    <w:rsid w:val="00436429"/>
    <w:rsid w:val="00436576"/>
    <w:rsid w:val="00436579"/>
    <w:rsid w:val="00436629"/>
    <w:rsid w:val="004366B9"/>
    <w:rsid w:val="004366CE"/>
    <w:rsid w:val="0043670B"/>
    <w:rsid w:val="00436779"/>
    <w:rsid w:val="0043682B"/>
    <w:rsid w:val="00436834"/>
    <w:rsid w:val="00436A1B"/>
    <w:rsid w:val="00436AAE"/>
    <w:rsid w:val="00436B01"/>
    <w:rsid w:val="00436B83"/>
    <w:rsid w:val="00436BA7"/>
    <w:rsid w:val="00436BCC"/>
    <w:rsid w:val="00436C79"/>
    <w:rsid w:val="00436CE1"/>
    <w:rsid w:val="00436D84"/>
    <w:rsid w:val="00436D85"/>
    <w:rsid w:val="00436DB1"/>
    <w:rsid w:val="00436DFE"/>
    <w:rsid w:val="00436E2A"/>
    <w:rsid w:val="004370DA"/>
    <w:rsid w:val="004370E1"/>
    <w:rsid w:val="00437194"/>
    <w:rsid w:val="0043729E"/>
    <w:rsid w:val="004372D4"/>
    <w:rsid w:val="0043730B"/>
    <w:rsid w:val="0043745F"/>
    <w:rsid w:val="004374D6"/>
    <w:rsid w:val="0043751C"/>
    <w:rsid w:val="004375B5"/>
    <w:rsid w:val="0043760D"/>
    <w:rsid w:val="0043761A"/>
    <w:rsid w:val="00437677"/>
    <w:rsid w:val="004376CE"/>
    <w:rsid w:val="004376CF"/>
    <w:rsid w:val="004376DA"/>
    <w:rsid w:val="00437710"/>
    <w:rsid w:val="0043776F"/>
    <w:rsid w:val="004378D9"/>
    <w:rsid w:val="0043794E"/>
    <w:rsid w:val="004379E9"/>
    <w:rsid w:val="00437A02"/>
    <w:rsid w:val="00437A3E"/>
    <w:rsid w:val="00437AB8"/>
    <w:rsid w:val="00437AF5"/>
    <w:rsid w:val="00437BB1"/>
    <w:rsid w:val="00437BBE"/>
    <w:rsid w:val="00437BF5"/>
    <w:rsid w:val="00437C25"/>
    <w:rsid w:val="00437D8F"/>
    <w:rsid w:val="00437DCF"/>
    <w:rsid w:val="00440067"/>
    <w:rsid w:val="004400A5"/>
    <w:rsid w:val="004400F1"/>
    <w:rsid w:val="00440121"/>
    <w:rsid w:val="004401B0"/>
    <w:rsid w:val="0044036F"/>
    <w:rsid w:val="0044038F"/>
    <w:rsid w:val="004403CC"/>
    <w:rsid w:val="004403F1"/>
    <w:rsid w:val="00440458"/>
    <w:rsid w:val="004404D4"/>
    <w:rsid w:val="004404EE"/>
    <w:rsid w:val="0044053A"/>
    <w:rsid w:val="004405B0"/>
    <w:rsid w:val="004406A7"/>
    <w:rsid w:val="004406DA"/>
    <w:rsid w:val="0044075C"/>
    <w:rsid w:val="00440773"/>
    <w:rsid w:val="004407FB"/>
    <w:rsid w:val="00440877"/>
    <w:rsid w:val="0044097F"/>
    <w:rsid w:val="004409CA"/>
    <w:rsid w:val="004409F9"/>
    <w:rsid w:val="00440A83"/>
    <w:rsid w:val="00440B0B"/>
    <w:rsid w:val="00440B2F"/>
    <w:rsid w:val="00440B55"/>
    <w:rsid w:val="00440BEE"/>
    <w:rsid w:val="00440C4C"/>
    <w:rsid w:val="00440C7A"/>
    <w:rsid w:val="00440C88"/>
    <w:rsid w:val="00440C8C"/>
    <w:rsid w:val="00440CCE"/>
    <w:rsid w:val="00440CD4"/>
    <w:rsid w:val="00440D93"/>
    <w:rsid w:val="00440FBA"/>
    <w:rsid w:val="00440FF8"/>
    <w:rsid w:val="004411BC"/>
    <w:rsid w:val="004411C6"/>
    <w:rsid w:val="004411FA"/>
    <w:rsid w:val="0044120A"/>
    <w:rsid w:val="00441258"/>
    <w:rsid w:val="00441284"/>
    <w:rsid w:val="00441299"/>
    <w:rsid w:val="004412F0"/>
    <w:rsid w:val="00441334"/>
    <w:rsid w:val="0044138B"/>
    <w:rsid w:val="004414E1"/>
    <w:rsid w:val="00441526"/>
    <w:rsid w:val="00441590"/>
    <w:rsid w:val="00441642"/>
    <w:rsid w:val="00441670"/>
    <w:rsid w:val="00441682"/>
    <w:rsid w:val="004416A8"/>
    <w:rsid w:val="0044178F"/>
    <w:rsid w:val="0044184B"/>
    <w:rsid w:val="0044193D"/>
    <w:rsid w:val="00441A4C"/>
    <w:rsid w:val="00441AFA"/>
    <w:rsid w:val="00441B0E"/>
    <w:rsid w:val="00441B4F"/>
    <w:rsid w:val="00441BC8"/>
    <w:rsid w:val="00441C1C"/>
    <w:rsid w:val="00441CDB"/>
    <w:rsid w:val="00441D67"/>
    <w:rsid w:val="00441EE9"/>
    <w:rsid w:val="00441FB8"/>
    <w:rsid w:val="00442026"/>
    <w:rsid w:val="004421ED"/>
    <w:rsid w:val="00442262"/>
    <w:rsid w:val="0044230D"/>
    <w:rsid w:val="00442387"/>
    <w:rsid w:val="004423CD"/>
    <w:rsid w:val="004423ED"/>
    <w:rsid w:val="0044242C"/>
    <w:rsid w:val="00442447"/>
    <w:rsid w:val="0044249D"/>
    <w:rsid w:val="004424A2"/>
    <w:rsid w:val="004424D3"/>
    <w:rsid w:val="004424E7"/>
    <w:rsid w:val="0044254D"/>
    <w:rsid w:val="004425F6"/>
    <w:rsid w:val="00442601"/>
    <w:rsid w:val="0044262E"/>
    <w:rsid w:val="004426A4"/>
    <w:rsid w:val="004426CA"/>
    <w:rsid w:val="004426EC"/>
    <w:rsid w:val="0044272E"/>
    <w:rsid w:val="004427E3"/>
    <w:rsid w:val="00442892"/>
    <w:rsid w:val="004428E6"/>
    <w:rsid w:val="0044294C"/>
    <w:rsid w:val="00442974"/>
    <w:rsid w:val="00442A6E"/>
    <w:rsid w:val="00442AC1"/>
    <w:rsid w:val="00442B6B"/>
    <w:rsid w:val="00442C7E"/>
    <w:rsid w:val="00442CB4"/>
    <w:rsid w:val="00442D3D"/>
    <w:rsid w:val="00442D5C"/>
    <w:rsid w:val="00442DCD"/>
    <w:rsid w:val="00442E3A"/>
    <w:rsid w:val="00442EDD"/>
    <w:rsid w:val="00442F46"/>
    <w:rsid w:val="00442FAB"/>
    <w:rsid w:val="00442FDB"/>
    <w:rsid w:val="0044305B"/>
    <w:rsid w:val="004430A5"/>
    <w:rsid w:val="004432B5"/>
    <w:rsid w:val="00443416"/>
    <w:rsid w:val="0044351D"/>
    <w:rsid w:val="0044354F"/>
    <w:rsid w:val="00443583"/>
    <w:rsid w:val="00443607"/>
    <w:rsid w:val="00443615"/>
    <w:rsid w:val="0044361F"/>
    <w:rsid w:val="00443684"/>
    <w:rsid w:val="004436C5"/>
    <w:rsid w:val="00443771"/>
    <w:rsid w:val="00443774"/>
    <w:rsid w:val="004437BF"/>
    <w:rsid w:val="00443847"/>
    <w:rsid w:val="0044385B"/>
    <w:rsid w:val="00443A12"/>
    <w:rsid w:val="00443A50"/>
    <w:rsid w:val="00443AB3"/>
    <w:rsid w:val="00443AC3"/>
    <w:rsid w:val="00443AE8"/>
    <w:rsid w:val="00443B22"/>
    <w:rsid w:val="00443B39"/>
    <w:rsid w:val="00443BCD"/>
    <w:rsid w:val="00443C49"/>
    <w:rsid w:val="00443C95"/>
    <w:rsid w:val="00443D9F"/>
    <w:rsid w:val="00443DA3"/>
    <w:rsid w:val="00443E33"/>
    <w:rsid w:val="00443E50"/>
    <w:rsid w:val="00443EB7"/>
    <w:rsid w:val="00443EDE"/>
    <w:rsid w:val="00443EFE"/>
    <w:rsid w:val="00443F0D"/>
    <w:rsid w:val="00443F92"/>
    <w:rsid w:val="00443F95"/>
    <w:rsid w:val="00443FBD"/>
    <w:rsid w:val="004440C8"/>
    <w:rsid w:val="004441D7"/>
    <w:rsid w:val="0044420C"/>
    <w:rsid w:val="004442A0"/>
    <w:rsid w:val="004442AC"/>
    <w:rsid w:val="004442F1"/>
    <w:rsid w:val="004443B7"/>
    <w:rsid w:val="0044441B"/>
    <w:rsid w:val="0044452E"/>
    <w:rsid w:val="004445C1"/>
    <w:rsid w:val="004445E0"/>
    <w:rsid w:val="00444600"/>
    <w:rsid w:val="00444603"/>
    <w:rsid w:val="004446EB"/>
    <w:rsid w:val="00444762"/>
    <w:rsid w:val="0044478B"/>
    <w:rsid w:val="004447AA"/>
    <w:rsid w:val="0044480C"/>
    <w:rsid w:val="004448CE"/>
    <w:rsid w:val="004448DE"/>
    <w:rsid w:val="0044491B"/>
    <w:rsid w:val="0044498E"/>
    <w:rsid w:val="004449FA"/>
    <w:rsid w:val="00444A12"/>
    <w:rsid w:val="00444A52"/>
    <w:rsid w:val="00444AB6"/>
    <w:rsid w:val="00444B58"/>
    <w:rsid w:val="00444B8D"/>
    <w:rsid w:val="00444B9F"/>
    <w:rsid w:val="00444BA9"/>
    <w:rsid w:val="00444BF4"/>
    <w:rsid w:val="00444C96"/>
    <w:rsid w:val="00444D13"/>
    <w:rsid w:val="00444DB1"/>
    <w:rsid w:val="00444E32"/>
    <w:rsid w:val="00444EA5"/>
    <w:rsid w:val="00444ECE"/>
    <w:rsid w:val="00444EEC"/>
    <w:rsid w:val="00444F11"/>
    <w:rsid w:val="00444F18"/>
    <w:rsid w:val="00444FC1"/>
    <w:rsid w:val="00445030"/>
    <w:rsid w:val="00445046"/>
    <w:rsid w:val="0044509F"/>
    <w:rsid w:val="004450F3"/>
    <w:rsid w:val="0044538F"/>
    <w:rsid w:val="004453D6"/>
    <w:rsid w:val="00445421"/>
    <w:rsid w:val="0044547B"/>
    <w:rsid w:val="004455AC"/>
    <w:rsid w:val="004455B0"/>
    <w:rsid w:val="004455B3"/>
    <w:rsid w:val="00445608"/>
    <w:rsid w:val="004456B4"/>
    <w:rsid w:val="004456C9"/>
    <w:rsid w:val="0044570E"/>
    <w:rsid w:val="00445755"/>
    <w:rsid w:val="00445808"/>
    <w:rsid w:val="004458DA"/>
    <w:rsid w:val="0044596C"/>
    <w:rsid w:val="004459F5"/>
    <w:rsid w:val="00445AC7"/>
    <w:rsid w:val="00445C44"/>
    <w:rsid w:val="00445CAB"/>
    <w:rsid w:val="00445CBF"/>
    <w:rsid w:val="00445CC0"/>
    <w:rsid w:val="00445D54"/>
    <w:rsid w:val="00445DC2"/>
    <w:rsid w:val="00445EA3"/>
    <w:rsid w:val="00445F44"/>
    <w:rsid w:val="00445FD1"/>
    <w:rsid w:val="00446042"/>
    <w:rsid w:val="00446051"/>
    <w:rsid w:val="00446108"/>
    <w:rsid w:val="00446166"/>
    <w:rsid w:val="00446184"/>
    <w:rsid w:val="0044618F"/>
    <w:rsid w:val="00446199"/>
    <w:rsid w:val="004461F8"/>
    <w:rsid w:val="00446295"/>
    <w:rsid w:val="0044632A"/>
    <w:rsid w:val="0044638A"/>
    <w:rsid w:val="00446447"/>
    <w:rsid w:val="004464BB"/>
    <w:rsid w:val="0044655F"/>
    <w:rsid w:val="0044659B"/>
    <w:rsid w:val="004465CF"/>
    <w:rsid w:val="00446608"/>
    <w:rsid w:val="0044661B"/>
    <w:rsid w:val="00446642"/>
    <w:rsid w:val="004467AB"/>
    <w:rsid w:val="00446830"/>
    <w:rsid w:val="00446981"/>
    <w:rsid w:val="004469F8"/>
    <w:rsid w:val="00446A0F"/>
    <w:rsid w:val="00446A58"/>
    <w:rsid w:val="00446C79"/>
    <w:rsid w:val="00446CBB"/>
    <w:rsid w:val="00446CDE"/>
    <w:rsid w:val="00446D4F"/>
    <w:rsid w:val="00446D9F"/>
    <w:rsid w:val="00446DE5"/>
    <w:rsid w:val="00446DFC"/>
    <w:rsid w:val="00446E01"/>
    <w:rsid w:val="00446E52"/>
    <w:rsid w:val="00446E8B"/>
    <w:rsid w:val="00446EA4"/>
    <w:rsid w:val="00446EC6"/>
    <w:rsid w:val="00446ECF"/>
    <w:rsid w:val="004470F7"/>
    <w:rsid w:val="00447109"/>
    <w:rsid w:val="004471A1"/>
    <w:rsid w:val="004471BD"/>
    <w:rsid w:val="004471D5"/>
    <w:rsid w:val="00447220"/>
    <w:rsid w:val="0044722B"/>
    <w:rsid w:val="0044740C"/>
    <w:rsid w:val="0044742B"/>
    <w:rsid w:val="00447442"/>
    <w:rsid w:val="00447444"/>
    <w:rsid w:val="0044749C"/>
    <w:rsid w:val="004474C0"/>
    <w:rsid w:val="004475A3"/>
    <w:rsid w:val="004475AE"/>
    <w:rsid w:val="0044760B"/>
    <w:rsid w:val="00447691"/>
    <w:rsid w:val="0044772D"/>
    <w:rsid w:val="0044775F"/>
    <w:rsid w:val="00447790"/>
    <w:rsid w:val="0044780B"/>
    <w:rsid w:val="004478BE"/>
    <w:rsid w:val="0044790D"/>
    <w:rsid w:val="004479D4"/>
    <w:rsid w:val="00447A1B"/>
    <w:rsid w:val="00447A33"/>
    <w:rsid w:val="00447A4A"/>
    <w:rsid w:val="00447A98"/>
    <w:rsid w:val="00447B9D"/>
    <w:rsid w:val="00447C0B"/>
    <w:rsid w:val="00447C19"/>
    <w:rsid w:val="00447C5F"/>
    <w:rsid w:val="00447CB9"/>
    <w:rsid w:val="00447CD1"/>
    <w:rsid w:val="00447D00"/>
    <w:rsid w:val="00447E47"/>
    <w:rsid w:val="00447E53"/>
    <w:rsid w:val="00447E6F"/>
    <w:rsid w:val="00447EEC"/>
    <w:rsid w:val="00447FE4"/>
    <w:rsid w:val="00450015"/>
    <w:rsid w:val="0045017B"/>
    <w:rsid w:val="0045019A"/>
    <w:rsid w:val="004501E1"/>
    <w:rsid w:val="004502F5"/>
    <w:rsid w:val="0045031D"/>
    <w:rsid w:val="004503B8"/>
    <w:rsid w:val="00450404"/>
    <w:rsid w:val="004504AA"/>
    <w:rsid w:val="004504C2"/>
    <w:rsid w:val="004504C3"/>
    <w:rsid w:val="004504CB"/>
    <w:rsid w:val="0045051F"/>
    <w:rsid w:val="004505BD"/>
    <w:rsid w:val="00450624"/>
    <w:rsid w:val="004506C5"/>
    <w:rsid w:val="004507AB"/>
    <w:rsid w:val="004507BE"/>
    <w:rsid w:val="0045084B"/>
    <w:rsid w:val="004508A8"/>
    <w:rsid w:val="004508CD"/>
    <w:rsid w:val="0045096A"/>
    <w:rsid w:val="004509A8"/>
    <w:rsid w:val="00450AE4"/>
    <w:rsid w:val="00450B50"/>
    <w:rsid w:val="00450B71"/>
    <w:rsid w:val="00450BE6"/>
    <w:rsid w:val="00450C6E"/>
    <w:rsid w:val="00450CAB"/>
    <w:rsid w:val="00450EA2"/>
    <w:rsid w:val="00450EFB"/>
    <w:rsid w:val="00450F8B"/>
    <w:rsid w:val="00450FD8"/>
    <w:rsid w:val="00451017"/>
    <w:rsid w:val="00451042"/>
    <w:rsid w:val="004511CC"/>
    <w:rsid w:val="0045127C"/>
    <w:rsid w:val="004512EC"/>
    <w:rsid w:val="00451337"/>
    <w:rsid w:val="0045134B"/>
    <w:rsid w:val="00451385"/>
    <w:rsid w:val="004513BF"/>
    <w:rsid w:val="0045142E"/>
    <w:rsid w:val="00451460"/>
    <w:rsid w:val="0045147E"/>
    <w:rsid w:val="00451489"/>
    <w:rsid w:val="0045159A"/>
    <w:rsid w:val="0045163B"/>
    <w:rsid w:val="004516D8"/>
    <w:rsid w:val="004516DA"/>
    <w:rsid w:val="004518AF"/>
    <w:rsid w:val="00451907"/>
    <w:rsid w:val="00451A0C"/>
    <w:rsid w:val="00451A19"/>
    <w:rsid w:val="00451B2B"/>
    <w:rsid w:val="00451B6E"/>
    <w:rsid w:val="00451C2A"/>
    <w:rsid w:val="00451CBC"/>
    <w:rsid w:val="00451D00"/>
    <w:rsid w:val="00451D01"/>
    <w:rsid w:val="00451EC7"/>
    <w:rsid w:val="0045201C"/>
    <w:rsid w:val="00452022"/>
    <w:rsid w:val="00452238"/>
    <w:rsid w:val="004522B4"/>
    <w:rsid w:val="004523F5"/>
    <w:rsid w:val="00452440"/>
    <w:rsid w:val="00452447"/>
    <w:rsid w:val="004524E9"/>
    <w:rsid w:val="00452508"/>
    <w:rsid w:val="0045268E"/>
    <w:rsid w:val="004526AB"/>
    <w:rsid w:val="004527DE"/>
    <w:rsid w:val="0045280F"/>
    <w:rsid w:val="004528A0"/>
    <w:rsid w:val="004528A2"/>
    <w:rsid w:val="004528E6"/>
    <w:rsid w:val="0045294C"/>
    <w:rsid w:val="00452A5F"/>
    <w:rsid w:val="00452AB5"/>
    <w:rsid w:val="00452B1D"/>
    <w:rsid w:val="00452D49"/>
    <w:rsid w:val="00452E10"/>
    <w:rsid w:val="00452E34"/>
    <w:rsid w:val="00452E4D"/>
    <w:rsid w:val="00452EC7"/>
    <w:rsid w:val="00452F61"/>
    <w:rsid w:val="00452FD7"/>
    <w:rsid w:val="00452FEB"/>
    <w:rsid w:val="0045305E"/>
    <w:rsid w:val="00453083"/>
    <w:rsid w:val="0045315A"/>
    <w:rsid w:val="004531A9"/>
    <w:rsid w:val="004531BC"/>
    <w:rsid w:val="00453203"/>
    <w:rsid w:val="004532A8"/>
    <w:rsid w:val="00453318"/>
    <w:rsid w:val="00453332"/>
    <w:rsid w:val="00453384"/>
    <w:rsid w:val="004533C5"/>
    <w:rsid w:val="004535A7"/>
    <w:rsid w:val="00453639"/>
    <w:rsid w:val="00453648"/>
    <w:rsid w:val="00453696"/>
    <w:rsid w:val="004536BB"/>
    <w:rsid w:val="004536D6"/>
    <w:rsid w:val="004536FF"/>
    <w:rsid w:val="00453771"/>
    <w:rsid w:val="004538DA"/>
    <w:rsid w:val="004539B5"/>
    <w:rsid w:val="00453A7C"/>
    <w:rsid w:val="00453ADE"/>
    <w:rsid w:val="00453AFC"/>
    <w:rsid w:val="00453B63"/>
    <w:rsid w:val="00453B89"/>
    <w:rsid w:val="00453C20"/>
    <w:rsid w:val="00453C3B"/>
    <w:rsid w:val="00453C5F"/>
    <w:rsid w:val="00453DE7"/>
    <w:rsid w:val="00453E64"/>
    <w:rsid w:val="00453EC4"/>
    <w:rsid w:val="00453EDE"/>
    <w:rsid w:val="00453EF0"/>
    <w:rsid w:val="0045403A"/>
    <w:rsid w:val="00454100"/>
    <w:rsid w:val="00454112"/>
    <w:rsid w:val="00454274"/>
    <w:rsid w:val="004542BF"/>
    <w:rsid w:val="004542CB"/>
    <w:rsid w:val="00454327"/>
    <w:rsid w:val="00454383"/>
    <w:rsid w:val="0045440C"/>
    <w:rsid w:val="0045445A"/>
    <w:rsid w:val="00454522"/>
    <w:rsid w:val="0045471E"/>
    <w:rsid w:val="0045477A"/>
    <w:rsid w:val="0045478A"/>
    <w:rsid w:val="004547D0"/>
    <w:rsid w:val="0045491B"/>
    <w:rsid w:val="0045492A"/>
    <w:rsid w:val="00454956"/>
    <w:rsid w:val="00454A66"/>
    <w:rsid w:val="00454AB2"/>
    <w:rsid w:val="00454AB8"/>
    <w:rsid w:val="00454B81"/>
    <w:rsid w:val="00454C8F"/>
    <w:rsid w:val="00454CF0"/>
    <w:rsid w:val="00454D76"/>
    <w:rsid w:val="00454D78"/>
    <w:rsid w:val="00454E89"/>
    <w:rsid w:val="00454FE1"/>
    <w:rsid w:val="0045503C"/>
    <w:rsid w:val="00455045"/>
    <w:rsid w:val="004550C2"/>
    <w:rsid w:val="004550D8"/>
    <w:rsid w:val="004550FE"/>
    <w:rsid w:val="00455181"/>
    <w:rsid w:val="0045519A"/>
    <w:rsid w:val="00455237"/>
    <w:rsid w:val="00455254"/>
    <w:rsid w:val="00455265"/>
    <w:rsid w:val="0045526B"/>
    <w:rsid w:val="004553D3"/>
    <w:rsid w:val="004554A6"/>
    <w:rsid w:val="004554D5"/>
    <w:rsid w:val="0045555C"/>
    <w:rsid w:val="004555F7"/>
    <w:rsid w:val="0045561D"/>
    <w:rsid w:val="00455628"/>
    <w:rsid w:val="00455639"/>
    <w:rsid w:val="004556AA"/>
    <w:rsid w:val="004556AF"/>
    <w:rsid w:val="004556DF"/>
    <w:rsid w:val="004556FA"/>
    <w:rsid w:val="0045570E"/>
    <w:rsid w:val="004557AC"/>
    <w:rsid w:val="00455874"/>
    <w:rsid w:val="0045589E"/>
    <w:rsid w:val="004558EC"/>
    <w:rsid w:val="0045593F"/>
    <w:rsid w:val="00455941"/>
    <w:rsid w:val="00455962"/>
    <w:rsid w:val="0045597C"/>
    <w:rsid w:val="00455999"/>
    <w:rsid w:val="00455A7B"/>
    <w:rsid w:val="00455B33"/>
    <w:rsid w:val="00455BD0"/>
    <w:rsid w:val="00455DD8"/>
    <w:rsid w:val="00455EA9"/>
    <w:rsid w:val="00455F5E"/>
    <w:rsid w:val="00455FA5"/>
    <w:rsid w:val="00455FB4"/>
    <w:rsid w:val="0045600C"/>
    <w:rsid w:val="00456025"/>
    <w:rsid w:val="0045611A"/>
    <w:rsid w:val="00456145"/>
    <w:rsid w:val="00456151"/>
    <w:rsid w:val="00456160"/>
    <w:rsid w:val="0045622B"/>
    <w:rsid w:val="00456230"/>
    <w:rsid w:val="00456342"/>
    <w:rsid w:val="0045636B"/>
    <w:rsid w:val="004563F4"/>
    <w:rsid w:val="004563FD"/>
    <w:rsid w:val="00456446"/>
    <w:rsid w:val="004564A8"/>
    <w:rsid w:val="00456652"/>
    <w:rsid w:val="004566A1"/>
    <w:rsid w:val="004567C9"/>
    <w:rsid w:val="004568BD"/>
    <w:rsid w:val="004568E7"/>
    <w:rsid w:val="004568F8"/>
    <w:rsid w:val="00456A18"/>
    <w:rsid w:val="00456A78"/>
    <w:rsid w:val="00456A9A"/>
    <w:rsid w:val="00456B3B"/>
    <w:rsid w:val="00456BC4"/>
    <w:rsid w:val="00456BFC"/>
    <w:rsid w:val="00456C43"/>
    <w:rsid w:val="00456CAD"/>
    <w:rsid w:val="00456CC0"/>
    <w:rsid w:val="00456E1E"/>
    <w:rsid w:val="00456FA9"/>
    <w:rsid w:val="00457203"/>
    <w:rsid w:val="00457237"/>
    <w:rsid w:val="0045726D"/>
    <w:rsid w:val="004572A1"/>
    <w:rsid w:val="004572E3"/>
    <w:rsid w:val="00457395"/>
    <w:rsid w:val="004573EA"/>
    <w:rsid w:val="004573EF"/>
    <w:rsid w:val="004574B8"/>
    <w:rsid w:val="00457558"/>
    <w:rsid w:val="004575C5"/>
    <w:rsid w:val="0045765F"/>
    <w:rsid w:val="004576C2"/>
    <w:rsid w:val="004576D2"/>
    <w:rsid w:val="00457709"/>
    <w:rsid w:val="0045776A"/>
    <w:rsid w:val="00457778"/>
    <w:rsid w:val="004578BA"/>
    <w:rsid w:val="00457B37"/>
    <w:rsid w:val="00457B53"/>
    <w:rsid w:val="00457C00"/>
    <w:rsid w:val="00457C8E"/>
    <w:rsid w:val="00457CA5"/>
    <w:rsid w:val="00457CFA"/>
    <w:rsid w:val="00457EA2"/>
    <w:rsid w:val="0046004C"/>
    <w:rsid w:val="0046023B"/>
    <w:rsid w:val="0046024B"/>
    <w:rsid w:val="0046036F"/>
    <w:rsid w:val="00460382"/>
    <w:rsid w:val="004603FA"/>
    <w:rsid w:val="004604D7"/>
    <w:rsid w:val="004604EF"/>
    <w:rsid w:val="00460508"/>
    <w:rsid w:val="00460584"/>
    <w:rsid w:val="004605AE"/>
    <w:rsid w:val="004605B4"/>
    <w:rsid w:val="00460614"/>
    <w:rsid w:val="00460637"/>
    <w:rsid w:val="00460649"/>
    <w:rsid w:val="0046065D"/>
    <w:rsid w:val="004607DF"/>
    <w:rsid w:val="00460861"/>
    <w:rsid w:val="004608B0"/>
    <w:rsid w:val="004608B4"/>
    <w:rsid w:val="00460968"/>
    <w:rsid w:val="00460992"/>
    <w:rsid w:val="004609B2"/>
    <w:rsid w:val="004609B5"/>
    <w:rsid w:val="00460A64"/>
    <w:rsid w:val="00460B56"/>
    <w:rsid w:val="00460C31"/>
    <w:rsid w:val="00460D2E"/>
    <w:rsid w:val="00460E39"/>
    <w:rsid w:val="00460ED5"/>
    <w:rsid w:val="0046100A"/>
    <w:rsid w:val="0046105A"/>
    <w:rsid w:val="004610A8"/>
    <w:rsid w:val="00461108"/>
    <w:rsid w:val="00461119"/>
    <w:rsid w:val="0046117A"/>
    <w:rsid w:val="0046118C"/>
    <w:rsid w:val="0046120B"/>
    <w:rsid w:val="00461253"/>
    <w:rsid w:val="0046126F"/>
    <w:rsid w:val="00461302"/>
    <w:rsid w:val="0046145C"/>
    <w:rsid w:val="004614B6"/>
    <w:rsid w:val="004614FF"/>
    <w:rsid w:val="00461509"/>
    <w:rsid w:val="00461579"/>
    <w:rsid w:val="00461614"/>
    <w:rsid w:val="0046169D"/>
    <w:rsid w:val="004616C0"/>
    <w:rsid w:val="004616C3"/>
    <w:rsid w:val="00461784"/>
    <w:rsid w:val="0046186B"/>
    <w:rsid w:val="004618DE"/>
    <w:rsid w:val="004619C4"/>
    <w:rsid w:val="00461A96"/>
    <w:rsid w:val="00461B5B"/>
    <w:rsid w:val="00461BDD"/>
    <w:rsid w:val="00461C73"/>
    <w:rsid w:val="00461D08"/>
    <w:rsid w:val="00461D2A"/>
    <w:rsid w:val="00461DAD"/>
    <w:rsid w:val="00461E3B"/>
    <w:rsid w:val="00461E3F"/>
    <w:rsid w:val="00461E87"/>
    <w:rsid w:val="00461F0A"/>
    <w:rsid w:val="00461F26"/>
    <w:rsid w:val="00461F6B"/>
    <w:rsid w:val="00461FE3"/>
    <w:rsid w:val="004620DA"/>
    <w:rsid w:val="00462179"/>
    <w:rsid w:val="004622B9"/>
    <w:rsid w:val="00462322"/>
    <w:rsid w:val="00462331"/>
    <w:rsid w:val="0046234F"/>
    <w:rsid w:val="004623DC"/>
    <w:rsid w:val="004624BB"/>
    <w:rsid w:val="004626CC"/>
    <w:rsid w:val="0046277C"/>
    <w:rsid w:val="00462788"/>
    <w:rsid w:val="00462823"/>
    <w:rsid w:val="00462834"/>
    <w:rsid w:val="00462845"/>
    <w:rsid w:val="004629E2"/>
    <w:rsid w:val="004629EB"/>
    <w:rsid w:val="00462A66"/>
    <w:rsid w:val="00462A6D"/>
    <w:rsid w:val="00462AE6"/>
    <w:rsid w:val="00462B1D"/>
    <w:rsid w:val="00462BCD"/>
    <w:rsid w:val="00462C74"/>
    <w:rsid w:val="00462CF2"/>
    <w:rsid w:val="00462D3D"/>
    <w:rsid w:val="00462D40"/>
    <w:rsid w:val="00462EC6"/>
    <w:rsid w:val="00462F01"/>
    <w:rsid w:val="00462F6B"/>
    <w:rsid w:val="00462FA1"/>
    <w:rsid w:val="0046311F"/>
    <w:rsid w:val="00463174"/>
    <w:rsid w:val="004631BD"/>
    <w:rsid w:val="004631C7"/>
    <w:rsid w:val="0046325D"/>
    <w:rsid w:val="0046354F"/>
    <w:rsid w:val="004635E1"/>
    <w:rsid w:val="00463648"/>
    <w:rsid w:val="00463664"/>
    <w:rsid w:val="004636AA"/>
    <w:rsid w:val="004636E9"/>
    <w:rsid w:val="00463723"/>
    <w:rsid w:val="0046373A"/>
    <w:rsid w:val="004637C2"/>
    <w:rsid w:val="00463832"/>
    <w:rsid w:val="0046384E"/>
    <w:rsid w:val="0046387C"/>
    <w:rsid w:val="004639D9"/>
    <w:rsid w:val="004639F8"/>
    <w:rsid w:val="00463AC7"/>
    <w:rsid w:val="00463BB7"/>
    <w:rsid w:val="00463BE2"/>
    <w:rsid w:val="00463C55"/>
    <w:rsid w:val="00463C77"/>
    <w:rsid w:val="00463D08"/>
    <w:rsid w:val="00463D2E"/>
    <w:rsid w:val="00463D89"/>
    <w:rsid w:val="00463DE0"/>
    <w:rsid w:val="00463DE6"/>
    <w:rsid w:val="00463DF3"/>
    <w:rsid w:val="00463E20"/>
    <w:rsid w:val="00463E38"/>
    <w:rsid w:val="00463E3C"/>
    <w:rsid w:val="00463E40"/>
    <w:rsid w:val="00463FA9"/>
    <w:rsid w:val="00463FB5"/>
    <w:rsid w:val="0046400A"/>
    <w:rsid w:val="00464087"/>
    <w:rsid w:val="0046408E"/>
    <w:rsid w:val="004640A4"/>
    <w:rsid w:val="0046415A"/>
    <w:rsid w:val="0046418D"/>
    <w:rsid w:val="00464205"/>
    <w:rsid w:val="00464216"/>
    <w:rsid w:val="00464227"/>
    <w:rsid w:val="00464298"/>
    <w:rsid w:val="004643F6"/>
    <w:rsid w:val="00464496"/>
    <w:rsid w:val="004646E5"/>
    <w:rsid w:val="00464707"/>
    <w:rsid w:val="0046471B"/>
    <w:rsid w:val="0046472A"/>
    <w:rsid w:val="00464744"/>
    <w:rsid w:val="0046475A"/>
    <w:rsid w:val="004647EF"/>
    <w:rsid w:val="0046496A"/>
    <w:rsid w:val="004649BE"/>
    <w:rsid w:val="00464A26"/>
    <w:rsid w:val="00464A73"/>
    <w:rsid w:val="00464AD8"/>
    <w:rsid w:val="00464BAC"/>
    <w:rsid w:val="00464CEA"/>
    <w:rsid w:val="00464D05"/>
    <w:rsid w:val="00464DB8"/>
    <w:rsid w:val="00464E90"/>
    <w:rsid w:val="00464EF1"/>
    <w:rsid w:val="00464EFC"/>
    <w:rsid w:val="00465047"/>
    <w:rsid w:val="004651E0"/>
    <w:rsid w:val="00465302"/>
    <w:rsid w:val="004654AE"/>
    <w:rsid w:val="004654D7"/>
    <w:rsid w:val="004654F5"/>
    <w:rsid w:val="004655A1"/>
    <w:rsid w:val="004655CC"/>
    <w:rsid w:val="004655F2"/>
    <w:rsid w:val="00465692"/>
    <w:rsid w:val="004656E8"/>
    <w:rsid w:val="0046573C"/>
    <w:rsid w:val="0046583E"/>
    <w:rsid w:val="00465882"/>
    <w:rsid w:val="00465888"/>
    <w:rsid w:val="00465943"/>
    <w:rsid w:val="00465A93"/>
    <w:rsid w:val="00465AEB"/>
    <w:rsid w:val="00465B91"/>
    <w:rsid w:val="00465CEA"/>
    <w:rsid w:val="00465D30"/>
    <w:rsid w:val="00465D6C"/>
    <w:rsid w:val="00465D6E"/>
    <w:rsid w:val="00465DB9"/>
    <w:rsid w:val="00465E2F"/>
    <w:rsid w:val="00465E60"/>
    <w:rsid w:val="00465EFF"/>
    <w:rsid w:val="00465F16"/>
    <w:rsid w:val="00465F2E"/>
    <w:rsid w:val="00465F50"/>
    <w:rsid w:val="00465F5D"/>
    <w:rsid w:val="00465F6A"/>
    <w:rsid w:val="00465F7E"/>
    <w:rsid w:val="00465FDE"/>
    <w:rsid w:val="00465FEB"/>
    <w:rsid w:val="00466015"/>
    <w:rsid w:val="00466076"/>
    <w:rsid w:val="00466193"/>
    <w:rsid w:val="004661A0"/>
    <w:rsid w:val="004661E1"/>
    <w:rsid w:val="004661E2"/>
    <w:rsid w:val="0046621B"/>
    <w:rsid w:val="00466266"/>
    <w:rsid w:val="0046633E"/>
    <w:rsid w:val="0046635F"/>
    <w:rsid w:val="00466399"/>
    <w:rsid w:val="004663EC"/>
    <w:rsid w:val="004664BA"/>
    <w:rsid w:val="0046650B"/>
    <w:rsid w:val="00466531"/>
    <w:rsid w:val="00466549"/>
    <w:rsid w:val="00466550"/>
    <w:rsid w:val="00466604"/>
    <w:rsid w:val="0046667F"/>
    <w:rsid w:val="00466683"/>
    <w:rsid w:val="0046676D"/>
    <w:rsid w:val="004667C1"/>
    <w:rsid w:val="00466839"/>
    <w:rsid w:val="00466889"/>
    <w:rsid w:val="004668E4"/>
    <w:rsid w:val="004668E9"/>
    <w:rsid w:val="00466A1F"/>
    <w:rsid w:val="00466A30"/>
    <w:rsid w:val="00466AA8"/>
    <w:rsid w:val="00466ACC"/>
    <w:rsid w:val="00466ACD"/>
    <w:rsid w:val="00466AE8"/>
    <w:rsid w:val="00466B2F"/>
    <w:rsid w:val="00466B57"/>
    <w:rsid w:val="00466B70"/>
    <w:rsid w:val="00466BD3"/>
    <w:rsid w:val="00466C10"/>
    <w:rsid w:val="00466D09"/>
    <w:rsid w:val="00466D4C"/>
    <w:rsid w:val="00466D83"/>
    <w:rsid w:val="00466DB7"/>
    <w:rsid w:val="00466E60"/>
    <w:rsid w:val="00466E9F"/>
    <w:rsid w:val="00466F39"/>
    <w:rsid w:val="00466F3F"/>
    <w:rsid w:val="004671CE"/>
    <w:rsid w:val="004671F6"/>
    <w:rsid w:val="004674DD"/>
    <w:rsid w:val="00467554"/>
    <w:rsid w:val="004675C3"/>
    <w:rsid w:val="004675F8"/>
    <w:rsid w:val="00467603"/>
    <w:rsid w:val="0046760A"/>
    <w:rsid w:val="0046763E"/>
    <w:rsid w:val="00467685"/>
    <w:rsid w:val="004676B3"/>
    <w:rsid w:val="004677C5"/>
    <w:rsid w:val="0046783F"/>
    <w:rsid w:val="00467893"/>
    <w:rsid w:val="00467922"/>
    <w:rsid w:val="0046797A"/>
    <w:rsid w:val="00467A2E"/>
    <w:rsid w:val="00467AE9"/>
    <w:rsid w:val="00467B0B"/>
    <w:rsid w:val="00467BFE"/>
    <w:rsid w:val="00467C52"/>
    <w:rsid w:val="00467C7F"/>
    <w:rsid w:val="00467D9C"/>
    <w:rsid w:val="00467DCC"/>
    <w:rsid w:val="00467DE0"/>
    <w:rsid w:val="00467DE6"/>
    <w:rsid w:val="00467F1F"/>
    <w:rsid w:val="00467F2D"/>
    <w:rsid w:val="00467F3C"/>
    <w:rsid w:val="00467F42"/>
    <w:rsid w:val="00467F45"/>
    <w:rsid w:val="00470094"/>
    <w:rsid w:val="00470099"/>
    <w:rsid w:val="004700E3"/>
    <w:rsid w:val="00470291"/>
    <w:rsid w:val="004702B4"/>
    <w:rsid w:val="00470332"/>
    <w:rsid w:val="0047036F"/>
    <w:rsid w:val="00470391"/>
    <w:rsid w:val="00470413"/>
    <w:rsid w:val="0047043A"/>
    <w:rsid w:val="00470440"/>
    <w:rsid w:val="0047050A"/>
    <w:rsid w:val="00470547"/>
    <w:rsid w:val="00470740"/>
    <w:rsid w:val="00470753"/>
    <w:rsid w:val="00470812"/>
    <w:rsid w:val="00470927"/>
    <w:rsid w:val="0047093A"/>
    <w:rsid w:val="0047095C"/>
    <w:rsid w:val="0047096B"/>
    <w:rsid w:val="00470A05"/>
    <w:rsid w:val="00470A5F"/>
    <w:rsid w:val="00470B3E"/>
    <w:rsid w:val="00470B9C"/>
    <w:rsid w:val="00470BA2"/>
    <w:rsid w:val="00470BA7"/>
    <w:rsid w:val="00470C3F"/>
    <w:rsid w:val="00470D57"/>
    <w:rsid w:val="00470DBB"/>
    <w:rsid w:val="00470DC4"/>
    <w:rsid w:val="00470E10"/>
    <w:rsid w:val="00470E30"/>
    <w:rsid w:val="00470E34"/>
    <w:rsid w:val="00470E40"/>
    <w:rsid w:val="00470EC5"/>
    <w:rsid w:val="00470F5E"/>
    <w:rsid w:val="00470FA1"/>
    <w:rsid w:val="00470FD0"/>
    <w:rsid w:val="00470FE0"/>
    <w:rsid w:val="00470FF3"/>
    <w:rsid w:val="00471025"/>
    <w:rsid w:val="004711BC"/>
    <w:rsid w:val="004711FE"/>
    <w:rsid w:val="0047125A"/>
    <w:rsid w:val="00471347"/>
    <w:rsid w:val="0047134D"/>
    <w:rsid w:val="004713F7"/>
    <w:rsid w:val="00471426"/>
    <w:rsid w:val="004714D3"/>
    <w:rsid w:val="004714DF"/>
    <w:rsid w:val="00471507"/>
    <w:rsid w:val="0047152F"/>
    <w:rsid w:val="00471586"/>
    <w:rsid w:val="004716CE"/>
    <w:rsid w:val="0047179E"/>
    <w:rsid w:val="004717D9"/>
    <w:rsid w:val="004717FF"/>
    <w:rsid w:val="00471883"/>
    <w:rsid w:val="00471A40"/>
    <w:rsid w:val="00471A5E"/>
    <w:rsid w:val="00471AC0"/>
    <w:rsid w:val="00471B17"/>
    <w:rsid w:val="00471BC8"/>
    <w:rsid w:val="00471C92"/>
    <w:rsid w:val="00471CF4"/>
    <w:rsid w:val="00471D7C"/>
    <w:rsid w:val="00471E2A"/>
    <w:rsid w:val="00471E3B"/>
    <w:rsid w:val="00471EBB"/>
    <w:rsid w:val="00471F2C"/>
    <w:rsid w:val="00471F82"/>
    <w:rsid w:val="00471F93"/>
    <w:rsid w:val="00471FBA"/>
    <w:rsid w:val="004720DA"/>
    <w:rsid w:val="004720DB"/>
    <w:rsid w:val="00472110"/>
    <w:rsid w:val="0047211E"/>
    <w:rsid w:val="0047217E"/>
    <w:rsid w:val="00472313"/>
    <w:rsid w:val="004724B6"/>
    <w:rsid w:val="004724D5"/>
    <w:rsid w:val="0047254A"/>
    <w:rsid w:val="004726E4"/>
    <w:rsid w:val="0047277A"/>
    <w:rsid w:val="004727BA"/>
    <w:rsid w:val="00472935"/>
    <w:rsid w:val="0047298C"/>
    <w:rsid w:val="00472A8E"/>
    <w:rsid w:val="00472A95"/>
    <w:rsid w:val="00472ABC"/>
    <w:rsid w:val="00472AEC"/>
    <w:rsid w:val="00472BD5"/>
    <w:rsid w:val="00472BE8"/>
    <w:rsid w:val="00472C96"/>
    <w:rsid w:val="00472CF1"/>
    <w:rsid w:val="00472CFF"/>
    <w:rsid w:val="00472E0E"/>
    <w:rsid w:val="00472E15"/>
    <w:rsid w:val="00472EF3"/>
    <w:rsid w:val="00472F13"/>
    <w:rsid w:val="00473020"/>
    <w:rsid w:val="0047308E"/>
    <w:rsid w:val="00473109"/>
    <w:rsid w:val="00473216"/>
    <w:rsid w:val="00473258"/>
    <w:rsid w:val="004732D0"/>
    <w:rsid w:val="004733C0"/>
    <w:rsid w:val="004733CA"/>
    <w:rsid w:val="00473458"/>
    <w:rsid w:val="004734AD"/>
    <w:rsid w:val="004734C2"/>
    <w:rsid w:val="00473548"/>
    <w:rsid w:val="004735B6"/>
    <w:rsid w:val="0047362C"/>
    <w:rsid w:val="00473643"/>
    <w:rsid w:val="004736F7"/>
    <w:rsid w:val="00473752"/>
    <w:rsid w:val="004738CA"/>
    <w:rsid w:val="00473998"/>
    <w:rsid w:val="00473D13"/>
    <w:rsid w:val="00473D1F"/>
    <w:rsid w:val="00473D34"/>
    <w:rsid w:val="00473DE2"/>
    <w:rsid w:val="00473F24"/>
    <w:rsid w:val="00473F4F"/>
    <w:rsid w:val="00473F73"/>
    <w:rsid w:val="00473FB6"/>
    <w:rsid w:val="00474032"/>
    <w:rsid w:val="0047409F"/>
    <w:rsid w:val="004740E3"/>
    <w:rsid w:val="004740E7"/>
    <w:rsid w:val="00474128"/>
    <w:rsid w:val="00474159"/>
    <w:rsid w:val="004741BB"/>
    <w:rsid w:val="00474294"/>
    <w:rsid w:val="004743BF"/>
    <w:rsid w:val="00474428"/>
    <w:rsid w:val="00474435"/>
    <w:rsid w:val="00474467"/>
    <w:rsid w:val="004744DD"/>
    <w:rsid w:val="004744E4"/>
    <w:rsid w:val="004745C4"/>
    <w:rsid w:val="004745CA"/>
    <w:rsid w:val="0047464B"/>
    <w:rsid w:val="00474656"/>
    <w:rsid w:val="0047467E"/>
    <w:rsid w:val="004746FE"/>
    <w:rsid w:val="00474705"/>
    <w:rsid w:val="0047480A"/>
    <w:rsid w:val="0047481B"/>
    <w:rsid w:val="00474953"/>
    <w:rsid w:val="00474962"/>
    <w:rsid w:val="00474981"/>
    <w:rsid w:val="00474998"/>
    <w:rsid w:val="004749B5"/>
    <w:rsid w:val="00474A8D"/>
    <w:rsid w:val="00474A97"/>
    <w:rsid w:val="00474BA5"/>
    <w:rsid w:val="00474BA8"/>
    <w:rsid w:val="00474BF8"/>
    <w:rsid w:val="00474C27"/>
    <w:rsid w:val="00474CDD"/>
    <w:rsid w:val="00474D15"/>
    <w:rsid w:val="00474DF6"/>
    <w:rsid w:val="00475009"/>
    <w:rsid w:val="0047503B"/>
    <w:rsid w:val="0047504A"/>
    <w:rsid w:val="00475170"/>
    <w:rsid w:val="004751A8"/>
    <w:rsid w:val="00475356"/>
    <w:rsid w:val="004753A4"/>
    <w:rsid w:val="004753CA"/>
    <w:rsid w:val="00475489"/>
    <w:rsid w:val="004754A8"/>
    <w:rsid w:val="004754C7"/>
    <w:rsid w:val="004755C3"/>
    <w:rsid w:val="00475680"/>
    <w:rsid w:val="004756A5"/>
    <w:rsid w:val="00475781"/>
    <w:rsid w:val="00475876"/>
    <w:rsid w:val="004758AB"/>
    <w:rsid w:val="00475965"/>
    <w:rsid w:val="00475968"/>
    <w:rsid w:val="00475978"/>
    <w:rsid w:val="004759A8"/>
    <w:rsid w:val="004759BA"/>
    <w:rsid w:val="00475AF0"/>
    <w:rsid w:val="00475B90"/>
    <w:rsid w:val="00475F73"/>
    <w:rsid w:val="00475F97"/>
    <w:rsid w:val="0047600C"/>
    <w:rsid w:val="00476070"/>
    <w:rsid w:val="004760CD"/>
    <w:rsid w:val="004760FC"/>
    <w:rsid w:val="00476111"/>
    <w:rsid w:val="0047612C"/>
    <w:rsid w:val="004761DA"/>
    <w:rsid w:val="004761EA"/>
    <w:rsid w:val="004762B0"/>
    <w:rsid w:val="0047630F"/>
    <w:rsid w:val="0047631F"/>
    <w:rsid w:val="00476371"/>
    <w:rsid w:val="004763F0"/>
    <w:rsid w:val="0047640F"/>
    <w:rsid w:val="004764DC"/>
    <w:rsid w:val="00476579"/>
    <w:rsid w:val="00476601"/>
    <w:rsid w:val="00476612"/>
    <w:rsid w:val="0047662E"/>
    <w:rsid w:val="0047665E"/>
    <w:rsid w:val="00476662"/>
    <w:rsid w:val="0047668E"/>
    <w:rsid w:val="004767D1"/>
    <w:rsid w:val="004767D7"/>
    <w:rsid w:val="00476887"/>
    <w:rsid w:val="004768E8"/>
    <w:rsid w:val="004768EB"/>
    <w:rsid w:val="0047690B"/>
    <w:rsid w:val="00476936"/>
    <w:rsid w:val="00476985"/>
    <w:rsid w:val="004769B3"/>
    <w:rsid w:val="004769E1"/>
    <w:rsid w:val="004769FF"/>
    <w:rsid w:val="00476BC0"/>
    <w:rsid w:val="00476BE2"/>
    <w:rsid w:val="00476C5F"/>
    <w:rsid w:val="00476D85"/>
    <w:rsid w:val="00476D92"/>
    <w:rsid w:val="00476DBA"/>
    <w:rsid w:val="00476E62"/>
    <w:rsid w:val="00476E6C"/>
    <w:rsid w:val="00477036"/>
    <w:rsid w:val="00477048"/>
    <w:rsid w:val="00477064"/>
    <w:rsid w:val="0047708F"/>
    <w:rsid w:val="004770AD"/>
    <w:rsid w:val="0047711B"/>
    <w:rsid w:val="00477157"/>
    <w:rsid w:val="00477187"/>
    <w:rsid w:val="00477189"/>
    <w:rsid w:val="004771C0"/>
    <w:rsid w:val="00477211"/>
    <w:rsid w:val="00477239"/>
    <w:rsid w:val="0047731C"/>
    <w:rsid w:val="00477347"/>
    <w:rsid w:val="004774D7"/>
    <w:rsid w:val="004776D9"/>
    <w:rsid w:val="00477726"/>
    <w:rsid w:val="00477780"/>
    <w:rsid w:val="00477789"/>
    <w:rsid w:val="0047779B"/>
    <w:rsid w:val="0047786C"/>
    <w:rsid w:val="004778B0"/>
    <w:rsid w:val="004778CE"/>
    <w:rsid w:val="004778D6"/>
    <w:rsid w:val="00477914"/>
    <w:rsid w:val="004779B2"/>
    <w:rsid w:val="00477A17"/>
    <w:rsid w:val="00477A6A"/>
    <w:rsid w:val="00477A86"/>
    <w:rsid w:val="00477A89"/>
    <w:rsid w:val="00477B03"/>
    <w:rsid w:val="00477B7F"/>
    <w:rsid w:val="00477C8C"/>
    <w:rsid w:val="00477D16"/>
    <w:rsid w:val="00477E52"/>
    <w:rsid w:val="00477EAC"/>
    <w:rsid w:val="00477F46"/>
    <w:rsid w:val="00477FBC"/>
    <w:rsid w:val="00480032"/>
    <w:rsid w:val="00480237"/>
    <w:rsid w:val="00480276"/>
    <w:rsid w:val="004802EC"/>
    <w:rsid w:val="004802FB"/>
    <w:rsid w:val="004803B9"/>
    <w:rsid w:val="004803E8"/>
    <w:rsid w:val="0048056C"/>
    <w:rsid w:val="00480592"/>
    <w:rsid w:val="004806D8"/>
    <w:rsid w:val="0048079F"/>
    <w:rsid w:val="00480851"/>
    <w:rsid w:val="0048088F"/>
    <w:rsid w:val="00480916"/>
    <w:rsid w:val="0048093B"/>
    <w:rsid w:val="0048096C"/>
    <w:rsid w:val="0048097D"/>
    <w:rsid w:val="00480A76"/>
    <w:rsid w:val="00480AE6"/>
    <w:rsid w:val="00480B30"/>
    <w:rsid w:val="00480B31"/>
    <w:rsid w:val="00480B71"/>
    <w:rsid w:val="00480BA5"/>
    <w:rsid w:val="00480C0D"/>
    <w:rsid w:val="00480C4B"/>
    <w:rsid w:val="00480C5B"/>
    <w:rsid w:val="00480C94"/>
    <w:rsid w:val="00480CF3"/>
    <w:rsid w:val="00480D84"/>
    <w:rsid w:val="00480D92"/>
    <w:rsid w:val="00480E34"/>
    <w:rsid w:val="00480E7E"/>
    <w:rsid w:val="00480ED5"/>
    <w:rsid w:val="00480FCF"/>
    <w:rsid w:val="00481146"/>
    <w:rsid w:val="00481278"/>
    <w:rsid w:val="00481330"/>
    <w:rsid w:val="00481351"/>
    <w:rsid w:val="00481373"/>
    <w:rsid w:val="00481536"/>
    <w:rsid w:val="00481541"/>
    <w:rsid w:val="004816E6"/>
    <w:rsid w:val="00481720"/>
    <w:rsid w:val="00481727"/>
    <w:rsid w:val="00481731"/>
    <w:rsid w:val="004819AE"/>
    <w:rsid w:val="00481A61"/>
    <w:rsid w:val="00481A70"/>
    <w:rsid w:val="00481A98"/>
    <w:rsid w:val="00481ACE"/>
    <w:rsid w:val="00481C4A"/>
    <w:rsid w:val="00481CE6"/>
    <w:rsid w:val="00481EB1"/>
    <w:rsid w:val="00481EE1"/>
    <w:rsid w:val="00481F2D"/>
    <w:rsid w:val="00481F72"/>
    <w:rsid w:val="00481FA1"/>
    <w:rsid w:val="0048204C"/>
    <w:rsid w:val="004820D8"/>
    <w:rsid w:val="00482156"/>
    <w:rsid w:val="00482173"/>
    <w:rsid w:val="004821BC"/>
    <w:rsid w:val="004821DE"/>
    <w:rsid w:val="00482240"/>
    <w:rsid w:val="00482262"/>
    <w:rsid w:val="00482302"/>
    <w:rsid w:val="0048231C"/>
    <w:rsid w:val="0048233E"/>
    <w:rsid w:val="00482492"/>
    <w:rsid w:val="00482672"/>
    <w:rsid w:val="004826D8"/>
    <w:rsid w:val="00482753"/>
    <w:rsid w:val="0048280C"/>
    <w:rsid w:val="0048281F"/>
    <w:rsid w:val="00482893"/>
    <w:rsid w:val="004828B1"/>
    <w:rsid w:val="004828D3"/>
    <w:rsid w:val="0048290C"/>
    <w:rsid w:val="00482A14"/>
    <w:rsid w:val="00482A4F"/>
    <w:rsid w:val="00482B0B"/>
    <w:rsid w:val="00482B2D"/>
    <w:rsid w:val="00482B56"/>
    <w:rsid w:val="00482BC4"/>
    <w:rsid w:val="00482BDA"/>
    <w:rsid w:val="00482C6E"/>
    <w:rsid w:val="00482C99"/>
    <w:rsid w:val="00482CF5"/>
    <w:rsid w:val="00482D15"/>
    <w:rsid w:val="00482DDD"/>
    <w:rsid w:val="00482E3F"/>
    <w:rsid w:val="00482E5C"/>
    <w:rsid w:val="00482EFA"/>
    <w:rsid w:val="00482F1D"/>
    <w:rsid w:val="00482F4E"/>
    <w:rsid w:val="00482F59"/>
    <w:rsid w:val="00483000"/>
    <w:rsid w:val="00483151"/>
    <w:rsid w:val="00483173"/>
    <w:rsid w:val="00483271"/>
    <w:rsid w:val="004832CE"/>
    <w:rsid w:val="00483318"/>
    <w:rsid w:val="0048331C"/>
    <w:rsid w:val="00483379"/>
    <w:rsid w:val="00483389"/>
    <w:rsid w:val="00483499"/>
    <w:rsid w:val="0048350E"/>
    <w:rsid w:val="00483531"/>
    <w:rsid w:val="004836B6"/>
    <w:rsid w:val="00483754"/>
    <w:rsid w:val="0048375E"/>
    <w:rsid w:val="004838EC"/>
    <w:rsid w:val="00483955"/>
    <w:rsid w:val="004839F1"/>
    <w:rsid w:val="00483A9C"/>
    <w:rsid w:val="00483B07"/>
    <w:rsid w:val="00483B3F"/>
    <w:rsid w:val="00483B72"/>
    <w:rsid w:val="00483B9B"/>
    <w:rsid w:val="00483BC0"/>
    <w:rsid w:val="00483BD2"/>
    <w:rsid w:val="00483C60"/>
    <w:rsid w:val="00483D82"/>
    <w:rsid w:val="00483DA6"/>
    <w:rsid w:val="00483DAB"/>
    <w:rsid w:val="00483E12"/>
    <w:rsid w:val="00483F8E"/>
    <w:rsid w:val="00483FB7"/>
    <w:rsid w:val="00484071"/>
    <w:rsid w:val="00484237"/>
    <w:rsid w:val="00484247"/>
    <w:rsid w:val="00484278"/>
    <w:rsid w:val="00484281"/>
    <w:rsid w:val="00484348"/>
    <w:rsid w:val="00484380"/>
    <w:rsid w:val="004843FB"/>
    <w:rsid w:val="004845F0"/>
    <w:rsid w:val="00484618"/>
    <w:rsid w:val="00484699"/>
    <w:rsid w:val="0048479C"/>
    <w:rsid w:val="004847A3"/>
    <w:rsid w:val="004848A4"/>
    <w:rsid w:val="004848B5"/>
    <w:rsid w:val="00484915"/>
    <w:rsid w:val="004849FE"/>
    <w:rsid w:val="00484A92"/>
    <w:rsid w:val="00484B07"/>
    <w:rsid w:val="00484B50"/>
    <w:rsid w:val="00484B92"/>
    <w:rsid w:val="00484BA9"/>
    <w:rsid w:val="00484C70"/>
    <w:rsid w:val="00484C81"/>
    <w:rsid w:val="00484CAB"/>
    <w:rsid w:val="00484CBA"/>
    <w:rsid w:val="00484D06"/>
    <w:rsid w:val="00484D32"/>
    <w:rsid w:val="00484E3F"/>
    <w:rsid w:val="00484E90"/>
    <w:rsid w:val="00484E9B"/>
    <w:rsid w:val="00484EE2"/>
    <w:rsid w:val="00484F59"/>
    <w:rsid w:val="00484FE7"/>
    <w:rsid w:val="00485022"/>
    <w:rsid w:val="00485025"/>
    <w:rsid w:val="00485073"/>
    <w:rsid w:val="00485078"/>
    <w:rsid w:val="004851F0"/>
    <w:rsid w:val="00485261"/>
    <w:rsid w:val="00485282"/>
    <w:rsid w:val="004852BE"/>
    <w:rsid w:val="004853C7"/>
    <w:rsid w:val="004853FD"/>
    <w:rsid w:val="00485439"/>
    <w:rsid w:val="004854F5"/>
    <w:rsid w:val="00485508"/>
    <w:rsid w:val="00485600"/>
    <w:rsid w:val="0048569A"/>
    <w:rsid w:val="004856C8"/>
    <w:rsid w:val="004858CA"/>
    <w:rsid w:val="00485933"/>
    <w:rsid w:val="00485A2F"/>
    <w:rsid w:val="00485A8D"/>
    <w:rsid w:val="00485A98"/>
    <w:rsid w:val="00485B35"/>
    <w:rsid w:val="00485B96"/>
    <w:rsid w:val="00485C72"/>
    <w:rsid w:val="00485CD1"/>
    <w:rsid w:val="00485D18"/>
    <w:rsid w:val="00485D44"/>
    <w:rsid w:val="00485D61"/>
    <w:rsid w:val="00485D88"/>
    <w:rsid w:val="00485E9F"/>
    <w:rsid w:val="00485EBB"/>
    <w:rsid w:val="00485EFB"/>
    <w:rsid w:val="004860E6"/>
    <w:rsid w:val="0048623F"/>
    <w:rsid w:val="0048635A"/>
    <w:rsid w:val="00486383"/>
    <w:rsid w:val="00486404"/>
    <w:rsid w:val="00486518"/>
    <w:rsid w:val="004865D8"/>
    <w:rsid w:val="0048663D"/>
    <w:rsid w:val="00486667"/>
    <w:rsid w:val="00486680"/>
    <w:rsid w:val="00486686"/>
    <w:rsid w:val="004866C7"/>
    <w:rsid w:val="004866CD"/>
    <w:rsid w:val="00486996"/>
    <w:rsid w:val="004869BC"/>
    <w:rsid w:val="004869EB"/>
    <w:rsid w:val="00486B2C"/>
    <w:rsid w:val="00486C07"/>
    <w:rsid w:val="00486C2B"/>
    <w:rsid w:val="00486C40"/>
    <w:rsid w:val="00486CED"/>
    <w:rsid w:val="00486D3D"/>
    <w:rsid w:val="00486D68"/>
    <w:rsid w:val="00486EE5"/>
    <w:rsid w:val="00486F72"/>
    <w:rsid w:val="00486F74"/>
    <w:rsid w:val="00486F75"/>
    <w:rsid w:val="00486FE2"/>
    <w:rsid w:val="00487028"/>
    <w:rsid w:val="00487050"/>
    <w:rsid w:val="004870A0"/>
    <w:rsid w:val="0048710E"/>
    <w:rsid w:val="00487120"/>
    <w:rsid w:val="00487140"/>
    <w:rsid w:val="004871AB"/>
    <w:rsid w:val="004871F9"/>
    <w:rsid w:val="004872B1"/>
    <w:rsid w:val="004872CA"/>
    <w:rsid w:val="00487322"/>
    <w:rsid w:val="004874CD"/>
    <w:rsid w:val="0048754B"/>
    <w:rsid w:val="004875B0"/>
    <w:rsid w:val="004876B7"/>
    <w:rsid w:val="004876BD"/>
    <w:rsid w:val="004876FF"/>
    <w:rsid w:val="0048773B"/>
    <w:rsid w:val="004877A1"/>
    <w:rsid w:val="004877D8"/>
    <w:rsid w:val="0048780D"/>
    <w:rsid w:val="00487856"/>
    <w:rsid w:val="0048785D"/>
    <w:rsid w:val="004878A2"/>
    <w:rsid w:val="004878A4"/>
    <w:rsid w:val="0048790C"/>
    <w:rsid w:val="00487922"/>
    <w:rsid w:val="00487955"/>
    <w:rsid w:val="00487974"/>
    <w:rsid w:val="00487999"/>
    <w:rsid w:val="004879A5"/>
    <w:rsid w:val="00487B62"/>
    <w:rsid w:val="00487BAC"/>
    <w:rsid w:val="00487C6A"/>
    <w:rsid w:val="00487CEF"/>
    <w:rsid w:val="00487D3A"/>
    <w:rsid w:val="00487D46"/>
    <w:rsid w:val="00487D96"/>
    <w:rsid w:val="00487DEF"/>
    <w:rsid w:val="00487E1F"/>
    <w:rsid w:val="00487E63"/>
    <w:rsid w:val="00487E65"/>
    <w:rsid w:val="00487EA3"/>
    <w:rsid w:val="00487EAB"/>
    <w:rsid w:val="00487EE7"/>
    <w:rsid w:val="00487F2F"/>
    <w:rsid w:val="00487F98"/>
    <w:rsid w:val="00487FB9"/>
    <w:rsid w:val="00490092"/>
    <w:rsid w:val="0049009A"/>
    <w:rsid w:val="00490124"/>
    <w:rsid w:val="00490180"/>
    <w:rsid w:val="00490203"/>
    <w:rsid w:val="0049023E"/>
    <w:rsid w:val="0049034A"/>
    <w:rsid w:val="0049034C"/>
    <w:rsid w:val="00490387"/>
    <w:rsid w:val="0049040B"/>
    <w:rsid w:val="00490481"/>
    <w:rsid w:val="0049048F"/>
    <w:rsid w:val="00490512"/>
    <w:rsid w:val="00490602"/>
    <w:rsid w:val="00490642"/>
    <w:rsid w:val="00490644"/>
    <w:rsid w:val="00490647"/>
    <w:rsid w:val="004906C8"/>
    <w:rsid w:val="004907A5"/>
    <w:rsid w:val="004907C0"/>
    <w:rsid w:val="004907C8"/>
    <w:rsid w:val="0049088B"/>
    <w:rsid w:val="00490962"/>
    <w:rsid w:val="00490988"/>
    <w:rsid w:val="004909CC"/>
    <w:rsid w:val="00490A20"/>
    <w:rsid w:val="00490C22"/>
    <w:rsid w:val="00490C4B"/>
    <w:rsid w:val="00490CB7"/>
    <w:rsid w:val="00490CFF"/>
    <w:rsid w:val="00490DE6"/>
    <w:rsid w:val="00490DEC"/>
    <w:rsid w:val="00490EAB"/>
    <w:rsid w:val="00490F00"/>
    <w:rsid w:val="00490F15"/>
    <w:rsid w:val="00490F26"/>
    <w:rsid w:val="0049110B"/>
    <w:rsid w:val="00491124"/>
    <w:rsid w:val="004911A0"/>
    <w:rsid w:val="004911B6"/>
    <w:rsid w:val="004911BA"/>
    <w:rsid w:val="00491234"/>
    <w:rsid w:val="00491305"/>
    <w:rsid w:val="0049138B"/>
    <w:rsid w:val="004913AB"/>
    <w:rsid w:val="004913AE"/>
    <w:rsid w:val="004914DE"/>
    <w:rsid w:val="004914E1"/>
    <w:rsid w:val="00491507"/>
    <w:rsid w:val="0049160A"/>
    <w:rsid w:val="00491660"/>
    <w:rsid w:val="00491666"/>
    <w:rsid w:val="0049166F"/>
    <w:rsid w:val="004916B6"/>
    <w:rsid w:val="00491800"/>
    <w:rsid w:val="00491845"/>
    <w:rsid w:val="0049185C"/>
    <w:rsid w:val="004918B3"/>
    <w:rsid w:val="004918C1"/>
    <w:rsid w:val="00491962"/>
    <w:rsid w:val="00491984"/>
    <w:rsid w:val="004919BA"/>
    <w:rsid w:val="00491A0D"/>
    <w:rsid w:val="00491A27"/>
    <w:rsid w:val="00491A53"/>
    <w:rsid w:val="00491B61"/>
    <w:rsid w:val="00491B82"/>
    <w:rsid w:val="00491BE7"/>
    <w:rsid w:val="00491BEE"/>
    <w:rsid w:val="00491C52"/>
    <w:rsid w:val="00491CD9"/>
    <w:rsid w:val="00491CF8"/>
    <w:rsid w:val="00491CFA"/>
    <w:rsid w:val="00491D6A"/>
    <w:rsid w:val="00491E57"/>
    <w:rsid w:val="00491E74"/>
    <w:rsid w:val="00491F18"/>
    <w:rsid w:val="00491F65"/>
    <w:rsid w:val="00491F9B"/>
    <w:rsid w:val="00492082"/>
    <w:rsid w:val="004920C0"/>
    <w:rsid w:val="00492100"/>
    <w:rsid w:val="00492171"/>
    <w:rsid w:val="00492190"/>
    <w:rsid w:val="004922A4"/>
    <w:rsid w:val="004922B9"/>
    <w:rsid w:val="00492375"/>
    <w:rsid w:val="004923D9"/>
    <w:rsid w:val="0049240A"/>
    <w:rsid w:val="0049241E"/>
    <w:rsid w:val="0049252B"/>
    <w:rsid w:val="0049254B"/>
    <w:rsid w:val="00492550"/>
    <w:rsid w:val="004925E7"/>
    <w:rsid w:val="00492607"/>
    <w:rsid w:val="004926B9"/>
    <w:rsid w:val="00492746"/>
    <w:rsid w:val="00492758"/>
    <w:rsid w:val="0049281C"/>
    <w:rsid w:val="00492833"/>
    <w:rsid w:val="00492944"/>
    <w:rsid w:val="00492953"/>
    <w:rsid w:val="00492955"/>
    <w:rsid w:val="00492966"/>
    <w:rsid w:val="00492C58"/>
    <w:rsid w:val="00492DA2"/>
    <w:rsid w:val="00492E00"/>
    <w:rsid w:val="00492E46"/>
    <w:rsid w:val="00492E5D"/>
    <w:rsid w:val="004930E4"/>
    <w:rsid w:val="0049327A"/>
    <w:rsid w:val="00493296"/>
    <w:rsid w:val="004932B1"/>
    <w:rsid w:val="00493336"/>
    <w:rsid w:val="0049344E"/>
    <w:rsid w:val="004934C8"/>
    <w:rsid w:val="00493542"/>
    <w:rsid w:val="00493563"/>
    <w:rsid w:val="0049361E"/>
    <w:rsid w:val="0049370A"/>
    <w:rsid w:val="00493739"/>
    <w:rsid w:val="00493769"/>
    <w:rsid w:val="004937BE"/>
    <w:rsid w:val="00493811"/>
    <w:rsid w:val="00493812"/>
    <w:rsid w:val="00493889"/>
    <w:rsid w:val="004938FF"/>
    <w:rsid w:val="0049392F"/>
    <w:rsid w:val="004939EF"/>
    <w:rsid w:val="00493A62"/>
    <w:rsid w:val="00493A78"/>
    <w:rsid w:val="00493AB2"/>
    <w:rsid w:val="00493B23"/>
    <w:rsid w:val="00493BEC"/>
    <w:rsid w:val="00493D0F"/>
    <w:rsid w:val="00493D31"/>
    <w:rsid w:val="00493DE1"/>
    <w:rsid w:val="00493E4A"/>
    <w:rsid w:val="00493F1B"/>
    <w:rsid w:val="00493F59"/>
    <w:rsid w:val="00493F64"/>
    <w:rsid w:val="00493FB8"/>
    <w:rsid w:val="0049401B"/>
    <w:rsid w:val="00494143"/>
    <w:rsid w:val="004941D6"/>
    <w:rsid w:val="004941DB"/>
    <w:rsid w:val="004941FA"/>
    <w:rsid w:val="00494206"/>
    <w:rsid w:val="00494257"/>
    <w:rsid w:val="004942A6"/>
    <w:rsid w:val="0049437A"/>
    <w:rsid w:val="00494395"/>
    <w:rsid w:val="00494601"/>
    <w:rsid w:val="0049464D"/>
    <w:rsid w:val="004946E7"/>
    <w:rsid w:val="00494761"/>
    <w:rsid w:val="00494793"/>
    <w:rsid w:val="00494864"/>
    <w:rsid w:val="00494A95"/>
    <w:rsid w:val="00494AFC"/>
    <w:rsid w:val="00494B7E"/>
    <w:rsid w:val="00494B91"/>
    <w:rsid w:val="00494BBA"/>
    <w:rsid w:val="00494C22"/>
    <w:rsid w:val="00494C66"/>
    <w:rsid w:val="00494D34"/>
    <w:rsid w:val="00494DCC"/>
    <w:rsid w:val="00494EA2"/>
    <w:rsid w:val="0049500F"/>
    <w:rsid w:val="004950A1"/>
    <w:rsid w:val="004950B7"/>
    <w:rsid w:val="004950C5"/>
    <w:rsid w:val="004950C9"/>
    <w:rsid w:val="0049511E"/>
    <w:rsid w:val="004951BE"/>
    <w:rsid w:val="004952F7"/>
    <w:rsid w:val="0049532B"/>
    <w:rsid w:val="00495421"/>
    <w:rsid w:val="00495439"/>
    <w:rsid w:val="00495447"/>
    <w:rsid w:val="004954CF"/>
    <w:rsid w:val="0049553D"/>
    <w:rsid w:val="00495565"/>
    <w:rsid w:val="0049559F"/>
    <w:rsid w:val="004955F6"/>
    <w:rsid w:val="00495763"/>
    <w:rsid w:val="00495765"/>
    <w:rsid w:val="00495806"/>
    <w:rsid w:val="00495992"/>
    <w:rsid w:val="00495A3D"/>
    <w:rsid w:val="00495A52"/>
    <w:rsid w:val="00495A74"/>
    <w:rsid w:val="00495AAB"/>
    <w:rsid w:val="00495AB6"/>
    <w:rsid w:val="00495B77"/>
    <w:rsid w:val="00495C5C"/>
    <w:rsid w:val="00495C81"/>
    <w:rsid w:val="00495CAD"/>
    <w:rsid w:val="00495D29"/>
    <w:rsid w:val="00495D7B"/>
    <w:rsid w:val="00495E2B"/>
    <w:rsid w:val="00495EA8"/>
    <w:rsid w:val="00495EEE"/>
    <w:rsid w:val="00495FFF"/>
    <w:rsid w:val="0049601E"/>
    <w:rsid w:val="004960B9"/>
    <w:rsid w:val="0049612B"/>
    <w:rsid w:val="00496147"/>
    <w:rsid w:val="0049625E"/>
    <w:rsid w:val="0049637F"/>
    <w:rsid w:val="004963DE"/>
    <w:rsid w:val="0049642C"/>
    <w:rsid w:val="0049644A"/>
    <w:rsid w:val="0049649F"/>
    <w:rsid w:val="00496501"/>
    <w:rsid w:val="004965CA"/>
    <w:rsid w:val="00496667"/>
    <w:rsid w:val="00496709"/>
    <w:rsid w:val="0049677C"/>
    <w:rsid w:val="004967E6"/>
    <w:rsid w:val="00496948"/>
    <w:rsid w:val="0049694A"/>
    <w:rsid w:val="00496950"/>
    <w:rsid w:val="00496993"/>
    <w:rsid w:val="00496A93"/>
    <w:rsid w:val="00496AF1"/>
    <w:rsid w:val="00496B11"/>
    <w:rsid w:val="00496C80"/>
    <w:rsid w:val="00496CA2"/>
    <w:rsid w:val="00496CD8"/>
    <w:rsid w:val="00496D15"/>
    <w:rsid w:val="00496D6D"/>
    <w:rsid w:val="00496DDC"/>
    <w:rsid w:val="00496E37"/>
    <w:rsid w:val="00496F68"/>
    <w:rsid w:val="00496F7D"/>
    <w:rsid w:val="00496FA7"/>
    <w:rsid w:val="00497082"/>
    <w:rsid w:val="00497162"/>
    <w:rsid w:val="004971C3"/>
    <w:rsid w:val="004973E9"/>
    <w:rsid w:val="00497467"/>
    <w:rsid w:val="004974A4"/>
    <w:rsid w:val="00497544"/>
    <w:rsid w:val="00497570"/>
    <w:rsid w:val="00497628"/>
    <w:rsid w:val="0049772A"/>
    <w:rsid w:val="00497799"/>
    <w:rsid w:val="00497839"/>
    <w:rsid w:val="00497909"/>
    <w:rsid w:val="00497943"/>
    <w:rsid w:val="00497991"/>
    <w:rsid w:val="004979D7"/>
    <w:rsid w:val="00497A18"/>
    <w:rsid w:val="00497AAA"/>
    <w:rsid w:val="00497ADA"/>
    <w:rsid w:val="00497ADD"/>
    <w:rsid w:val="00497B76"/>
    <w:rsid w:val="00497E51"/>
    <w:rsid w:val="00497E9A"/>
    <w:rsid w:val="00497FB5"/>
    <w:rsid w:val="00497FC1"/>
    <w:rsid w:val="00497FC8"/>
    <w:rsid w:val="004A00B7"/>
    <w:rsid w:val="004A00BF"/>
    <w:rsid w:val="004A00FE"/>
    <w:rsid w:val="004A0187"/>
    <w:rsid w:val="004A01FA"/>
    <w:rsid w:val="004A0221"/>
    <w:rsid w:val="004A02BE"/>
    <w:rsid w:val="004A02C6"/>
    <w:rsid w:val="004A02F8"/>
    <w:rsid w:val="004A04A2"/>
    <w:rsid w:val="004A04C4"/>
    <w:rsid w:val="004A0553"/>
    <w:rsid w:val="004A05AD"/>
    <w:rsid w:val="004A062E"/>
    <w:rsid w:val="004A0656"/>
    <w:rsid w:val="004A0696"/>
    <w:rsid w:val="004A07AA"/>
    <w:rsid w:val="004A07D7"/>
    <w:rsid w:val="004A086B"/>
    <w:rsid w:val="004A09D3"/>
    <w:rsid w:val="004A0A44"/>
    <w:rsid w:val="004A0B2A"/>
    <w:rsid w:val="004A0B64"/>
    <w:rsid w:val="004A0B7A"/>
    <w:rsid w:val="004A0C09"/>
    <w:rsid w:val="004A0C22"/>
    <w:rsid w:val="004A0C9F"/>
    <w:rsid w:val="004A0D5A"/>
    <w:rsid w:val="004A0D82"/>
    <w:rsid w:val="004A104A"/>
    <w:rsid w:val="004A113F"/>
    <w:rsid w:val="004A11C5"/>
    <w:rsid w:val="004A120C"/>
    <w:rsid w:val="004A1387"/>
    <w:rsid w:val="004A13C0"/>
    <w:rsid w:val="004A1551"/>
    <w:rsid w:val="004A1580"/>
    <w:rsid w:val="004A1660"/>
    <w:rsid w:val="004A16AC"/>
    <w:rsid w:val="004A1701"/>
    <w:rsid w:val="004A1739"/>
    <w:rsid w:val="004A176A"/>
    <w:rsid w:val="004A17B3"/>
    <w:rsid w:val="004A18EB"/>
    <w:rsid w:val="004A1965"/>
    <w:rsid w:val="004A198D"/>
    <w:rsid w:val="004A19E5"/>
    <w:rsid w:val="004A1A58"/>
    <w:rsid w:val="004A1C12"/>
    <w:rsid w:val="004A1C87"/>
    <w:rsid w:val="004A1CFF"/>
    <w:rsid w:val="004A1D4D"/>
    <w:rsid w:val="004A1D59"/>
    <w:rsid w:val="004A1EA9"/>
    <w:rsid w:val="004A1EBE"/>
    <w:rsid w:val="004A1F3A"/>
    <w:rsid w:val="004A1F47"/>
    <w:rsid w:val="004A1F90"/>
    <w:rsid w:val="004A1FC1"/>
    <w:rsid w:val="004A208B"/>
    <w:rsid w:val="004A20D1"/>
    <w:rsid w:val="004A20EA"/>
    <w:rsid w:val="004A2100"/>
    <w:rsid w:val="004A214E"/>
    <w:rsid w:val="004A2195"/>
    <w:rsid w:val="004A21FE"/>
    <w:rsid w:val="004A220A"/>
    <w:rsid w:val="004A225F"/>
    <w:rsid w:val="004A22CF"/>
    <w:rsid w:val="004A22FE"/>
    <w:rsid w:val="004A2326"/>
    <w:rsid w:val="004A2362"/>
    <w:rsid w:val="004A23B0"/>
    <w:rsid w:val="004A23FB"/>
    <w:rsid w:val="004A2547"/>
    <w:rsid w:val="004A254B"/>
    <w:rsid w:val="004A25CF"/>
    <w:rsid w:val="004A2629"/>
    <w:rsid w:val="004A2690"/>
    <w:rsid w:val="004A271F"/>
    <w:rsid w:val="004A28B3"/>
    <w:rsid w:val="004A28E1"/>
    <w:rsid w:val="004A2915"/>
    <w:rsid w:val="004A2ACE"/>
    <w:rsid w:val="004A2B32"/>
    <w:rsid w:val="004A2BE6"/>
    <w:rsid w:val="004A2C9B"/>
    <w:rsid w:val="004A2C9E"/>
    <w:rsid w:val="004A2CBA"/>
    <w:rsid w:val="004A2D10"/>
    <w:rsid w:val="004A2D58"/>
    <w:rsid w:val="004A2E6E"/>
    <w:rsid w:val="004A2F87"/>
    <w:rsid w:val="004A2F96"/>
    <w:rsid w:val="004A3015"/>
    <w:rsid w:val="004A3034"/>
    <w:rsid w:val="004A30A7"/>
    <w:rsid w:val="004A315C"/>
    <w:rsid w:val="004A31E9"/>
    <w:rsid w:val="004A327A"/>
    <w:rsid w:val="004A3352"/>
    <w:rsid w:val="004A33EA"/>
    <w:rsid w:val="004A3408"/>
    <w:rsid w:val="004A349D"/>
    <w:rsid w:val="004A34A2"/>
    <w:rsid w:val="004A34BC"/>
    <w:rsid w:val="004A356A"/>
    <w:rsid w:val="004A35DD"/>
    <w:rsid w:val="004A3605"/>
    <w:rsid w:val="004A3672"/>
    <w:rsid w:val="004A367B"/>
    <w:rsid w:val="004A36ED"/>
    <w:rsid w:val="004A36F4"/>
    <w:rsid w:val="004A37BB"/>
    <w:rsid w:val="004A381B"/>
    <w:rsid w:val="004A3820"/>
    <w:rsid w:val="004A3940"/>
    <w:rsid w:val="004A3ABA"/>
    <w:rsid w:val="004A3B34"/>
    <w:rsid w:val="004A3BA4"/>
    <w:rsid w:val="004A3C1C"/>
    <w:rsid w:val="004A3CFB"/>
    <w:rsid w:val="004A3D68"/>
    <w:rsid w:val="004A3E2C"/>
    <w:rsid w:val="004A3E9D"/>
    <w:rsid w:val="004A3F0E"/>
    <w:rsid w:val="004A3F4E"/>
    <w:rsid w:val="004A3FD4"/>
    <w:rsid w:val="004A400B"/>
    <w:rsid w:val="004A40B8"/>
    <w:rsid w:val="004A418E"/>
    <w:rsid w:val="004A4273"/>
    <w:rsid w:val="004A4301"/>
    <w:rsid w:val="004A43C4"/>
    <w:rsid w:val="004A449D"/>
    <w:rsid w:val="004A44E6"/>
    <w:rsid w:val="004A4503"/>
    <w:rsid w:val="004A455A"/>
    <w:rsid w:val="004A46E7"/>
    <w:rsid w:val="004A471A"/>
    <w:rsid w:val="004A47DB"/>
    <w:rsid w:val="004A4808"/>
    <w:rsid w:val="004A480D"/>
    <w:rsid w:val="004A4843"/>
    <w:rsid w:val="004A4844"/>
    <w:rsid w:val="004A48C3"/>
    <w:rsid w:val="004A48EC"/>
    <w:rsid w:val="004A48F7"/>
    <w:rsid w:val="004A494D"/>
    <w:rsid w:val="004A49AD"/>
    <w:rsid w:val="004A49BF"/>
    <w:rsid w:val="004A49CB"/>
    <w:rsid w:val="004A49F3"/>
    <w:rsid w:val="004A49FD"/>
    <w:rsid w:val="004A4AC3"/>
    <w:rsid w:val="004A4BD4"/>
    <w:rsid w:val="004A4BD6"/>
    <w:rsid w:val="004A4BDC"/>
    <w:rsid w:val="004A4BF9"/>
    <w:rsid w:val="004A4CB3"/>
    <w:rsid w:val="004A4CD6"/>
    <w:rsid w:val="004A4D2D"/>
    <w:rsid w:val="004A4DD2"/>
    <w:rsid w:val="004A4E4D"/>
    <w:rsid w:val="004A4E5F"/>
    <w:rsid w:val="004A4E9A"/>
    <w:rsid w:val="004A4F6A"/>
    <w:rsid w:val="004A4FC9"/>
    <w:rsid w:val="004A4FE5"/>
    <w:rsid w:val="004A4FFC"/>
    <w:rsid w:val="004A5008"/>
    <w:rsid w:val="004A504E"/>
    <w:rsid w:val="004A5067"/>
    <w:rsid w:val="004A50CD"/>
    <w:rsid w:val="004A5125"/>
    <w:rsid w:val="004A514E"/>
    <w:rsid w:val="004A51C6"/>
    <w:rsid w:val="004A526A"/>
    <w:rsid w:val="004A537B"/>
    <w:rsid w:val="004A5421"/>
    <w:rsid w:val="004A543B"/>
    <w:rsid w:val="004A545E"/>
    <w:rsid w:val="004A54B1"/>
    <w:rsid w:val="004A54FF"/>
    <w:rsid w:val="004A5585"/>
    <w:rsid w:val="004A565B"/>
    <w:rsid w:val="004A5715"/>
    <w:rsid w:val="004A573E"/>
    <w:rsid w:val="004A57F5"/>
    <w:rsid w:val="004A5915"/>
    <w:rsid w:val="004A59BA"/>
    <w:rsid w:val="004A5B14"/>
    <w:rsid w:val="004A5B8D"/>
    <w:rsid w:val="004A5D12"/>
    <w:rsid w:val="004A5DAD"/>
    <w:rsid w:val="004A5DB6"/>
    <w:rsid w:val="004A5DF1"/>
    <w:rsid w:val="004A5E37"/>
    <w:rsid w:val="004A5F0A"/>
    <w:rsid w:val="004A5F19"/>
    <w:rsid w:val="004A5FD5"/>
    <w:rsid w:val="004A6031"/>
    <w:rsid w:val="004A60DF"/>
    <w:rsid w:val="004A60F6"/>
    <w:rsid w:val="004A60F8"/>
    <w:rsid w:val="004A6103"/>
    <w:rsid w:val="004A6155"/>
    <w:rsid w:val="004A61D0"/>
    <w:rsid w:val="004A61FB"/>
    <w:rsid w:val="004A626E"/>
    <w:rsid w:val="004A6279"/>
    <w:rsid w:val="004A6288"/>
    <w:rsid w:val="004A630D"/>
    <w:rsid w:val="004A6426"/>
    <w:rsid w:val="004A646B"/>
    <w:rsid w:val="004A6545"/>
    <w:rsid w:val="004A656A"/>
    <w:rsid w:val="004A662D"/>
    <w:rsid w:val="004A66B0"/>
    <w:rsid w:val="004A6754"/>
    <w:rsid w:val="004A67F1"/>
    <w:rsid w:val="004A68D7"/>
    <w:rsid w:val="004A6914"/>
    <w:rsid w:val="004A69B0"/>
    <w:rsid w:val="004A6A57"/>
    <w:rsid w:val="004A6A67"/>
    <w:rsid w:val="004A6A8B"/>
    <w:rsid w:val="004A6A95"/>
    <w:rsid w:val="004A6A9B"/>
    <w:rsid w:val="004A6B02"/>
    <w:rsid w:val="004A6B0E"/>
    <w:rsid w:val="004A6B97"/>
    <w:rsid w:val="004A6BC3"/>
    <w:rsid w:val="004A6BD0"/>
    <w:rsid w:val="004A6CAC"/>
    <w:rsid w:val="004A6D60"/>
    <w:rsid w:val="004A6DE9"/>
    <w:rsid w:val="004A6E08"/>
    <w:rsid w:val="004A6E1F"/>
    <w:rsid w:val="004A6E61"/>
    <w:rsid w:val="004A6EAE"/>
    <w:rsid w:val="004A6F93"/>
    <w:rsid w:val="004A6FB1"/>
    <w:rsid w:val="004A700A"/>
    <w:rsid w:val="004A71C8"/>
    <w:rsid w:val="004A7255"/>
    <w:rsid w:val="004A7259"/>
    <w:rsid w:val="004A72EC"/>
    <w:rsid w:val="004A7300"/>
    <w:rsid w:val="004A7362"/>
    <w:rsid w:val="004A738B"/>
    <w:rsid w:val="004A74B3"/>
    <w:rsid w:val="004A752A"/>
    <w:rsid w:val="004A752B"/>
    <w:rsid w:val="004A759C"/>
    <w:rsid w:val="004A75AC"/>
    <w:rsid w:val="004A75BC"/>
    <w:rsid w:val="004A762F"/>
    <w:rsid w:val="004A7659"/>
    <w:rsid w:val="004A766E"/>
    <w:rsid w:val="004A76F9"/>
    <w:rsid w:val="004A7717"/>
    <w:rsid w:val="004A7718"/>
    <w:rsid w:val="004A7796"/>
    <w:rsid w:val="004A77E0"/>
    <w:rsid w:val="004A782F"/>
    <w:rsid w:val="004A7838"/>
    <w:rsid w:val="004A7897"/>
    <w:rsid w:val="004A7947"/>
    <w:rsid w:val="004A7948"/>
    <w:rsid w:val="004A7979"/>
    <w:rsid w:val="004A7A09"/>
    <w:rsid w:val="004A7A31"/>
    <w:rsid w:val="004A7CB5"/>
    <w:rsid w:val="004A7CC7"/>
    <w:rsid w:val="004A7D6D"/>
    <w:rsid w:val="004A7D90"/>
    <w:rsid w:val="004A7DBD"/>
    <w:rsid w:val="004A7DE5"/>
    <w:rsid w:val="004A7EDB"/>
    <w:rsid w:val="004A7EE8"/>
    <w:rsid w:val="004A7F0F"/>
    <w:rsid w:val="004A7F7F"/>
    <w:rsid w:val="004A7F9D"/>
    <w:rsid w:val="004B014D"/>
    <w:rsid w:val="004B019B"/>
    <w:rsid w:val="004B0207"/>
    <w:rsid w:val="004B021E"/>
    <w:rsid w:val="004B02A6"/>
    <w:rsid w:val="004B0355"/>
    <w:rsid w:val="004B03CD"/>
    <w:rsid w:val="004B0434"/>
    <w:rsid w:val="004B0493"/>
    <w:rsid w:val="004B0534"/>
    <w:rsid w:val="004B0579"/>
    <w:rsid w:val="004B0591"/>
    <w:rsid w:val="004B05BC"/>
    <w:rsid w:val="004B06AD"/>
    <w:rsid w:val="004B07E4"/>
    <w:rsid w:val="004B0829"/>
    <w:rsid w:val="004B0973"/>
    <w:rsid w:val="004B0ADF"/>
    <w:rsid w:val="004B0AEA"/>
    <w:rsid w:val="004B0B60"/>
    <w:rsid w:val="004B0BC0"/>
    <w:rsid w:val="004B0CE8"/>
    <w:rsid w:val="004B0CF9"/>
    <w:rsid w:val="004B0D2C"/>
    <w:rsid w:val="004B0DDD"/>
    <w:rsid w:val="004B0E35"/>
    <w:rsid w:val="004B0E8E"/>
    <w:rsid w:val="004B0F07"/>
    <w:rsid w:val="004B0F17"/>
    <w:rsid w:val="004B0F92"/>
    <w:rsid w:val="004B105B"/>
    <w:rsid w:val="004B1101"/>
    <w:rsid w:val="004B1169"/>
    <w:rsid w:val="004B119F"/>
    <w:rsid w:val="004B11E3"/>
    <w:rsid w:val="004B1229"/>
    <w:rsid w:val="004B1235"/>
    <w:rsid w:val="004B1295"/>
    <w:rsid w:val="004B1304"/>
    <w:rsid w:val="004B1315"/>
    <w:rsid w:val="004B1335"/>
    <w:rsid w:val="004B133C"/>
    <w:rsid w:val="004B1371"/>
    <w:rsid w:val="004B1378"/>
    <w:rsid w:val="004B13F3"/>
    <w:rsid w:val="004B1406"/>
    <w:rsid w:val="004B144A"/>
    <w:rsid w:val="004B1455"/>
    <w:rsid w:val="004B1476"/>
    <w:rsid w:val="004B14F0"/>
    <w:rsid w:val="004B156F"/>
    <w:rsid w:val="004B1605"/>
    <w:rsid w:val="004B1641"/>
    <w:rsid w:val="004B165A"/>
    <w:rsid w:val="004B16AE"/>
    <w:rsid w:val="004B1802"/>
    <w:rsid w:val="004B1830"/>
    <w:rsid w:val="004B1852"/>
    <w:rsid w:val="004B185A"/>
    <w:rsid w:val="004B18F0"/>
    <w:rsid w:val="004B1970"/>
    <w:rsid w:val="004B197C"/>
    <w:rsid w:val="004B1A34"/>
    <w:rsid w:val="004B1BD3"/>
    <w:rsid w:val="004B1C8E"/>
    <w:rsid w:val="004B1CE4"/>
    <w:rsid w:val="004B1CEC"/>
    <w:rsid w:val="004B1D37"/>
    <w:rsid w:val="004B1D38"/>
    <w:rsid w:val="004B1D3C"/>
    <w:rsid w:val="004B1D80"/>
    <w:rsid w:val="004B1DA2"/>
    <w:rsid w:val="004B1E3C"/>
    <w:rsid w:val="004B1E57"/>
    <w:rsid w:val="004B1EA1"/>
    <w:rsid w:val="004B1F51"/>
    <w:rsid w:val="004B1FE0"/>
    <w:rsid w:val="004B203E"/>
    <w:rsid w:val="004B206A"/>
    <w:rsid w:val="004B20C9"/>
    <w:rsid w:val="004B2221"/>
    <w:rsid w:val="004B2303"/>
    <w:rsid w:val="004B2324"/>
    <w:rsid w:val="004B23B3"/>
    <w:rsid w:val="004B2415"/>
    <w:rsid w:val="004B24E6"/>
    <w:rsid w:val="004B24F5"/>
    <w:rsid w:val="004B25F5"/>
    <w:rsid w:val="004B264B"/>
    <w:rsid w:val="004B2670"/>
    <w:rsid w:val="004B267F"/>
    <w:rsid w:val="004B26F2"/>
    <w:rsid w:val="004B27D2"/>
    <w:rsid w:val="004B27D7"/>
    <w:rsid w:val="004B2893"/>
    <w:rsid w:val="004B28FF"/>
    <w:rsid w:val="004B2970"/>
    <w:rsid w:val="004B2987"/>
    <w:rsid w:val="004B29A1"/>
    <w:rsid w:val="004B29B8"/>
    <w:rsid w:val="004B29CB"/>
    <w:rsid w:val="004B29E2"/>
    <w:rsid w:val="004B2B66"/>
    <w:rsid w:val="004B2C7B"/>
    <w:rsid w:val="004B2D0A"/>
    <w:rsid w:val="004B2D49"/>
    <w:rsid w:val="004B2D63"/>
    <w:rsid w:val="004B2D64"/>
    <w:rsid w:val="004B2DB0"/>
    <w:rsid w:val="004B2DFC"/>
    <w:rsid w:val="004B3052"/>
    <w:rsid w:val="004B3111"/>
    <w:rsid w:val="004B3129"/>
    <w:rsid w:val="004B31B2"/>
    <w:rsid w:val="004B31DA"/>
    <w:rsid w:val="004B3243"/>
    <w:rsid w:val="004B32FC"/>
    <w:rsid w:val="004B3357"/>
    <w:rsid w:val="004B336B"/>
    <w:rsid w:val="004B3433"/>
    <w:rsid w:val="004B34E3"/>
    <w:rsid w:val="004B35F5"/>
    <w:rsid w:val="004B36CD"/>
    <w:rsid w:val="004B374D"/>
    <w:rsid w:val="004B37AA"/>
    <w:rsid w:val="004B37C9"/>
    <w:rsid w:val="004B37D7"/>
    <w:rsid w:val="004B37FF"/>
    <w:rsid w:val="004B3827"/>
    <w:rsid w:val="004B38E0"/>
    <w:rsid w:val="004B3926"/>
    <w:rsid w:val="004B3934"/>
    <w:rsid w:val="004B3957"/>
    <w:rsid w:val="004B3980"/>
    <w:rsid w:val="004B39A4"/>
    <w:rsid w:val="004B39F5"/>
    <w:rsid w:val="004B3A66"/>
    <w:rsid w:val="004B3A6E"/>
    <w:rsid w:val="004B3AAE"/>
    <w:rsid w:val="004B3AC8"/>
    <w:rsid w:val="004B3B5B"/>
    <w:rsid w:val="004B3B60"/>
    <w:rsid w:val="004B3B7C"/>
    <w:rsid w:val="004B3BCD"/>
    <w:rsid w:val="004B3BDD"/>
    <w:rsid w:val="004B3C06"/>
    <w:rsid w:val="004B3CB2"/>
    <w:rsid w:val="004B3D8A"/>
    <w:rsid w:val="004B3E0A"/>
    <w:rsid w:val="004B3EB7"/>
    <w:rsid w:val="004B3F74"/>
    <w:rsid w:val="004B3FCD"/>
    <w:rsid w:val="004B3FE5"/>
    <w:rsid w:val="004B401F"/>
    <w:rsid w:val="004B4050"/>
    <w:rsid w:val="004B40FD"/>
    <w:rsid w:val="004B4191"/>
    <w:rsid w:val="004B422B"/>
    <w:rsid w:val="004B426E"/>
    <w:rsid w:val="004B4276"/>
    <w:rsid w:val="004B42AE"/>
    <w:rsid w:val="004B430F"/>
    <w:rsid w:val="004B432B"/>
    <w:rsid w:val="004B4338"/>
    <w:rsid w:val="004B4352"/>
    <w:rsid w:val="004B4419"/>
    <w:rsid w:val="004B441A"/>
    <w:rsid w:val="004B4444"/>
    <w:rsid w:val="004B44F6"/>
    <w:rsid w:val="004B4518"/>
    <w:rsid w:val="004B4543"/>
    <w:rsid w:val="004B4559"/>
    <w:rsid w:val="004B4636"/>
    <w:rsid w:val="004B464F"/>
    <w:rsid w:val="004B4665"/>
    <w:rsid w:val="004B4682"/>
    <w:rsid w:val="004B4775"/>
    <w:rsid w:val="004B477F"/>
    <w:rsid w:val="004B48A2"/>
    <w:rsid w:val="004B48CD"/>
    <w:rsid w:val="004B4ACD"/>
    <w:rsid w:val="004B4B39"/>
    <w:rsid w:val="004B4B58"/>
    <w:rsid w:val="004B4BA4"/>
    <w:rsid w:val="004B4BBE"/>
    <w:rsid w:val="004B4BCE"/>
    <w:rsid w:val="004B4BED"/>
    <w:rsid w:val="004B4C4C"/>
    <w:rsid w:val="004B4D07"/>
    <w:rsid w:val="004B4D63"/>
    <w:rsid w:val="004B4D6F"/>
    <w:rsid w:val="004B4DEB"/>
    <w:rsid w:val="004B4F5A"/>
    <w:rsid w:val="004B5000"/>
    <w:rsid w:val="004B5006"/>
    <w:rsid w:val="004B500D"/>
    <w:rsid w:val="004B5046"/>
    <w:rsid w:val="004B506E"/>
    <w:rsid w:val="004B5092"/>
    <w:rsid w:val="004B50DD"/>
    <w:rsid w:val="004B5189"/>
    <w:rsid w:val="004B51A2"/>
    <w:rsid w:val="004B51E5"/>
    <w:rsid w:val="004B52B4"/>
    <w:rsid w:val="004B52D4"/>
    <w:rsid w:val="004B5352"/>
    <w:rsid w:val="004B54ED"/>
    <w:rsid w:val="004B5619"/>
    <w:rsid w:val="004B56BD"/>
    <w:rsid w:val="004B56C2"/>
    <w:rsid w:val="004B56D1"/>
    <w:rsid w:val="004B573C"/>
    <w:rsid w:val="004B5839"/>
    <w:rsid w:val="004B5865"/>
    <w:rsid w:val="004B58BE"/>
    <w:rsid w:val="004B5A3E"/>
    <w:rsid w:val="004B5AAE"/>
    <w:rsid w:val="004B5AED"/>
    <w:rsid w:val="004B5AF5"/>
    <w:rsid w:val="004B5B35"/>
    <w:rsid w:val="004B5B6D"/>
    <w:rsid w:val="004B5C75"/>
    <w:rsid w:val="004B5C94"/>
    <w:rsid w:val="004B5CBB"/>
    <w:rsid w:val="004B5DB0"/>
    <w:rsid w:val="004B5DE6"/>
    <w:rsid w:val="004B5F27"/>
    <w:rsid w:val="004B6138"/>
    <w:rsid w:val="004B61E2"/>
    <w:rsid w:val="004B6210"/>
    <w:rsid w:val="004B6215"/>
    <w:rsid w:val="004B62DD"/>
    <w:rsid w:val="004B630E"/>
    <w:rsid w:val="004B6364"/>
    <w:rsid w:val="004B6410"/>
    <w:rsid w:val="004B65CD"/>
    <w:rsid w:val="004B6694"/>
    <w:rsid w:val="004B67EA"/>
    <w:rsid w:val="004B68F1"/>
    <w:rsid w:val="004B6938"/>
    <w:rsid w:val="004B69F9"/>
    <w:rsid w:val="004B6A01"/>
    <w:rsid w:val="004B6A0C"/>
    <w:rsid w:val="004B6A26"/>
    <w:rsid w:val="004B6A81"/>
    <w:rsid w:val="004B6A9A"/>
    <w:rsid w:val="004B6BA0"/>
    <w:rsid w:val="004B6C58"/>
    <w:rsid w:val="004B6DB7"/>
    <w:rsid w:val="004B6DCF"/>
    <w:rsid w:val="004B6DFC"/>
    <w:rsid w:val="004B6E63"/>
    <w:rsid w:val="004B6E98"/>
    <w:rsid w:val="004B6EF6"/>
    <w:rsid w:val="004B7061"/>
    <w:rsid w:val="004B708D"/>
    <w:rsid w:val="004B70D2"/>
    <w:rsid w:val="004B7298"/>
    <w:rsid w:val="004B73E3"/>
    <w:rsid w:val="004B7407"/>
    <w:rsid w:val="004B7425"/>
    <w:rsid w:val="004B7458"/>
    <w:rsid w:val="004B74D6"/>
    <w:rsid w:val="004B757A"/>
    <w:rsid w:val="004B7586"/>
    <w:rsid w:val="004B7600"/>
    <w:rsid w:val="004B761A"/>
    <w:rsid w:val="004B7813"/>
    <w:rsid w:val="004B783F"/>
    <w:rsid w:val="004B7858"/>
    <w:rsid w:val="004B7875"/>
    <w:rsid w:val="004B790C"/>
    <w:rsid w:val="004B795C"/>
    <w:rsid w:val="004B797E"/>
    <w:rsid w:val="004B7A38"/>
    <w:rsid w:val="004B7A4E"/>
    <w:rsid w:val="004B7AD5"/>
    <w:rsid w:val="004B7B1C"/>
    <w:rsid w:val="004B7B21"/>
    <w:rsid w:val="004B7B34"/>
    <w:rsid w:val="004B7B40"/>
    <w:rsid w:val="004B7B5C"/>
    <w:rsid w:val="004B7B7A"/>
    <w:rsid w:val="004B7B94"/>
    <w:rsid w:val="004B7BA5"/>
    <w:rsid w:val="004B7BDD"/>
    <w:rsid w:val="004B7CA2"/>
    <w:rsid w:val="004B7CD7"/>
    <w:rsid w:val="004B7E81"/>
    <w:rsid w:val="004B7EA5"/>
    <w:rsid w:val="004B7F25"/>
    <w:rsid w:val="004B7FA0"/>
    <w:rsid w:val="004C000B"/>
    <w:rsid w:val="004C000C"/>
    <w:rsid w:val="004C0021"/>
    <w:rsid w:val="004C009F"/>
    <w:rsid w:val="004C00C9"/>
    <w:rsid w:val="004C0169"/>
    <w:rsid w:val="004C01BB"/>
    <w:rsid w:val="004C01C4"/>
    <w:rsid w:val="004C0235"/>
    <w:rsid w:val="004C029C"/>
    <w:rsid w:val="004C02D3"/>
    <w:rsid w:val="004C030C"/>
    <w:rsid w:val="004C031C"/>
    <w:rsid w:val="004C0387"/>
    <w:rsid w:val="004C0410"/>
    <w:rsid w:val="004C0427"/>
    <w:rsid w:val="004C0478"/>
    <w:rsid w:val="004C04DD"/>
    <w:rsid w:val="004C0615"/>
    <w:rsid w:val="004C0646"/>
    <w:rsid w:val="004C065D"/>
    <w:rsid w:val="004C065E"/>
    <w:rsid w:val="004C06FA"/>
    <w:rsid w:val="004C0777"/>
    <w:rsid w:val="004C07B7"/>
    <w:rsid w:val="004C094A"/>
    <w:rsid w:val="004C0997"/>
    <w:rsid w:val="004C0A9D"/>
    <w:rsid w:val="004C0ABC"/>
    <w:rsid w:val="004C0B4E"/>
    <w:rsid w:val="004C0BC0"/>
    <w:rsid w:val="004C0C8F"/>
    <w:rsid w:val="004C0DC2"/>
    <w:rsid w:val="004C0DDB"/>
    <w:rsid w:val="004C0DE7"/>
    <w:rsid w:val="004C0E9A"/>
    <w:rsid w:val="004C0FC9"/>
    <w:rsid w:val="004C1095"/>
    <w:rsid w:val="004C10E3"/>
    <w:rsid w:val="004C1193"/>
    <w:rsid w:val="004C11BD"/>
    <w:rsid w:val="004C12C8"/>
    <w:rsid w:val="004C12D2"/>
    <w:rsid w:val="004C12FE"/>
    <w:rsid w:val="004C1305"/>
    <w:rsid w:val="004C13C4"/>
    <w:rsid w:val="004C13DE"/>
    <w:rsid w:val="004C13EE"/>
    <w:rsid w:val="004C13F2"/>
    <w:rsid w:val="004C1425"/>
    <w:rsid w:val="004C15A7"/>
    <w:rsid w:val="004C15F6"/>
    <w:rsid w:val="004C1791"/>
    <w:rsid w:val="004C17A5"/>
    <w:rsid w:val="004C181F"/>
    <w:rsid w:val="004C1849"/>
    <w:rsid w:val="004C18B7"/>
    <w:rsid w:val="004C18F5"/>
    <w:rsid w:val="004C1B0F"/>
    <w:rsid w:val="004C1B5C"/>
    <w:rsid w:val="004C1B90"/>
    <w:rsid w:val="004C1C70"/>
    <w:rsid w:val="004C1DCF"/>
    <w:rsid w:val="004C1E0E"/>
    <w:rsid w:val="004C1E3C"/>
    <w:rsid w:val="004C1E83"/>
    <w:rsid w:val="004C1F30"/>
    <w:rsid w:val="004C2008"/>
    <w:rsid w:val="004C2028"/>
    <w:rsid w:val="004C2040"/>
    <w:rsid w:val="004C2073"/>
    <w:rsid w:val="004C207E"/>
    <w:rsid w:val="004C22C7"/>
    <w:rsid w:val="004C2384"/>
    <w:rsid w:val="004C249D"/>
    <w:rsid w:val="004C24C7"/>
    <w:rsid w:val="004C251D"/>
    <w:rsid w:val="004C2536"/>
    <w:rsid w:val="004C26DE"/>
    <w:rsid w:val="004C2730"/>
    <w:rsid w:val="004C27E0"/>
    <w:rsid w:val="004C27E3"/>
    <w:rsid w:val="004C27EE"/>
    <w:rsid w:val="004C2840"/>
    <w:rsid w:val="004C2877"/>
    <w:rsid w:val="004C28AA"/>
    <w:rsid w:val="004C2A13"/>
    <w:rsid w:val="004C2A19"/>
    <w:rsid w:val="004C2A33"/>
    <w:rsid w:val="004C2B17"/>
    <w:rsid w:val="004C2B5D"/>
    <w:rsid w:val="004C2C08"/>
    <w:rsid w:val="004C2C16"/>
    <w:rsid w:val="004C2C32"/>
    <w:rsid w:val="004C2C79"/>
    <w:rsid w:val="004C2CAE"/>
    <w:rsid w:val="004C2D1B"/>
    <w:rsid w:val="004C2DAE"/>
    <w:rsid w:val="004C2DD0"/>
    <w:rsid w:val="004C2DE8"/>
    <w:rsid w:val="004C2E31"/>
    <w:rsid w:val="004C2E4F"/>
    <w:rsid w:val="004C2E6A"/>
    <w:rsid w:val="004C2F97"/>
    <w:rsid w:val="004C3082"/>
    <w:rsid w:val="004C312A"/>
    <w:rsid w:val="004C3131"/>
    <w:rsid w:val="004C316F"/>
    <w:rsid w:val="004C31E7"/>
    <w:rsid w:val="004C3232"/>
    <w:rsid w:val="004C3243"/>
    <w:rsid w:val="004C32EC"/>
    <w:rsid w:val="004C3301"/>
    <w:rsid w:val="004C3398"/>
    <w:rsid w:val="004C340F"/>
    <w:rsid w:val="004C345B"/>
    <w:rsid w:val="004C354A"/>
    <w:rsid w:val="004C35EC"/>
    <w:rsid w:val="004C3641"/>
    <w:rsid w:val="004C370D"/>
    <w:rsid w:val="004C3738"/>
    <w:rsid w:val="004C3754"/>
    <w:rsid w:val="004C378D"/>
    <w:rsid w:val="004C378E"/>
    <w:rsid w:val="004C387A"/>
    <w:rsid w:val="004C3882"/>
    <w:rsid w:val="004C38C9"/>
    <w:rsid w:val="004C38F9"/>
    <w:rsid w:val="004C3913"/>
    <w:rsid w:val="004C395E"/>
    <w:rsid w:val="004C396F"/>
    <w:rsid w:val="004C39D9"/>
    <w:rsid w:val="004C3B87"/>
    <w:rsid w:val="004C3B91"/>
    <w:rsid w:val="004C3C5B"/>
    <w:rsid w:val="004C3C87"/>
    <w:rsid w:val="004C3CF9"/>
    <w:rsid w:val="004C3D2F"/>
    <w:rsid w:val="004C3D6B"/>
    <w:rsid w:val="004C3D71"/>
    <w:rsid w:val="004C3D94"/>
    <w:rsid w:val="004C3E1A"/>
    <w:rsid w:val="004C3F21"/>
    <w:rsid w:val="004C3F34"/>
    <w:rsid w:val="004C4066"/>
    <w:rsid w:val="004C4070"/>
    <w:rsid w:val="004C40E8"/>
    <w:rsid w:val="004C410E"/>
    <w:rsid w:val="004C4123"/>
    <w:rsid w:val="004C4140"/>
    <w:rsid w:val="004C4177"/>
    <w:rsid w:val="004C417A"/>
    <w:rsid w:val="004C41D5"/>
    <w:rsid w:val="004C421B"/>
    <w:rsid w:val="004C424A"/>
    <w:rsid w:val="004C427A"/>
    <w:rsid w:val="004C4369"/>
    <w:rsid w:val="004C44EE"/>
    <w:rsid w:val="004C45A1"/>
    <w:rsid w:val="004C4672"/>
    <w:rsid w:val="004C4768"/>
    <w:rsid w:val="004C48CE"/>
    <w:rsid w:val="004C4923"/>
    <w:rsid w:val="004C4A19"/>
    <w:rsid w:val="004C4A5D"/>
    <w:rsid w:val="004C4A60"/>
    <w:rsid w:val="004C4AF6"/>
    <w:rsid w:val="004C4B46"/>
    <w:rsid w:val="004C4B7F"/>
    <w:rsid w:val="004C4BAE"/>
    <w:rsid w:val="004C4CE2"/>
    <w:rsid w:val="004C4D06"/>
    <w:rsid w:val="004C4D54"/>
    <w:rsid w:val="004C4D82"/>
    <w:rsid w:val="004C4E59"/>
    <w:rsid w:val="004C4FA7"/>
    <w:rsid w:val="004C5078"/>
    <w:rsid w:val="004C5118"/>
    <w:rsid w:val="004C516F"/>
    <w:rsid w:val="004C5243"/>
    <w:rsid w:val="004C52C6"/>
    <w:rsid w:val="004C534B"/>
    <w:rsid w:val="004C541C"/>
    <w:rsid w:val="004C54D0"/>
    <w:rsid w:val="004C54D4"/>
    <w:rsid w:val="004C559E"/>
    <w:rsid w:val="004C55C8"/>
    <w:rsid w:val="004C5609"/>
    <w:rsid w:val="004C5645"/>
    <w:rsid w:val="004C57CE"/>
    <w:rsid w:val="004C586A"/>
    <w:rsid w:val="004C5874"/>
    <w:rsid w:val="004C5968"/>
    <w:rsid w:val="004C599B"/>
    <w:rsid w:val="004C5A9A"/>
    <w:rsid w:val="004C5B11"/>
    <w:rsid w:val="004C5BA4"/>
    <w:rsid w:val="004C5CCB"/>
    <w:rsid w:val="004C5D31"/>
    <w:rsid w:val="004C5D3E"/>
    <w:rsid w:val="004C5D6C"/>
    <w:rsid w:val="004C5DAC"/>
    <w:rsid w:val="004C5DD3"/>
    <w:rsid w:val="004C5DF9"/>
    <w:rsid w:val="004C5E21"/>
    <w:rsid w:val="004C5E64"/>
    <w:rsid w:val="004C5F1C"/>
    <w:rsid w:val="004C5FC9"/>
    <w:rsid w:val="004C6027"/>
    <w:rsid w:val="004C60A0"/>
    <w:rsid w:val="004C617A"/>
    <w:rsid w:val="004C618B"/>
    <w:rsid w:val="004C6222"/>
    <w:rsid w:val="004C6356"/>
    <w:rsid w:val="004C63E1"/>
    <w:rsid w:val="004C6547"/>
    <w:rsid w:val="004C68A0"/>
    <w:rsid w:val="004C69CF"/>
    <w:rsid w:val="004C69DC"/>
    <w:rsid w:val="004C6A11"/>
    <w:rsid w:val="004C6A27"/>
    <w:rsid w:val="004C6A38"/>
    <w:rsid w:val="004C6A9E"/>
    <w:rsid w:val="004C6AD4"/>
    <w:rsid w:val="004C6B0E"/>
    <w:rsid w:val="004C6B96"/>
    <w:rsid w:val="004C6BCE"/>
    <w:rsid w:val="004C6CE3"/>
    <w:rsid w:val="004C6D21"/>
    <w:rsid w:val="004C6D65"/>
    <w:rsid w:val="004C6DA6"/>
    <w:rsid w:val="004C6E7F"/>
    <w:rsid w:val="004C6EC5"/>
    <w:rsid w:val="004C6EE5"/>
    <w:rsid w:val="004C6FD8"/>
    <w:rsid w:val="004C700F"/>
    <w:rsid w:val="004C7026"/>
    <w:rsid w:val="004C7036"/>
    <w:rsid w:val="004C7083"/>
    <w:rsid w:val="004C70D5"/>
    <w:rsid w:val="004C717C"/>
    <w:rsid w:val="004C717E"/>
    <w:rsid w:val="004C718D"/>
    <w:rsid w:val="004C72FE"/>
    <w:rsid w:val="004C7322"/>
    <w:rsid w:val="004C734B"/>
    <w:rsid w:val="004C73B1"/>
    <w:rsid w:val="004C73E5"/>
    <w:rsid w:val="004C7491"/>
    <w:rsid w:val="004C74B1"/>
    <w:rsid w:val="004C74EF"/>
    <w:rsid w:val="004C777D"/>
    <w:rsid w:val="004C779C"/>
    <w:rsid w:val="004C77A9"/>
    <w:rsid w:val="004C792E"/>
    <w:rsid w:val="004C7958"/>
    <w:rsid w:val="004C795B"/>
    <w:rsid w:val="004C79A1"/>
    <w:rsid w:val="004C79B0"/>
    <w:rsid w:val="004C79BD"/>
    <w:rsid w:val="004C79D6"/>
    <w:rsid w:val="004C7A30"/>
    <w:rsid w:val="004C7B8C"/>
    <w:rsid w:val="004C7BE1"/>
    <w:rsid w:val="004C7CBE"/>
    <w:rsid w:val="004C7CDD"/>
    <w:rsid w:val="004C7CF5"/>
    <w:rsid w:val="004C7D0E"/>
    <w:rsid w:val="004C7E8B"/>
    <w:rsid w:val="004C7F40"/>
    <w:rsid w:val="004C7F71"/>
    <w:rsid w:val="004D001C"/>
    <w:rsid w:val="004D012C"/>
    <w:rsid w:val="004D0201"/>
    <w:rsid w:val="004D0254"/>
    <w:rsid w:val="004D02E2"/>
    <w:rsid w:val="004D02FC"/>
    <w:rsid w:val="004D0367"/>
    <w:rsid w:val="004D03BA"/>
    <w:rsid w:val="004D03D3"/>
    <w:rsid w:val="004D0457"/>
    <w:rsid w:val="004D04BE"/>
    <w:rsid w:val="004D0565"/>
    <w:rsid w:val="004D056A"/>
    <w:rsid w:val="004D0616"/>
    <w:rsid w:val="004D06DF"/>
    <w:rsid w:val="004D0892"/>
    <w:rsid w:val="004D08E4"/>
    <w:rsid w:val="004D08EF"/>
    <w:rsid w:val="004D0927"/>
    <w:rsid w:val="004D0952"/>
    <w:rsid w:val="004D0970"/>
    <w:rsid w:val="004D0A41"/>
    <w:rsid w:val="004D0A72"/>
    <w:rsid w:val="004D0B20"/>
    <w:rsid w:val="004D0BC4"/>
    <w:rsid w:val="004D0C20"/>
    <w:rsid w:val="004D0C54"/>
    <w:rsid w:val="004D0C7D"/>
    <w:rsid w:val="004D0CC8"/>
    <w:rsid w:val="004D0CFA"/>
    <w:rsid w:val="004D0D12"/>
    <w:rsid w:val="004D0D61"/>
    <w:rsid w:val="004D0D75"/>
    <w:rsid w:val="004D0DB5"/>
    <w:rsid w:val="004D0DE6"/>
    <w:rsid w:val="004D0EA3"/>
    <w:rsid w:val="004D1013"/>
    <w:rsid w:val="004D1022"/>
    <w:rsid w:val="004D10EC"/>
    <w:rsid w:val="004D12FA"/>
    <w:rsid w:val="004D1333"/>
    <w:rsid w:val="004D1341"/>
    <w:rsid w:val="004D1351"/>
    <w:rsid w:val="004D1359"/>
    <w:rsid w:val="004D135E"/>
    <w:rsid w:val="004D1397"/>
    <w:rsid w:val="004D13C6"/>
    <w:rsid w:val="004D13C7"/>
    <w:rsid w:val="004D143D"/>
    <w:rsid w:val="004D1488"/>
    <w:rsid w:val="004D1538"/>
    <w:rsid w:val="004D156D"/>
    <w:rsid w:val="004D1576"/>
    <w:rsid w:val="004D15AB"/>
    <w:rsid w:val="004D17B2"/>
    <w:rsid w:val="004D17C0"/>
    <w:rsid w:val="004D1844"/>
    <w:rsid w:val="004D1899"/>
    <w:rsid w:val="004D1923"/>
    <w:rsid w:val="004D1A3C"/>
    <w:rsid w:val="004D1A6E"/>
    <w:rsid w:val="004D1A85"/>
    <w:rsid w:val="004D1BF1"/>
    <w:rsid w:val="004D1BFF"/>
    <w:rsid w:val="004D1C82"/>
    <w:rsid w:val="004D1D2E"/>
    <w:rsid w:val="004D1D88"/>
    <w:rsid w:val="004D1DB6"/>
    <w:rsid w:val="004D1DDE"/>
    <w:rsid w:val="004D1DFE"/>
    <w:rsid w:val="004D1E30"/>
    <w:rsid w:val="004D1E70"/>
    <w:rsid w:val="004D1E80"/>
    <w:rsid w:val="004D2136"/>
    <w:rsid w:val="004D21BD"/>
    <w:rsid w:val="004D21E5"/>
    <w:rsid w:val="004D223F"/>
    <w:rsid w:val="004D2337"/>
    <w:rsid w:val="004D237B"/>
    <w:rsid w:val="004D2418"/>
    <w:rsid w:val="004D2431"/>
    <w:rsid w:val="004D25E6"/>
    <w:rsid w:val="004D25FA"/>
    <w:rsid w:val="004D2631"/>
    <w:rsid w:val="004D2670"/>
    <w:rsid w:val="004D269B"/>
    <w:rsid w:val="004D26B5"/>
    <w:rsid w:val="004D2709"/>
    <w:rsid w:val="004D279C"/>
    <w:rsid w:val="004D27A9"/>
    <w:rsid w:val="004D2834"/>
    <w:rsid w:val="004D287F"/>
    <w:rsid w:val="004D28C0"/>
    <w:rsid w:val="004D28D3"/>
    <w:rsid w:val="004D290A"/>
    <w:rsid w:val="004D2A85"/>
    <w:rsid w:val="004D2BB7"/>
    <w:rsid w:val="004D2C6B"/>
    <w:rsid w:val="004D2CBA"/>
    <w:rsid w:val="004D2DD2"/>
    <w:rsid w:val="004D2FC9"/>
    <w:rsid w:val="004D3061"/>
    <w:rsid w:val="004D3088"/>
    <w:rsid w:val="004D30E0"/>
    <w:rsid w:val="004D312D"/>
    <w:rsid w:val="004D31D2"/>
    <w:rsid w:val="004D31D3"/>
    <w:rsid w:val="004D3242"/>
    <w:rsid w:val="004D3259"/>
    <w:rsid w:val="004D326E"/>
    <w:rsid w:val="004D329F"/>
    <w:rsid w:val="004D3337"/>
    <w:rsid w:val="004D33F8"/>
    <w:rsid w:val="004D3542"/>
    <w:rsid w:val="004D3589"/>
    <w:rsid w:val="004D35A9"/>
    <w:rsid w:val="004D35FE"/>
    <w:rsid w:val="004D366B"/>
    <w:rsid w:val="004D36C3"/>
    <w:rsid w:val="004D372E"/>
    <w:rsid w:val="004D379E"/>
    <w:rsid w:val="004D37C8"/>
    <w:rsid w:val="004D37F7"/>
    <w:rsid w:val="004D3836"/>
    <w:rsid w:val="004D38E1"/>
    <w:rsid w:val="004D3939"/>
    <w:rsid w:val="004D397A"/>
    <w:rsid w:val="004D3A08"/>
    <w:rsid w:val="004D3A3D"/>
    <w:rsid w:val="004D3A83"/>
    <w:rsid w:val="004D3AB3"/>
    <w:rsid w:val="004D3AD6"/>
    <w:rsid w:val="004D3B46"/>
    <w:rsid w:val="004D3B50"/>
    <w:rsid w:val="004D3B69"/>
    <w:rsid w:val="004D3BBD"/>
    <w:rsid w:val="004D3C11"/>
    <w:rsid w:val="004D3C48"/>
    <w:rsid w:val="004D3C6E"/>
    <w:rsid w:val="004D3CE2"/>
    <w:rsid w:val="004D3D35"/>
    <w:rsid w:val="004D3D68"/>
    <w:rsid w:val="004D3E2A"/>
    <w:rsid w:val="004D3E62"/>
    <w:rsid w:val="004D3ED7"/>
    <w:rsid w:val="004D3F8D"/>
    <w:rsid w:val="004D3FAE"/>
    <w:rsid w:val="004D4062"/>
    <w:rsid w:val="004D40BA"/>
    <w:rsid w:val="004D4122"/>
    <w:rsid w:val="004D4138"/>
    <w:rsid w:val="004D4217"/>
    <w:rsid w:val="004D428F"/>
    <w:rsid w:val="004D42BA"/>
    <w:rsid w:val="004D42D5"/>
    <w:rsid w:val="004D444E"/>
    <w:rsid w:val="004D4455"/>
    <w:rsid w:val="004D44AE"/>
    <w:rsid w:val="004D44FB"/>
    <w:rsid w:val="004D45B2"/>
    <w:rsid w:val="004D466B"/>
    <w:rsid w:val="004D46A4"/>
    <w:rsid w:val="004D46E4"/>
    <w:rsid w:val="004D4762"/>
    <w:rsid w:val="004D47C8"/>
    <w:rsid w:val="004D47FD"/>
    <w:rsid w:val="004D4816"/>
    <w:rsid w:val="004D486C"/>
    <w:rsid w:val="004D488E"/>
    <w:rsid w:val="004D48D1"/>
    <w:rsid w:val="004D4924"/>
    <w:rsid w:val="004D4A93"/>
    <w:rsid w:val="004D4B1A"/>
    <w:rsid w:val="004D4B2B"/>
    <w:rsid w:val="004D4C3F"/>
    <w:rsid w:val="004D4CBB"/>
    <w:rsid w:val="004D4FAC"/>
    <w:rsid w:val="004D4FD6"/>
    <w:rsid w:val="004D5025"/>
    <w:rsid w:val="004D5027"/>
    <w:rsid w:val="004D503C"/>
    <w:rsid w:val="004D5182"/>
    <w:rsid w:val="004D51BD"/>
    <w:rsid w:val="004D51C0"/>
    <w:rsid w:val="004D51D0"/>
    <w:rsid w:val="004D52A7"/>
    <w:rsid w:val="004D5367"/>
    <w:rsid w:val="004D538F"/>
    <w:rsid w:val="004D542F"/>
    <w:rsid w:val="004D5445"/>
    <w:rsid w:val="004D54D1"/>
    <w:rsid w:val="004D5611"/>
    <w:rsid w:val="004D56E1"/>
    <w:rsid w:val="004D573B"/>
    <w:rsid w:val="004D5782"/>
    <w:rsid w:val="004D5784"/>
    <w:rsid w:val="004D5868"/>
    <w:rsid w:val="004D5890"/>
    <w:rsid w:val="004D5902"/>
    <w:rsid w:val="004D59A5"/>
    <w:rsid w:val="004D5A19"/>
    <w:rsid w:val="004D5AC2"/>
    <w:rsid w:val="004D5B28"/>
    <w:rsid w:val="004D5BCB"/>
    <w:rsid w:val="004D5C35"/>
    <w:rsid w:val="004D5D02"/>
    <w:rsid w:val="004D5DC2"/>
    <w:rsid w:val="004D5DFC"/>
    <w:rsid w:val="004D5EEB"/>
    <w:rsid w:val="004D5F1D"/>
    <w:rsid w:val="004D6025"/>
    <w:rsid w:val="004D608A"/>
    <w:rsid w:val="004D6099"/>
    <w:rsid w:val="004D60C4"/>
    <w:rsid w:val="004D60E8"/>
    <w:rsid w:val="004D60EA"/>
    <w:rsid w:val="004D611E"/>
    <w:rsid w:val="004D61C9"/>
    <w:rsid w:val="004D6331"/>
    <w:rsid w:val="004D6388"/>
    <w:rsid w:val="004D640B"/>
    <w:rsid w:val="004D6410"/>
    <w:rsid w:val="004D64A4"/>
    <w:rsid w:val="004D64A5"/>
    <w:rsid w:val="004D6634"/>
    <w:rsid w:val="004D6729"/>
    <w:rsid w:val="004D672D"/>
    <w:rsid w:val="004D6826"/>
    <w:rsid w:val="004D689B"/>
    <w:rsid w:val="004D68A2"/>
    <w:rsid w:val="004D68D8"/>
    <w:rsid w:val="004D68FF"/>
    <w:rsid w:val="004D69BF"/>
    <w:rsid w:val="004D69C9"/>
    <w:rsid w:val="004D6A3E"/>
    <w:rsid w:val="004D6A40"/>
    <w:rsid w:val="004D6A42"/>
    <w:rsid w:val="004D6B01"/>
    <w:rsid w:val="004D6B07"/>
    <w:rsid w:val="004D6B68"/>
    <w:rsid w:val="004D6B98"/>
    <w:rsid w:val="004D6BA9"/>
    <w:rsid w:val="004D6C3E"/>
    <w:rsid w:val="004D6C6F"/>
    <w:rsid w:val="004D6EA9"/>
    <w:rsid w:val="004D6EF2"/>
    <w:rsid w:val="004D6F6E"/>
    <w:rsid w:val="004D700E"/>
    <w:rsid w:val="004D708E"/>
    <w:rsid w:val="004D711A"/>
    <w:rsid w:val="004D719F"/>
    <w:rsid w:val="004D728D"/>
    <w:rsid w:val="004D729F"/>
    <w:rsid w:val="004D72C7"/>
    <w:rsid w:val="004D72EC"/>
    <w:rsid w:val="004D73B6"/>
    <w:rsid w:val="004D747A"/>
    <w:rsid w:val="004D7484"/>
    <w:rsid w:val="004D74A4"/>
    <w:rsid w:val="004D74F9"/>
    <w:rsid w:val="004D763A"/>
    <w:rsid w:val="004D7673"/>
    <w:rsid w:val="004D768D"/>
    <w:rsid w:val="004D78B9"/>
    <w:rsid w:val="004D78CE"/>
    <w:rsid w:val="004D78D7"/>
    <w:rsid w:val="004D797C"/>
    <w:rsid w:val="004D7A08"/>
    <w:rsid w:val="004D7A55"/>
    <w:rsid w:val="004D7A82"/>
    <w:rsid w:val="004D7C13"/>
    <w:rsid w:val="004D7C22"/>
    <w:rsid w:val="004D7C60"/>
    <w:rsid w:val="004D7C63"/>
    <w:rsid w:val="004D7CC9"/>
    <w:rsid w:val="004D7D43"/>
    <w:rsid w:val="004D7D47"/>
    <w:rsid w:val="004D7D5D"/>
    <w:rsid w:val="004D7D7A"/>
    <w:rsid w:val="004D7E1F"/>
    <w:rsid w:val="004D7E41"/>
    <w:rsid w:val="004D7EAC"/>
    <w:rsid w:val="004D7EE8"/>
    <w:rsid w:val="004D7FC6"/>
    <w:rsid w:val="004D7FE4"/>
    <w:rsid w:val="004E0084"/>
    <w:rsid w:val="004E0180"/>
    <w:rsid w:val="004E0187"/>
    <w:rsid w:val="004E0207"/>
    <w:rsid w:val="004E0295"/>
    <w:rsid w:val="004E02B9"/>
    <w:rsid w:val="004E02D6"/>
    <w:rsid w:val="004E02DE"/>
    <w:rsid w:val="004E02E1"/>
    <w:rsid w:val="004E035D"/>
    <w:rsid w:val="004E036B"/>
    <w:rsid w:val="004E03FE"/>
    <w:rsid w:val="004E0401"/>
    <w:rsid w:val="004E0417"/>
    <w:rsid w:val="004E04CC"/>
    <w:rsid w:val="004E0501"/>
    <w:rsid w:val="004E0562"/>
    <w:rsid w:val="004E064A"/>
    <w:rsid w:val="004E066E"/>
    <w:rsid w:val="004E06C9"/>
    <w:rsid w:val="004E06EB"/>
    <w:rsid w:val="004E085C"/>
    <w:rsid w:val="004E08D4"/>
    <w:rsid w:val="004E0949"/>
    <w:rsid w:val="004E0972"/>
    <w:rsid w:val="004E09A1"/>
    <w:rsid w:val="004E09BD"/>
    <w:rsid w:val="004E09C6"/>
    <w:rsid w:val="004E0A95"/>
    <w:rsid w:val="004E0AD7"/>
    <w:rsid w:val="004E0AF3"/>
    <w:rsid w:val="004E0B83"/>
    <w:rsid w:val="004E0C09"/>
    <w:rsid w:val="004E0C5F"/>
    <w:rsid w:val="004E0C8A"/>
    <w:rsid w:val="004E0D1D"/>
    <w:rsid w:val="004E0D50"/>
    <w:rsid w:val="004E0D90"/>
    <w:rsid w:val="004E0DFE"/>
    <w:rsid w:val="004E0E5E"/>
    <w:rsid w:val="004E0ECA"/>
    <w:rsid w:val="004E0EED"/>
    <w:rsid w:val="004E0EF1"/>
    <w:rsid w:val="004E0F42"/>
    <w:rsid w:val="004E0F69"/>
    <w:rsid w:val="004E0F80"/>
    <w:rsid w:val="004E1001"/>
    <w:rsid w:val="004E106D"/>
    <w:rsid w:val="004E10CC"/>
    <w:rsid w:val="004E10FA"/>
    <w:rsid w:val="004E11C3"/>
    <w:rsid w:val="004E1257"/>
    <w:rsid w:val="004E130A"/>
    <w:rsid w:val="004E131E"/>
    <w:rsid w:val="004E1367"/>
    <w:rsid w:val="004E138D"/>
    <w:rsid w:val="004E15A8"/>
    <w:rsid w:val="004E16D4"/>
    <w:rsid w:val="004E1705"/>
    <w:rsid w:val="004E1747"/>
    <w:rsid w:val="004E1760"/>
    <w:rsid w:val="004E17A3"/>
    <w:rsid w:val="004E17D1"/>
    <w:rsid w:val="004E17E2"/>
    <w:rsid w:val="004E18A3"/>
    <w:rsid w:val="004E18DB"/>
    <w:rsid w:val="004E18E9"/>
    <w:rsid w:val="004E196A"/>
    <w:rsid w:val="004E19C5"/>
    <w:rsid w:val="004E1A0C"/>
    <w:rsid w:val="004E1A4C"/>
    <w:rsid w:val="004E1A62"/>
    <w:rsid w:val="004E1BDF"/>
    <w:rsid w:val="004E1BF9"/>
    <w:rsid w:val="004E1C6D"/>
    <w:rsid w:val="004E1C6F"/>
    <w:rsid w:val="004E1D5D"/>
    <w:rsid w:val="004E1E17"/>
    <w:rsid w:val="004E1E38"/>
    <w:rsid w:val="004E1E51"/>
    <w:rsid w:val="004E1F05"/>
    <w:rsid w:val="004E1F39"/>
    <w:rsid w:val="004E1F40"/>
    <w:rsid w:val="004E1F58"/>
    <w:rsid w:val="004E1F74"/>
    <w:rsid w:val="004E1FBE"/>
    <w:rsid w:val="004E1FE3"/>
    <w:rsid w:val="004E2040"/>
    <w:rsid w:val="004E211E"/>
    <w:rsid w:val="004E212D"/>
    <w:rsid w:val="004E2296"/>
    <w:rsid w:val="004E22E2"/>
    <w:rsid w:val="004E22F8"/>
    <w:rsid w:val="004E24A3"/>
    <w:rsid w:val="004E2525"/>
    <w:rsid w:val="004E25A0"/>
    <w:rsid w:val="004E25D7"/>
    <w:rsid w:val="004E2607"/>
    <w:rsid w:val="004E2719"/>
    <w:rsid w:val="004E2769"/>
    <w:rsid w:val="004E2777"/>
    <w:rsid w:val="004E28D5"/>
    <w:rsid w:val="004E29AE"/>
    <w:rsid w:val="004E29B1"/>
    <w:rsid w:val="004E29D9"/>
    <w:rsid w:val="004E2A95"/>
    <w:rsid w:val="004E2AE1"/>
    <w:rsid w:val="004E2AEB"/>
    <w:rsid w:val="004E2B0D"/>
    <w:rsid w:val="004E2C1D"/>
    <w:rsid w:val="004E2C30"/>
    <w:rsid w:val="004E2CF1"/>
    <w:rsid w:val="004E2D35"/>
    <w:rsid w:val="004E2E30"/>
    <w:rsid w:val="004E2E4F"/>
    <w:rsid w:val="004E2E56"/>
    <w:rsid w:val="004E2E73"/>
    <w:rsid w:val="004E2F31"/>
    <w:rsid w:val="004E2F46"/>
    <w:rsid w:val="004E2FC5"/>
    <w:rsid w:val="004E3008"/>
    <w:rsid w:val="004E3046"/>
    <w:rsid w:val="004E3193"/>
    <w:rsid w:val="004E3194"/>
    <w:rsid w:val="004E330A"/>
    <w:rsid w:val="004E335E"/>
    <w:rsid w:val="004E33B8"/>
    <w:rsid w:val="004E33E8"/>
    <w:rsid w:val="004E340F"/>
    <w:rsid w:val="004E342F"/>
    <w:rsid w:val="004E3464"/>
    <w:rsid w:val="004E34BA"/>
    <w:rsid w:val="004E34EB"/>
    <w:rsid w:val="004E3549"/>
    <w:rsid w:val="004E3594"/>
    <w:rsid w:val="004E3595"/>
    <w:rsid w:val="004E360F"/>
    <w:rsid w:val="004E367C"/>
    <w:rsid w:val="004E3735"/>
    <w:rsid w:val="004E37FE"/>
    <w:rsid w:val="004E39C1"/>
    <w:rsid w:val="004E3A16"/>
    <w:rsid w:val="004E3AB6"/>
    <w:rsid w:val="004E3C16"/>
    <w:rsid w:val="004E3D8A"/>
    <w:rsid w:val="004E3DAA"/>
    <w:rsid w:val="004E3DAE"/>
    <w:rsid w:val="004E3DCF"/>
    <w:rsid w:val="004E3E75"/>
    <w:rsid w:val="004E3EAF"/>
    <w:rsid w:val="004E4029"/>
    <w:rsid w:val="004E40B6"/>
    <w:rsid w:val="004E40CF"/>
    <w:rsid w:val="004E4182"/>
    <w:rsid w:val="004E41B1"/>
    <w:rsid w:val="004E4241"/>
    <w:rsid w:val="004E4250"/>
    <w:rsid w:val="004E43D0"/>
    <w:rsid w:val="004E43F3"/>
    <w:rsid w:val="004E4440"/>
    <w:rsid w:val="004E45A0"/>
    <w:rsid w:val="004E45C1"/>
    <w:rsid w:val="004E45FE"/>
    <w:rsid w:val="004E4677"/>
    <w:rsid w:val="004E46CD"/>
    <w:rsid w:val="004E4780"/>
    <w:rsid w:val="004E4852"/>
    <w:rsid w:val="004E48BF"/>
    <w:rsid w:val="004E496D"/>
    <w:rsid w:val="004E4992"/>
    <w:rsid w:val="004E4BD7"/>
    <w:rsid w:val="004E4CE5"/>
    <w:rsid w:val="004E4D26"/>
    <w:rsid w:val="004E4D38"/>
    <w:rsid w:val="004E4DC6"/>
    <w:rsid w:val="004E4E18"/>
    <w:rsid w:val="004E4E3C"/>
    <w:rsid w:val="004E4EC2"/>
    <w:rsid w:val="004E4FB7"/>
    <w:rsid w:val="004E501B"/>
    <w:rsid w:val="004E5082"/>
    <w:rsid w:val="004E5096"/>
    <w:rsid w:val="004E519F"/>
    <w:rsid w:val="004E5283"/>
    <w:rsid w:val="004E52A8"/>
    <w:rsid w:val="004E5339"/>
    <w:rsid w:val="004E5385"/>
    <w:rsid w:val="004E53CD"/>
    <w:rsid w:val="004E53D7"/>
    <w:rsid w:val="004E540A"/>
    <w:rsid w:val="004E55DD"/>
    <w:rsid w:val="004E564E"/>
    <w:rsid w:val="004E56A7"/>
    <w:rsid w:val="004E56C7"/>
    <w:rsid w:val="004E58A0"/>
    <w:rsid w:val="004E590F"/>
    <w:rsid w:val="004E594B"/>
    <w:rsid w:val="004E59BF"/>
    <w:rsid w:val="004E5A12"/>
    <w:rsid w:val="004E5AA0"/>
    <w:rsid w:val="004E5B04"/>
    <w:rsid w:val="004E5CBC"/>
    <w:rsid w:val="004E5D46"/>
    <w:rsid w:val="004E5D79"/>
    <w:rsid w:val="004E5DBC"/>
    <w:rsid w:val="004E5E9C"/>
    <w:rsid w:val="004E5E9E"/>
    <w:rsid w:val="004E5EAD"/>
    <w:rsid w:val="004E5F69"/>
    <w:rsid w:val="004E5F7E"/>
    <w:rsid w:val="004E5FB8"/>
    <w:rsid w:val="004E609C"/>
    <w:rsid w:val="004E60BC"/>
    <w:rsid w:val="004E610C"/>
    <w:rsid w:val="004E616B"/>
    <w:rsid w:val="004E618D"/>
    <w:rsid w:val="004E619C"/>
    <w:rsid w:val="004E619D"/>
    <w:rsid w:val="004E61BB"/>
    <w:rsid w:val="004E6212"/>
    <w:rsid w:val="004E626B"/>
    <w:rsid w:val="004E63AD"/>
    <w:rsid w:val="004E63AF"/>
    <w:rsid w:val="004E63F7"/>
    <w:rsid w:val="004E6434"/>
    <w:rsid w:val="004E646E"/>
    <w:rsid w:val="004E6489"/>
    <w:rsid w:val="004E6520"/>
    <w:rsid w:val="004E6539"/>
    <w:rsid w:val="004E6557"/>
    <w:rsid w:val="004E657E"/>
    <w:rsid w:val="004E6682"/>
    <w:rsid w:val="004E677F"/>
    <w:rsid w:val="004E67A2"/>
    <w:rsid w:val="004E681B"/>
    <w:rsid w:val="004E6862"/>
    <w:rsid w:val="004E6901"/>
    <w:rsid w:val="004E6956"/>
    <w:rsid w:val="004E6958"/>
    <w:rsid w:val="004E6961"/>
    <w:rsid w:val="004E6996"/>
    <w:rsid w:val="004E69A5"/>
    <w:rsid w:val="004E69ED"/>
    <w:rsid w:val="004E69FB"/>
    <w:rsid w:val="004E6A8C"/>
    <w:rsid w:val="004E6C9C"/>
    <w:rsid w:val="004E6D02"/>
    <w:rsid w:val="004E6D63"/>
    <w:rsid w:val="004E6DBB"/>
    <w:rsid w:val="004E6DFF"/>
    <w:rsid w:val="004E6F01"/>
    <w:rsid w:val="004E6F6D"/>
    <w:rsid w:val="004E6F7A"/>
    <w:rsid w:val="004E705F"/>
    <w:rsid w:val="004E70AD"/>
    <w:rsid w:val="004E70B5"/>
    <w:rsid w:val="004E70F1"/>
    <w:rsid w:val="004E711E"/>
    <w:rsid w:val="004E732B"/>
    <w:rsid w:val="004E73F6"/>
    <w:rsid w:val="004E73FC"/>
    <w:rsid w:val="004E7405"/>
    <w:rsid w:val="004E7435"/>
    <w:rsid w:val="004E7479"/>
    <w:rsid w:val="004E7480"/>
    <w:rsid w:val="004E74DE"/>
    <w:rsid w:val="004E7525"/>
    <w:rsid w:val="004E759F"/>
    <w:rsid w:val="004E75DC"/>
    <w:rsid w:val="004E75FA"/>
    <w:rsid w:val="004E7605"/>
    <w:rsid w:val="004E7682"/>
    <w:rsid w:val="004E7784"/>
    <w:rsid w:val="004E779F"/>
    <w:rsid w:val="004E785A"/>
    <w:rsid w:val="004E78AF"/>
    <w:rsid w:val="004E79FD"/>
    <w:rsid w:val="004E7A8E"/>
    <w:rsid w:val="004E7B77"/>
    <w:rsid w:val="004E7BB9"/>
    <w:rsid w:val="004E7BD6"/>
    <w:rsid w:val="004E7BFA"/>
    <w:rsid w:val="004E7C61"/>
    <w:rsid w:val="004E7CA4"/>
    <w:rsid w:val="004E7D62"/>
    <w:rsid w:val="004E7D65"/>
    <w:rsid w:val="004E7D84"/>
    <w:rsid w:val="004E7D9B"/>
    <w:rsid w:val="004E7FB6"/>
    <w:rsid w:val="004F0073"/>
    <w:rsid w:val="004F008D"/>
    <w:rsid w:val="004F00BC"/>
    <w:rsid w:val="004F015E"/>
    <w:rsid w:val="004F020B"/>
    <w:rsid w:val="004F021E"/>
    <w:rsid w:val="004F0336"/>
    <w:rsid w:val="004F036B"/>
    <w:rsid w:val="004F039F"/>
    <w:rsid w:val="004F03C4"/>
    <w:rsid w:val="004F0451"/>
    <w:rsid w:val="004F047C"/>
    <w:rsid w:val="004F04CF"/>
    <w:rsid w:val="004F0569"/>
    <w:rsid w:val="004F05ED"/>
    <w:rsid w:val="004F0614"/>
    <w:rsid w:val="004F069A"/>
    <w:rsid w:val="004F0724"/>
    <w:rsid w:val="004F077B"/>
    <w:rsid w:val="004F07AD"/>
    <w:rsid w:val="004F08B3"/>
    <w:rsid w:val="004F08C9"/>
    <w:rsid w:val="004F0A87"/>
    <w:rsid w:val="004F0ACF"/>
    <w:rsid w:val="004F0B7B"/>
    <w:rsid w:val="004F0B92"/>
    <w:rsid w:val="004F0C1B"/>
    <w:rsid w:val="004F0C70"/>
    <w:rsid w:val="004F0D79"/>
    <w:rsid w:val="004F0DA0"/>
    <w:rsid w:val="004F0E2D"/>
    <w:rsid w:val="004F0EB9"/>
    <w:rsid w:val="004F0F12"/>
    <w:rsid w:val="004F0F79"/>
    <w:rsid w:val="004F1040"/>
    <w:rsid w:val="004F1045"/>
    <w:rsid w:val="004F10D4"/>
    <w:rsid w:val="004F1108"/>
    <w:rsid w:val="004F1145"/>
    <w:rsid w:val="004F1263"/>
    <w:rsid w:val="004F1296"/>
    <w:rsid w:val="004F1338"/>
    <w:rsid w:val="004F13A8"/>
    <w:rsid w:val="004F13B4"/>
    <w:rsid w:val="004F13E6"/>
    <w:rsid w:val="004F1416"/>
    <w:rsid w:val="004F158C"/>
    <w:rsid w:val="004F15BC"/>
    <w:rsid w:val="004F165A"/>
    <w:rsid w:val="004F16AD"/>
    <w:rsid w:val="004F17D3"/>
    <w:rsid w:val="004F1801"/>
    <w:rsid w:val="004F1841"/>
    <w:rsid w:val="004F1843"/>
    <w:rsid w:val="004F184B"/>
    <w:rsid w:val="004F18CD"/>
    <w:rsid w:val="004F18E0"/>
    <w:rsid w:val="004F1A0E"/>
    <w:rsid w:val="004F1A4A"/>
    <w:rsid w:val="004F1C91"/>
    <w:rsid w:val="004F1D3A"/>
    <w:rsid w:val="004F1D70"/>
    <w:rsid w:val="004F1D79"/>
    <w:rsid w:val="004F1DDB"/>
    <w:rsid w:val="004F1E6D"/>
    <w:rsid w:val="004F1EAD"/>
    <w:rsid w:val="004F1EE3"/>
    <w:rsid w:val="004F1F08"/>
    <w:rsid w:val="004F1F46"/>
    <w:rsid w:val="004F1F49"/>
    <w:rsid w:val="004F1F4C"/>
    <w:rsid w:val="004F1F7A"/>
    <w:rsid w:val="004F1F8A"/>
    <w:rsid w:val="004F1FD0"/>
    <w:rsid w:val="004F2014"/>
    <w:rsid w:val="004F223A"/>
    <w:rsid w:val="004F22A5"/>
    <w:rsid w:val="004F234A"/>
    <w:rsid w:val="004F265F"/>
    <w:rsid w:val="004F273F"/>
    <w:rsid w:val="004F2786"/>
    <w:rsid w:val="004F27F3"/>
    <w:rsid w:val="004F27F9"/>
    <w:rsid w:val="004F287E"/>
    <w:rsid w:val="004F2886"/>
    <w:rsid w:val="004F2887"/>
    <w:rsid w:val="004F28E1"/>
    <w:rsid w:val="004F2938"/>
    <w:rsid w:val="004F2AC4"/>
    <w:rsid w:val="004F2B83"/>
    <w:rsid w:val="004F2C8E"/>
    <w:rsid w:val="004F2CAD"/>
    <w:rsid w:val="004F2D08"/>
    <w:rsid w:val="004F2D19"/>
    <w:rsid w:val="004F2D7A"/>
    <w:rsid w:val="004F2E03"/>
    <w:rsid w:val="004F2E2B"/>
    <w:rsid w:val="004F2EA8"/>
    <w:rsid w:val="004F2F10"/>
    <w:rsid w:val="004F2F62"/>
    <w:rsid w:val="004F2FA0"/>
    <w:rsid w:val="004F2FC1"/>
    <w:rsid w:val="004F3079"/>
    <w:rsid w:val="004F30E4"/>
    <w:rsid w:val="004F30EB"/>
    <w:rsid w:val="004F31A5"/>
    <w:rsid w:val="004F33E3"/>
    <w:rsid w:val="004F342B"/>
    <w:rsid w:val="004F3469"/>
    <w:rsid w:val="004F34C2"/>
    <w:rsid w:val="004F34DD"/>
    <w:rsid w:val="004F3503"/>
    <w:rsid w:val="004F3606"/>
    <w:rsid w:val="004F36D5"/>
    <w:rsid w:val="004F3728"/>
    <w:rsid w:val="004F3770"/>
    <w:rsid w:val="004F37E9"/>
    <w:rsid w:val="004F38B7"/>
    <w:rsid w:val="004F38BA"/>
    <w:rsid w:val="004F3922"/>
    <w:rsid w:val="004F39B2"/>
    <w:rsid w:val="004F3A17"/>
    <w:rsid w:val="004F3A2A"/>
    <w:rsid w:val="004F3B23"/>
    <w:rsid w:val="004F3B36"/>
    <w:rsid w:val="004F3C33"/>
    <w:rsid w:val="004F3C63"/>
    <w:rsid w:val="004F3C6E"/>
    <w:rsid w:val="004F3C84"/>
    <w:rsid w:val="004F3D21"/>
    <w:rsid w:val="004F3D83"/>
    <w:rsid w:val="004F3DB2"/>
    <w:rsid w:val="004F3E10"/>
    <w:rsid w:val="004F3E12"/>
    <w:rsid w:val="004F3E32"/>
    <w:rsid w:val="004F3F73"/>
    <w:rsid w:val="004F3F93"/>
    <w:rsid w:val="004F41B0"/>
    <w:rsid w:val="004F41CA"/>
    <w:rsid w:val="004F41F4"/>
    <w:rsid w:val="004F4222"/>
    <w:rsid w:val="004F4289"/>
    <w:rsid w:val="004F42BC"/>
    <w:rsid w:val="004F42BF"/>
    <w:rsid w:val="004F42F6"/>
    <w:rsid w:val="004F43BE"/>
    <w:rsid w:val="004F4518"/>
    <w:rsid w:val="004F4540"/>
    <w:rsid w:val="004F45C2"/>
    <w:rsid w:val="004F45E2"/>
    <w:rsid w:val="004F4606"/>
    <w:rsid w:val="004F4672"/>
    <w:rsid w:val="004F46C5"/>
    <w:rsid w:val="004F46F9"/>
    <w:rsid w:val="004F4750"/>
    <w:rsid w:val="004F476E"/>
    <w:rsid w:val="004F47CF"/>
    <w:rsid w:val="004F4840"/>
    <w:rsid w:val="004F48B4"/>
    <w:rsid w:val="004F48D8"/>
    <w:rsid w:val="004F4977"/>
    <w:rsid w:val="004F49A9"/>
    <w:rsid w:val="004F4AE5"/>
    <w:rsid w:val="004F4B02"/>
    <w:rsid w:val="004F4C61"/>
    <w:rsid w:val="004F4C7E"/>
    <w:rsid w:val="004F4D52"/>
    <w:rsid w:val="004F4D55"/>
    <w:rsid w:val="004F4EA8"/>
    <w:rsid w:val="004F4F72"/>
    <w:rsid w:val="004F4FD4"/>
    <w:rsid w:val="004F511A"/>
    <w:rsid w:val="004F519C"/>
    <w:rsid w:val="004F51E4"/>
    <w:rsid w:val="004F52BF"/>
    <w:rsid w:val="004F52C5"/>
    <w:rsid w:val="004F5335"/>
    <w:rsid w:val="004F5344"/>
    <w:rsid w:val="004F53F7"/>
    <w:rsid w:val="004F5461"/>
    <w:rsid w:val="004F548E"/>
    <w:rsid w:val="004F550A"/>
    <w:rsid w:val="004F5568"/>
    <w:rsid w:val="004F55DB"/>
    <w:rsid w:val="004F569F"/>
    <w:rsid w:val="004F5761"/>
    <w:rsid w:val="004F57C2"/>
    <w:rsid w:val="004F58AE"/>
    <w:rsid w:val="004F58EE"/>
    <w:rsid w:val="004F5922"/>
    <w:rsid w:val="004F59D6"/>
    <w:rsid w:val="004F59FB"/>
    <w:rsid w:val="004F5AD1"/>
    <w:rsid w:val="004F5ADC"/>
    <w:rsid w:val="004F5C50"/>
    <w:rsid w:val="004F5C87"/>
    <w:rsid w:val="004F5CA5"/>
    <w:rsid w:val="004F5CB5"/>
    <w:rsid w:val="004F5DAD"/>
    <w:rsid w:val="004F5E88"/>
    <w:rsid w:val="004F5E8E"/>
    <w:rsid w:val="004F5EDE"/>
    <w:rsid w:val="004F609F"/>
    <w:rsid w:val="004F612F"/>
    <w:rsid w:val="004F614E"/>
    <w:rsid w:val="004F6175"/>
    <w:rsid w:val="004F626F"/>
    <w:rsid w:val="004F6285"/>
    <w:rsid w:val="004F631F"/>
    <w:rsid w:val="004F638F"/>
    <w:rsid w:val="004F6442"/>
    <w:rsid w:val="004F6449"/>
    <w:rsid w:val="004F651A"/>
    <w:rsid w:val="004F6550"/>
    <w:rsid w:val="004F66DC"/>
    <w:rsid w:val="004F6716"/>
    <w:rsid w:val="004F67B4"/>
    <w:rsid w:val="004F67D5"/>
    <w:rsid w:val="004F681A"/>
    <w:rsid w:val="004F6853"/>
    <w:rsid w:val="004F689B"/>
    <w:rsid w:val="004F69E5"/>
    <w:rsid w:val="004F6A95"/>
    <w:rsid w:val="004F6AE3"/>
    <w:rsid w:val="004F6B7D"/>
    <w:rsid w:val="004F6BFC"/>
    <w:rsid w:val="004F6C06"/>
    <w:rsid w:val="004F6C11"/>
    <w:rsid w:val="004F6C34"/>
    <w:rsid w:val="004F6DFC"/>
    <w:rsid w:val="004F6E00"/>
    <w:rsid w:val="004F6FDE"/>
    <w:rsid w:val="004F704C"/>
    <w:rsid w:val="004F7146"/>
    <w:rsid w:val="004F71B1"/>
    <w:rsid w:val="004F72EA"/>
    <w:rsid w:val="004F72ED"/>
    <w:rsid w:val="004F731A"/>
    <w:rsid w:val="004F7433"/>
    <w:rsid w:val="004F74EE"/>
    <w:rsid w:val="004F7618"/>
    <w:rsid w:val="004F7710"/>
    <w:rsid w:val="004F77FD"/>
    <w:rsid w:val="004F787B"/>
    <w:rsid w:val="004F789E"/>
    <w:rsid w:val="004F78B4"/>
    <w:rsid w:val="004F78D7"/>
    <w:rsid w:val="004F7913"/>
    <w:rsid w:val="004F7918"/>
    <w:rsid w:val="004F7945"/>
    <w:rsid w:val="004F794F"/>
    <w:rsid w:val="004F7AE3"/>
    <w:rsid w:val="004F7AED"/>
    <w:rsid w:val="004F7BB8"/>
    <w:rsid w:val="004F7BFA"/>
    <w:rsid w:val="004F7CD4"/>
    <w:rsid w:val="004F7E93"/>
    <w:rsid w:val="004F7EDD"/>
    <w:rsid w:val="004F7EFA"/>
    <w:rsid w:val="004F7F54"/>
    <w:rsid w:val="004F7FEF"/>
    <w:rsid w:val="005000FB"/>
    <w:rsid w:val="005001C2"/>
    <w:rsid w:val="005001F3"/>
    <w:rsid w:val="0050023D"/>
    <w:rsid w:val="00500308"/>
    <w:rsid w:val="0050034A"/>
    <w:rsid w:val="005003C2"/>
    <w:rsid w:val="00500420"/>
    <w:rsid w:val="0050051E"/>
    <w:rsid w:val="005005B0"/>
    <w:rsid w:val="005005E2"/>
    <w:rsid w:val="00500602"/>
    <w:rsid w:val="00500741"/>
    <w:rsid w:val="005007D4"/>
    <w:rsid w:val="005008C9"/>
    <w:rsid w:val="005009E2"/>
    <w:rsid w:val="00500A0E"/>
    <w:rsid w:val="00500A81"/>
    <w:rsid w:val="00500A90"/>
    <w:rsid w:val="00500A9E"/>
    <w:rsid w:val="00500C4E"/>
    <w:rsid w:val="00500CC9"/>
    <w:rsid w:val="00500CF9"/>
    <w:rsid w:val="00500D30"/>
    <w:rsid w:val="00500D79"/>
    <w:rsid w:val="00500E29"/>
    <w:rsid w:val="00500E41"/>
    <w:rsid w:val="00500E48"/>
    <w:rsid w:val="00500E8B"/>
    <w:rsid w:val="00500EA1"/>
    <w:rsid w:val="00500F56"/>
    <w:rsid w:val="00500FCB"/>
    <w:rsid w:val="00501081"/>
    <w:rsid w:val="00501094"/>
    <w:rsid w:val="0050116D"/>
    <w:rsid w:val="005011CF"/>
    <w:rsid w:val="0050126B"/>
    <w:rsid w:val="0050129F"/>
    <w:rsid w:val="005012FB"/>
    <w:rsid w:val="00501329"/>
    <w:rsid w:val="00501351"/>
    <w:rsid w:val="0050136A"/>
    <w:rsid w:val="005013B4"/>
    <w:rsid w:val="005014F9"/>
    <w:rsid w:val="0050165D"/>
    <w:rsid w:val="005016A2"/>
    <w:rsid w:val="005017D2"/>
    <w:rsid w:val="00501801"/>
    <w:rsid w:val="00501818"/>
    <w:rsid w:val="005018A4"/>
    <w:rsid w:val="005018E1"/>
    <w:rsid w:val="0050194E"/>
    <w:rsid w:val="00501979"/>
    <w:rsid w:val="00501994"/>
    <w:rsid w:val="005019B0"/>
    <w:rsid w:val="00501A45"/>
    <w:rsid w:val="00501A63"/>
    <w:rsid w:val="00501AEB"/>
    <w:rsid w:val="00501B85"/>
    <w:rsid w:val="00501CDB"/>
    <w:rsid w:val="00501CFA"/>
    <w:rsid w:val="00501D2F"/>
    <w:rsid w:val="00501E9F"/>
    <w:rsid w:val="00501F0D"/>
    <w:rsid w:val="00501F3B"/>
    <w:rsid w:val="00501F41"/>
    <w:rsid w:val="00501F52"/>
    <w:rsid w:val="005020F1"/>
    <w:rsid w:val="0050213C"/>
    <w:rsid w:val="005021C1"/>
    <w:rsid w:val="00502249"/>
    <w:rsid w:val="005022A2"/>
    <w:rsid w:val="005022E4"/>
    <w:rsid w:val="005022FB"/>
    <w:rsid w:val="00502342"/>
    <w:rsid w:val="005023B0"/>
    <w:rsid w:val="00502514"/>
    <w:rsid w:val="0050254E"/>
    <w:rsid w:val="00502572"/>
    <w:rsid w:val="005025CA"/>
    <w:rsid w:val="005025F6"/>
    <w:rsid w:val="00502645"/>
    <w:rsid w:val="005026AF"/>
    <w:rsid w:val="005027A7"/>
    <w:rsid w:val="005027BD"/>
    <w:rsid w:val="00502853"/>
    <w:rsid w:val="00502880"/>
    <w:rsid w:val="005028CA"/>
    <w:rsid w:val="0050295F"/>
    <w:rsid w:val="00502A93"/>
    <w:rsid w:val="00502B0A"/>
    <w:rsid w:val="00502B7B"/>
    <w:rsid w:val="00502C37"/>
    <w:rsid w:val="00502C60"/>
    <w:rsid w:val="00502C67"/>
    <w:rsid w:val="00502C69"/>
    <w:rsid w:val="00502C92"/>
    <w:rsid w:val="00502CE6"/>
    <w:rsid w:val="00502D05"/>
    <w:rsid w:val="00502DCA"/>
    <w:rsid w:val="00502DEF"/>
    <w:rsid w:val="00502E8C"/>
    <w:rsid w:val="00502F32"/>
    <w:rsid w:val="00502F48"/>
    <w:rsid w:val="00502FC0"/>
    <w:rsid w:val="00502FC2"/>
    <w:rsid w:val="00503020"/>
    <w:rsid w:val="00503036"/>
    <w:rsid w:val="00503085"/>
    <w:rsid w:val="005030B5"/>
    <w:rsid w:val="005030EF"/>
    <w:rsid w:val="0050317F"/>
    <w:rsid w:val="005031A6"/>
    <w:rsid w:val="00503242"/>
    <w:rsid w:val="005032AB"/>
    <w:rsid w:val="005032ED"/>
    <w:rsid w:val="00503423"/>
    <w:rsid w:val="00503477"/>
    <w:rsid w:val="00503505"/>
    <w:rsid w:val="0050361B"/>
    <w:rsid w:val="0050369F"/>
    <w:rsid w:val="005036DE"/>
    <w:rsid w:val="005036EA"/>
    <w:rsid w:val="00503757"/>
    <w:rsid w:val="00503760"/>
    <w:rsid w:val="005037A9"/>
    <w:rsid w:val="005037DB"/>
    <w:rsid w:val="0050380A"/>
    <w:rsid w:val="00503855"/>
    <w:rsid w:val="00503895"/>
    <w:rsid w:val="00503A01"/>
    <w:rsid w:val="00503A80"/>
    <w:rsid w:val="00503A8B"/>
    <w:rsid w:val="00503BAB"/>
    <w:rsid w:val="00503C7C"/>
    <w:rsid w:val="00503C82"/>
    <w:rsid w:val="00503C98"/>
    <w:rsid w:val="00503D31"/>
    <w:rsid w:val="00503D42"/>
    <w:rsid w:val="00503D5A"/>
    <w:rsid w:val="00503DD6"/>
    <w:rsid w:val="00503E56"/>
    <w:rsid w:val="00503F3E"/>
    <w:rsid w:val="00503F52"/>
    <w:rsid w:val="0050408D"/>
    <w:rsid w:val="005040C6"/>
    <w:rsid w:val="005041AC"/>
    <w:rsid w:val="005041D3"/>
    <w:rsid w:val="005041F9"/>
    <w:rsid w:val="0050427E"/>
    <w:rsid w:val="005042C4"/>
    <w:rsid w:val="005042D6"/>
    <w:rsid w:val="00504388"/>
    <w:rsid w:val="005044A6"/>
    <w:rsid w:val="005044D7"/>
    <w:rsid w:val="00504535"/>
    <w:rsid w:val="00504721"/>
    <w:rsid w:val="00504732"/>
    <w:rsid w:val="00504733"/>
    <w:rsid w:val="00504774"/>
    <w:rsid w:val="0050477C"/>
    <w:rsid w:val="005047F3"/>
    <w:rsid w:val="005048EE"/>
    <w:rsid w:val="00504963"/>
    <w:rsid w:val="005049E6"/>
    <w:rsid w:val="00504A1D"/>
    <w:rsid w:val="00504A9E"/>
    <w:rsid w:val="00504AD1"/>
    <w:rsid w:val="00504B43"/>
    <w:rsid w:val="00504BC7"/>
    <w:rsid w:val="00504BF0"/>
    <w:rsid w:val="00504C4E"/>
    <w:rsid w:val="00504C52"/>
    <w:rsid w:val="00504C8D"/>
    <w:rsid w:val="00504CBC"/>
    <w:rsid w:val="00504D18"/>
    <w:rsid w:val="00504DF0"/>
    <w:rsid w:val="00504E01"/>
    <w:rsid w:val="00504F66"/>
    <w:rsid w:val="00504FBF"/>
    <w:rsid w:val="00504FFB"/>
    <w:rsid w:val="00505048"/>
    <w:rsid w:val="00505101"/>
    <w:rsid w:val="0050515F"/>
    <w:rsid w:val="00505212"/>
    <w:rsid w:val="0050532A"/>
    <w:rsid w:val="0050544A"/>
    <w:rsid w:val="0050544B"/>
    <w:rsid w:val="00505460"/>
    <w:rsid w:val="005054FF"/>
    <w:rsid w:val="00505556"/>
    <w:rsid w:val="00505559"/>
    <w:rsid w:val="0050557A"/>
    <w:rsid w:val="005055E6"/>
    <w:rsid w:val="0050565A"/>
    <w:rsid w:val="0050569B"/>
    <w:rsid w:val="005056F6"/>
    <w:rsid w:val="0050575B"/>
    <w:rsid w:val="005057C1"/>
    <w:rsid w:val="00505972"/>
    <w:rsid w:val="005059AE"/>
    <w:rsid w:val="00505A2E"/>
    <w:rsid w:val="00505A5A"/>
    <w:rsid w:val="00505AC4"/>
    <w:rsid w:val="00505AFF"/>
    <w:rsid w:val="00505BC2"/>
    <w:rsid w:val="00505BD3"/>
    <w:rsid w:val="00505E75"/>
    <w:rsid w:val="00505EB7"/>
    <w:rsid w:val="00505EBD"/>
    <w:rsid w:val="00505EF5"/>
    <w:rsid w:val="00505FA1"/>
    <w:rsid w:val="005060AC"/>
    <w:rsid w:val="005060B0"/>
    <w:rsid w:val="00506101"/>
    <w:rsid w:val="00506137"/>
    <w:rsid w:val="00506155"/>
    <w:rsid w:val="00506175"/>
    <w:rsid w:val="00506183"/>
    <w:rsid w:val="00506254"/>
    <w:rsid w:val="005062F6"/>
    <w:rsid w:val="005063D2"/>
    <w:rsid w:val="005064D7"/>
    <w:rsid w:val="0050651F"/>
    <w:rsid w:val="0050656C"/>
    <w:rsid w:val="00506617"/>
    <w:rsid w:val="0050661F"/>
    <w:rsid w:val="00506669"/>
    <w:rsid w:val="00506688"/>
    <w:rsid w:val="00506700"/>
    <w:rsid w:val="00506803"/>
    <w:rsid w:val="00506874"/>
    <w:rsid w:val="00506952"/>
    <w:rsid w:val="005069B8"/>
    <w:rsid w:val="005069BA"/>
    <w:rsid w:val="00506A35"/>
    <w:rsid w:val="00506A52"/>
    <w:rsid w:val="00506AC7"/>
    <w:rsid w:val="00506AD8"/>
    <w:rsid w:val="00506B12"/>
    <w:rsid w:val="00506B92"/>
    <w:rsid w:val="00506B97"/>
    <w:rsid w:val="00506BC1"/>
    <w:rsid w:val="00506D71"/>
    <w:rsid w:val="00506DA9"/>
    <w:rsid w:val="00506E47"/>
    <w:rsid w:val="00506E54"/>
    <w:rsid w:val="00506E5E"/>
    <w:rsid w:val="00506F19"/>
    <w:rsid w:val="00506F7C"/>
    <w:rsid w:val="00506FEA"/>
    <w:rsid w:val="00506FEE"/>
    <w:rsid w:val="00507111"/>
    <w:rsid w:val="005071BC"/>
    <w:rsid w:val="00507210"/>
    <w:rsid w:val="00507232"/>
    <w:rsid w:val="00507234"/>
    <w:rsid w:val="005072D0"/>
    <w:rsid w:val="00507371"/>
    <w:rsid w:val="005073EA"/>
    <w:rsid w:val="00507463"/>
    <w:rsid w:val="005075C4"/>
    <w:rsid w:val="00507662"/>
    <w:rsid w:val="005076A2"/>
    <w:rsid w:val="005076BD"/>
    <w:rsid w:val="00507824"/>
    <w:rsid w:val="0050797D"/>
    <w:rsid w:val="00507982"/>
    <w:rsid w:val="005079A2"/>
    <w:rsid w:val="005079B0"/>
    <w:rsid w:val="00507A08"/>
    <w:rsid w:val="00507AE8"/>
    <w:rsid w:val="00507AF2"/>
    <w:rsid w:val="00507B9D"/>
    <w:rsid w:val="00507CFC"/>
    <w:rsid w:val="00507D28"/>
    <w:rsid w:val="00507DDD"/>
    <w:rsid w:val="00507DEE"/>
    <w:rsid w:val="00507F13"/>
    <w:rsid w:val="00507F76"/>
    <w:rsid w:val="00507FC8"/>
    <w:rsid w:val="00510041"/>
    <w:rsid w:val="00510049"/>
    <w:rsid w:val="005100D6"/>
    <w:rsid w:val="005100F1"/>
    <w:rsid w:val="00510190"/>
    <w:rsid w:val="005101D5"/>
    <w:rsid w:val="005102B3"/>
    <w:rsid w:val="00510347"/>
    <w:rsid w:val="00510469"/>
    <w:rsid w:val="005104C9"/>
    <w:rsid w:val="00510508"/>
    <w:rsid w:val="00510601"/>
    <w:rsid w:val="00510636"/>
    <w:rsid w:val="00510667"/>
    <w:rsid w:val="00510695"/>
    <w:rsid w:val="005106DE"/>
    <w:rsid w:val="005107ED"/>
    <w:rsid w:val="0051080D"/>
    <w:rsid w:val="00510837"/>
    <w:rsid w:val="005108DE"/>
    <w:rsid w:val="005108F1"/>
    <w:rsid w:val="00510A6E"/>
    <w:rsid w:val="00510AE0"/>
    <w:rsid w:val="00510B2C"/>
    <w:rsid w:val="00510B47"/>
    <w:rsid w:val="00510BB4"/>
    <w:rsid w:val="00510BFD"/>
    <w:rsid w:val="00510C1F"/>
    <w:rsid w:val="00510CE7"/>
    <w:rsid w:val="00510D63"/>
    <w:rsid w:val="00510DAF"/>
    <w:rsid w:val="00510E21"/>
    <w:rsid w:val="00510F50"/>
    <w:rsid w:val="00510F83"/>
    <w:rsid w:val="00510FF0"/>
    <w:rsid w:val="00511110"/>
    <w:rsid w:val="0051119C"/>
    <w:rsid w:val="0051119F"/>
    <w:rsid w:val="005111C5"/>
    <w:rsid w:val="0051123E"/>
    <w:rsid w:val="00511280"/>
    <w:rsid w:val="005112B8"/>
    <w:rsid w:val="005112BB"/>
    <w:rsid w:val="005113C8"/>
    <w:rsid w:val="00511513"/>
    <w:rsid w:val="005115ED"/>
    <w:rsid w:val="00511662"/>
    <w:rsid w:val="00511728"/>
    <w:rsid w:val="005117CD"/>
    <w:rsid w:val="0051186A"/>
    <w:rsid w:val="0051191A"/>
    <w:rsid w:val="00511967"/>
    <w:rsid w:val="00511A7C"/>
    <w:rsid w:val="00511BDB"/>
    <w:rsid w:val="00511CB1"/>
    <w:rsid w:val="00511D9F"/>
    <w:rsid w:val="00511DB4"/>
    <w:rsid w:val="00511DB6"/>
    <w:rsid w:val="00511DE2"/>
    <w:rsid w:val="00511EEB"/>
    <w:rsid w:val="00511FBE"/>
    <w:rsid w:val="00511FFE"/>
    <w:rsid w:val="0051200A"/>
    <w:rsid w:val="0051201B"/>
    <w:rsid w:val="00512036"/>
    <w:rsid w:val="005121F8"/>
    <w:rsid w:val="00512297"/>
    <w:rsid w:val="0051231B"/>
    <w:rsid w:val="0051231E"/>
    <w:rsid w:val="0051234D"/>
    <w:rsid w:val="0051237A"/>
    <w:rsid w:val="00512398"/>
    <w:rsid w:val="005123B2"/>
    <w:rsid w:val="00512481"/>
    <w:rsid w:val="0051249D"/>
    <w:rsid w:val="005124FE"/>
    <w:rsid w:val="0051259A"/>
    <w:rsid w:val="005125EF"/>
    <w:rsid w:val="005125F7"/>
    <w:rsid w:val="00512669"/>
    <w:rsid w:val="005126F2"/>
    <w:rsid w:val="00512777"/>
    <w:rsid w:val="005127A0"/>
    <w:rsid w:val="005127AB"/>
    <w:rsid w:val="00512950"/>
    <w:rsid w:val="00512A68"/>
    <w:rsid w:val="00512B11"/>
    <w:rsid w:val="00512BAC"/>
    <w:rsid w:val="00512C0C"/>
    <w:rsid w:val="00512C54"/>
    <w:rsid w:val="00512D66"/>
    <w:rsid w:val="00512D90"/>
    <w:rsid w:val="00512E2F"/>
    <w:rsid w:val="00512E52"/>
    <w:rsid w:val="00512E9C"/>
    <w:rsid w:val="00512F55"/>
    <w:rsid w:val="00512F58"/>
    <w:rsid w:val="00512FB5"/>
    <w:rsid w:val="00513101"/>
    <w:rsid w:val="00513110"/>
    <w:rsid w:val="00513133"/>
    <w:rsid w:val="005132A8"/>
    <w:rsid w:val="005133B9"/>
    <w:rsid w:val="00513414"/>
    <w:rsid w:val="0051341C"/>
    <w:rsid w:val="005134B3"/>
    <w:rsid w:val="00513541"/>
    <w:rsid w:val="00513657"/>
    <w:rsid w:val="00513681"/>
    <w:rsid w:val="005136C7"/>
    <w:rsid w:val="00513702"/>
    <w:rsid w:val="00513795"/>
    <w:rsid w:val="005137DA"/>
    <w:rsid w:val="0051381F"/>
    <w:rsid w:val="0051393C"/>
    <w:rsid w:val="005139D7"/>
    <w:rsid w:val="00513A36"/>
    <w:rsid w:val="00513A3E"/>
    <w:rsid w:val="00513AA2"/>
    <w:rsid w:val="00513AE8"/>
    <w:rsid w:val="00513BA6"/>
    <w:rsid w:val="00513BC1"/>
    <w:rsid w:val="00513C5D"/>
    <w:rsid w:val="00513D67"/>
    <w:rsid w:val="00513EFF"/>
    <w:rsid w:val="00513F0E"/>
    <w:rsid w:val="00513F68"/>
    <w:rsid w:val="00513F78"/>
    <w:rsid w:val="00513FCF"/>
    <w:rsid w:val="00514174"/>
    <w:rsid w:val="00514230"/>
    <w:rsid w:val="0051423E"/>
    <w:rsid w:val="005142A7"/>
    <w:rsid w:val="00514486"/>
    <w:rsid w:val="00514558"/>
    <w:rsid w:val="005145C1"/>
    <w:rsid w:val="00514654"/>
    <w:rsid w:val="005146E1"/>
    <w:rsid w:val="005147AF"/>
    <w:rsid w:val="005147B2"/>
    <w:rsid w:val="00514823"/>
    <w:rsid w:val="005148B4"/>
    <w:rsid w:val="005148B8"/>
    <w:rsid w:val="005149C6"/>
    <w:rsid w:val="00514A2C"/>
    <w:rsid w:val="00514B51"/>
    <w:rsid w:val="00514B66"/>
    <w:rsid w:val="00514BC0"/>
    <w:rsid w:val="00514BDD"/>
    <w:rsid w:val="00514BEE"/>
    <w:rsid w:val="00514C3D"/>
    <w:rsid w:val="00514D64"/>
    <w:rsid w:val="00514D73"/>
    <w:rsid w:val="00514DEE"/>
    <w:rsid w:val="00514E26"/>
    <w:rsid w:val="00514E91"/>
    <w:rsid w:val="00514EBE"/>
    <w:rsid w:val="00514EDF"/>
    <w:rsid w:val="00514EED"/>
    <w:rsid w:val="00514F33"/>
    <w:rsid w:val="00514F8B"/>
    <w:rsid w:val="00515094"/>
    <w:rsid w:val="00515206"/>
    <w:rsid w:val="0051525F"/>
    <w:rsid w:val="00515280"/>
    <w:rsid w:val="005152FF"/>
    <w:rsid w:val="00515371"/>
    <w:rsid w:val="0051543B"/>
    <w:rsid w:val="005154BC"/>
    <w:rsid w:val="00515508"/>
    <w:rsid w:val="0051551C"/>
    <w:rsid w:val="00515530"/>
    <w:rsid w:val="005155DB"/>
    <w:rsid w:val="005155E3"/>
    <w:rsid w:val="005156F5"/>
    <w:rsid w:val="00515720"/>
    <w:rsid w:val="005157D5"/>
    <w:rsid w:val="005157E2"/>
    <w:rsid w:val="0051582A"/>
    <w:rsid w:val="005158E0"/>
    <w:rsid w:val="00515909"/>
    <w:rsid w:val="00515A65"/>
    <w:rsid w:val="00515ACD"/>
    <w:rsid w:val="00515B00"/>
    <w:rsid w:val="00515B15"/>
    <w:rsid w:val="00515B76"/>
    <w:rsid w:val="00515B7C"/>
    <w:rsid w:val="00515D0F"/>
    <w:rsid w:val="00515D2A"/>
    <w:rsid w:val="00515D32"/>
    <w:rsid w:val="00515D60"/>
    <w:rsid w:val="00515DD3"/>
    <w:rsid w:val="00515E55"/>
    <w:rsid w:val="00515F5F"/>
    <w:rsid w:val="00515FCF"/>
    <w:rsid w:val="005160C8"/>
    <w:rsid w:val="00516214"/>
    <w:rsid w:val="00516260"/>
    <w:rsid w:val="0051627B"/>
    <w:rsid w:val="0051630D"/>
    <w:rsid w:val="0051635D"/>
    <w:rsid w:val="005163EB"/>
    <w:rsid w:val="005164D2"/>
    <w:rsid w:val="0051654E"/>
    <w:rsid w:val="0051656B"/>
    <w:rsid w:val="005165EA"/>
    <w:rsid w:val="005165EC"/>
    <w:rsid w:val="005165ED"/>
    <w:rsid w:val="0051667F"/>
    <w:rsid w:val="0051668D"/>
    <w:rsid w:val="005166B5"/>
    <w:rsid w:val="005166FF"/>
    <w:rsid w:val="0051674C"/>
    <w:rsid w:val="00516755"/>
    <w:rsid w:val="005167E4"/>
    <w:rsid w:val="005167E9"/>
    <w:rsid w:val="00516816"/>
    <w:rsid w:val="005168A2"/>
    <w:rsid w:val="005168FE"/>
    <w:rsid w:val="00516903"/>
    <w:rsid w:val="005169A3"/>
    <w:rsid w:val="005169DD"/>
    <w:rsid w:val="00516B20"/>
    <w:rsid w:val="00516C19"/>
    <w:rsid w:val="00516C38"/>
    <w:rsid w:val="00516F05"/>
    <w:rsid w:val="00516F6D"/>
    <w:rsid w:val="0051707F"/>
    <w:rsid w:val="00517082"/>
    <w:rsid w:val="005170E1"/>
    <w:rsid w:val="00517138"/>
    <w:rsid w:val="0051713C"/>
    <w:rsid w:val="005171CD"/>
    <w:rsid w:val="0051730B"/>
    <w:rsid w:val="0051731E"/>
    <w:rsid w:val="00517330"/>
    <w:rsid w:val="00517333"/>
    <w:rsid w:val="0051737E"/>
    <w:rsid w:val="00517414"/>
    <w:rsid w:val="005174B0"/>
    <w:rsid w:val="0051759F"/>
    <w:rsid w:val="00517669"/>
    <w:rsid w:val="00517759"/>
    <w:rsid w:val="005177AB"/>
    <w:rsid w:val="005177DF"/>
    <w:rsid w:val="005178F2"/>
    <w:rsid w:val="0051795E"/>
    <w:rsid w:val="005179B7"/>
    <w:rsid w:val="005179D4"/>
    <w:rsid w:val="00517A62"/>
    <w:rsid w:val="00517B24"/>
    <w:rsid w:val="00517BFE"/>
    <w:rsid w:val="00517C04"/>
    <w:rsid w:val="00517C2D"/>
    <w:rsid w:val="00517C4A"/>
    <w:rsid w:val="00517CA9"/>
    <w:rsid w:val="00517CD4"/>
    <w:rsid w:val="00517DAB"/>
    <w:rsid w:val="00517DCE"/>
    <w:rsid w:val="00517DFE"/>
    <w:rsid w:val="00517E6E"/>
    <w:rsid w:val="00517F01"/>
    <w:rsid w:val="0052001B"/>
    <w:rsid w:val="005200A9"/>
    <w:rsid w:val="005200AD"/>
    <w:rsid w:val="005200D3"/>
    <w:rsid w:val="00520107"/>
    <w:rsid w:val="00520192"/>
    <w:rsid w:val="0052023C"/>
    <w:rsid w:val="0052028A"/>
    <w:rsid w:val="005202D5"/>
    <w:rsid w:val="0052036B"/>
    <w:rsid w:val="005203D8"/>
    <w:rsid w:val="005203FE"/>
    <w:rsid w:val="00520400"/>
    <w:rsid w:val="005204B0"/>
    <w:rsid w:val="005204F7"/>
    <w:rsid w:val="0052050F"/>
    <w:rsid w:val="00520597"/>
    <w:rsid w:val="00520625"/>
    <w:rsid w:val="00520687"/>
    <w:rsid w:val="00520824"/>
    <w:rsid w:val="0052088B"/>
    <w:rsid w:val="005208B2"/>
    <w:rsid w:val="005208C1"/>
    <w:rsid w:val="005208E9"/>
    <w:rsid w:val="00520969"/>
    <w:rsid w:val="005209D6"/>
    <w:rsid w:val="00520AA8"/>
    <w:rsid w:val="00520AFB"/>
    <w:rsid w:val="00520B84"/>
    <w:rsid w:val="00520C3F"/>
    <w:rsid w:val="00520C54"/>
    <w:rsid w:val="00520D69"/>
    <w:rsid w:val="00520D92"/>
    <w:rsid w:val="00520D9E"/>
    <w:rsid w:val="00520E12"/>
    <w:rsid w:val="00520E97"/>
    <w:rsid w:val="00520ECE"/>
    <w:rsid w:val="00520EED"/>
    <w:rsid w:val="00520F13"/>
    <w:rsid w:val="00520F7D"/>
    <w:rsid w:val="00521012"/>
    <w:rsid w:val="0052114B"/>
    <w:rsid w:val="00521242"/>
    <w:rsid w:val="005212C9"/>
    <w:rsid w:val="005212CC"/>
    <w:rsid w:val="005212F9"/>
    <w:rsid w:val="005212FA"/>
    <w:rsid w:val="0052132A"/>
    <w:rsid w:val="0052135A"/>
    <w:rsid w:val="00521388"/>
    <w:rsid w:val="005213A2"/>
    <w:rsid w:val="00521478"/>
    <w:rsid w:val="00521596"/>
    <w:rsid w:val="005215AB"/>
    <w:rsid w:val="005215B9"/>
    <w:rsid w:val="00521614"/>
    <w:rsid w:val="00521617"/>
    <w:rsid w:val="00521634"/>
    <w:rsid w:val="005216F4"/>
    <w:rsid w:val="00521728"/>
    <w:rsid w:val="005217A4"/>
    <w:rsid w:val="0052187B"/>
    <w:rsid w:val="005218FE"/>
    <w:rsid w:val="00521943"/>
    <w:rsid w:val="005219E6"/>
    <w:rsid w:val="00521A10"/>
    <w:rsid w:val="00521A58"/>
    <w:rsid w:val="00521A85"/>
    <w:rsid w:val="00521A9F"/>
    <w:rsid w:val="00521ADF"/>
    <w:rsid w:val="00521AE8"/>
    <w:rsid w:val="00521BA9"/>
    <w:rsid w:val="00521BB4"/>
    <w:rsid w:val="00521C1C"/>
    <w:rsid w:val="00521C22"/>
    <w:rsid w:val="00521C27"/>
    <w:rsid w:val="00521D21"/>
    <w:rsid w:val="00521D2A"/>
    <w:rsid w:val="00521D90"/>
    <w:rsid w:val="00521DCA"/>
    <w:rsid w:val="00521DD8"/>
    <w:rsid w:val="00521DFF"/>
    <w:rsid w:val="00521E20"/>
    <w:rsid w:val="00521FC6"/>
    <w:rsid w:val="00522000"/>
    <w:rsid w:val="00522063"/>
    <w:rsid w:val="00522092"/>
    <w:rsid w:val="005220B5"/>
    <w:rsid w:val="005220CC"/>
    <w:rsid w:val="0052221F"/>
    <w:rsid w:val="00522242"/>
    <w:rsid w:val="00522253"/>
    <w:rsid w:val="00522388"/>
    <w:rsid w:val="005223C0"/>
    <w:rsid w:val="005223FE"/>
    <w:rsid w:val="00522433"/>
    <w:rsid w:val="00522470"/>
    <w:rsid w:val="00522592"/>
    <w:rsid w:val="005225FD"/>
    <w:rsid w:val="0052289E"/>
    <w:rsid w:val="005228CF"/>
    <w:rsid w:val="005228DF"/>
    <w:rsid w:val="00522995"/>
    <w:rsid w:val="00522A9E"/>
    <w:rsid w:val="00522C1D"/>
    <w:rsid w:val="00522D4E"/>
    <w:rsid w:val="00522DF7"/>
    <w:rsid w:val="00522F7A"/>
    <w:rsid w:val="00522FB1"/>
    <w:rsid w:val="00522FBA"/>
    <w:rsid w:val="005230F4"/>
    <w:rsid w:val="0052315D"/>
    <w:rsid w:val="00523191"/>
    <w:rsid w:val="005231F9"/>
    <w:rsid w:val="00523241"/>
    <w:rsid w:val="00523266"/>
    <w:rsid w:val="0052327C"/>
    <w:rsid w:val="0052330B"/>
    <w:rsid w:val="0052336A"/>
    <w:rsid w:val="005234EC"/>
    <w:rsid w:val="0052351B"/>
    <w:rsid w:val="0052352E"/>
    <w:rsid w:val="005235D8"/>
    <w:rsid w:val="005235E3"/>
    <w:rsid w:val="005236A5"/>
    <w:rsid w:val="005236E8"/>
    <w:rsid w:val="00523714"/>
    <w:rsid w:val="0052387C"/>
    <w:rsid w:val="005238A8"/>
    <w:rsid w:val="005238DF"/>
    <w:rsid w:val="005238ED"/>
    <w:rsid w:val="005238EE"/>
    <w:rsid w:val="005238F7"/>
    <w:rsid w:val="00523910"/>
    <w:rsid w:val="00523A15"/>
    <w:rsid w:val="00523A9A"/>
    <w:rsid w:val="00523B53"/>
    <w:rsid w:val="00523B6A"/>
    <w:rsid w:val="00523BD5"/>
    <w:rsid w:val="00523CE9"/>
    <w:rsid w:val="00523D46"/>
    <w:rsid w:val="00523DB3"/>
    <w:rsid w:val="00523DF4"/>
    <w:rsid w:val="00523E24"/>
    <w:rsid w:val="00523E57"/>
    <w:rsid w:val="00523F09"/>
    <w:rsid w:val="00523F25"/>
    <w:rsid w:val="00523FBC"/>
    <w:rsid w:val="00523FD3"/>
    <w:rsid w:val="0052409F"/>
    <w:rsid w:val="00524147"/>
    <w:rsid w:val="005241C0"/>
    <w:rsid w:val="00524201"/>
    <w:rsid w:val="00524346"/>
    <w:rsid w:val="005243A9"/>
    <w:rsid w:val="005244BA"/>
    <w:rsid w:val="00524507"/>
    <w:rsid w:val="00524534"/>
    <w:rsid w:val="00524559"/>
    <w:rsid w:val="005245B6"/>
    <w:rsid w:val="005245FC"/>
    <w:rsid w:val="005246A1"/>
    <w:rsid w:val="005246A9"/>
    <w:rsid w:val="005247C3"/>
    <w:rsid w:val="005247C9"/>
    <w:rsid w:val="005247E2"/>
    <w:rsid w:val="00524820"/>
    <w:rsid w:val="005248A9"/>
    <w:rsid w:val="005248D8"/>
    <w:rsid w:val="005249BE"/>
    <w:rsid w:val="005249D8"/>
    <w:rsid w:val="00524A97"/>
    <w:rsid w:val="00524AF5"/>
    <w:rsid w:val="00524B0E"/>
    <w:rsid w:val="00524CD4"/>
    <w:rsid w:val="00524CFD"/>
    <w:rsid w:val="00524D1A"/>
    <w:rsid w:val="00524D1F"/>
    <w:rsid w:val="00524D2F"/>
    <w:rsid w:val="00524D74"/>
    <w:rsid w:val="00524E73"/>
    <w:rsid w:val="00524E97"/>
    <w:rsid w:val="00524E99"/>
    <w:rsid w:val="00524EA0"/>
    <w:rsid w:val="00524EDD"/>
    <w:rsid w:val="00524F1A"/>
    <w:rsid w:val="00524F63"/>
    <w:rsid w:val="00524F97"/>
    <w:rsid w:val="00524FF3"/>
    <w:rsid w:val="00524FF6"/>
    <w:rsid w:val="0052504F"/>
    <w:rsid w:val="005250EA"/>
    <w:rsid w:val="00525126"/>
    <w:rsid w:val="00525204"/>
    <w:rsid w:val="0052522C"/>
    <w:rsid w:val="0052525A"/>
    <w:rsid w:val="0052527C"/>
    <w:rsid w:val="0052528F"/>
    <w:rsid w:val="005252EA"/>
    <w:rsid w:val="00525333"/>
    <w:rsid w:val="00525385"/>
    <w:rsid w:val="005253F2"/>
    <w:rsid w:val="00525470"/>
    <w:rsid w:val="005254FA"/>
    <w:rsid w:val="005255A0"/>
    <w:rsid w:val="005255E1"/>
    <w:rsid w:val="00525639"/>
    <w:rsid w:val="00525646"/>
    <w:rsid w:val="00525676"/>
    <w:rsid w:val="0052569B"/>
    <w:rsid w:val="005256D4"/>
    <w:rsid w:val="0052570E"/>
    <w:rsid w:val="00525772"/>
    <w:rsid w:val="0052588D"/>
    <w:rsid w:val="00525892"/>
    <w:rsid w:val="0052591A"/>
    <w:rsid w:val="00525996"/>
    <w:rsid w:val="005259B8"/>
    <w:rsid w:val="00525A46"/>
    <w:rsid w:val="00525A4C"/>
    <w:rsid w:val="00525AA9"/>
    <w:rsid w:val="00525B76"/>
    <w:rsid w:val="00525C0B"/>
    <w:rsid w:val="00525C73"/>
    <w:rsid w:val="00525C9C"/>
    <w:rsid w:val="00525CDB"/>
    <w:rsid w:val="00525D56"/>
    <w:rsid w:val="00525D7F"/>
    <w:rsid w:val="00525E0B"/>
    <w:rsid w:val="00525E3E"/>
    <w:rsid w:val="00525E7D"/>
    <w:rsid w:val="00525F00"/>
    <w:rsid w:val="00525F93"/>
    <w:rsid w:val="00525FFE"/>
    <w:rsid w:val="00526094"/>
    <w:rsid w:val="00526097"/>
    <w:rsid w:val="005260F4"/>
    <w:rsid w:val="005261BD"/>
    <w:rsid w:val="00526222"/>
    <w:rsid w:val="00526283"/>
    <w:rsid w:val="00526338"/>
    <w:rsid w:val="0052633C"/>
    <w:rsid w:val="00526427"/>
    <w:rsid w:val="0052647C"/>
    <w:rsid w:val="005264C1"/>
    <w:rsid w:val="005264F3"/>
    <w:rsid w:val="00526501"/>
    <w:rsid w:val="0052652B"/>
    <w:rsid w:val="00526547"/>
    <w:rsid w:val="00526593"/>
    <w:rsid w:val="005265CA"/>
    <w:rsid w:val="0052666C"/>
    <w:rsid w:val="005266B3"/>
    <w:rsid w:val="005266EB"/>
    <w:rsid w:val="00526813"/>
    <w:rsid w:val="00526844"/>
    <w:rsid w:val="00526857"/>
    <w:rsid w:val="00526868"/>
    <w:rsid w:val="00526869"/>
    <w:rsid w:val="00526888"/>
    <w:rsid w:val="0052690B"/>
    <w:rsid w:val="00526916"/>
    <w:rsid w:val="00526987"/>
    <w:rsid w:val="00526A24"/>
    <w:rsid w:val="00526A65"/>
    <w:rsid w:val="00526A90"/>
    <w:rsid w:val="00526AF5"/>
    <w:rsid w:val="00526B1E"/>
    <w:rsid w:val="00526B31"/>
    <w:rsid w:val="00526C59"/>
    <w:rsid w:val="00526C7C"/>
    <w:rsid w:val="00526C94"/>
    <w:rsid w:val="00526E9B"/>
    <w:rsid w:val="00526F19"/>
    <w:rsid w:val="00526F1E"/>
    <w:rsid w:val="00527044"/>
    <w:rsid w:val="0052709E"/>
    <w:rsid w:val="005270C9"/>
    <w:rsid w:val="005271F8"/>
    <w:rsid w:val="00527296"/>
    <w:rsid w:val="005272E9"/>
    <w:rsid w:val="00527318"/>
    <w:rsid w:val="0052734E"/>
    <w:rsid w:val="0052746C"/>
    <w:rsid w:val="00527472"/>
    <w:rsid w:val="00527558"/>
    <w:rsid w:val="00527562"/>
    <w:rsid w:val="005275A7"/>
    <w:rsid w:val="005275BC"/>
    <w:rsid w:val="0052763C"/>
    <w:rsid w:val="00527691"/>
    <w:rsid w:val="0052777B"/>
    <w:rsid w:val="00527802"/>
    <w:rsid w:val="0052790C"/>
    <w:rsid w:val="0052791C"/>
    <w:rsid w:val="00527B35"/>
    <w:rsid w:val="00527B66"/>
    <w:rsid w:val="00527B7E"/>
    <w:rsid w:val="00527B9C"/>
    <w:rsid w:val="00527BD5"/>
    <w:rsid w:val="00527C76"/>
    <w:rsid w:val="00527CE4"/>
    <w:rsid w:val="00527CEC"/>
    <w:rsid w:val="00527CFC"/>
    <w:rsid w:val="00527D00"/>
    <w:rsid w:val="00527D69"/>
    <w:rsid w:val="00527D72"/>
    <w:rsid w:val="00527E14"/>
    <w:rsid w:val="00527E31"/>
    <w:rsid w:val="00527E38"/>
    <w:rsid w:val="00527F3E"/>
    <w:rsid w:val="00527F55"/>
    <w:rsid w:val="00527F9D"/>
    <w:rsid w:val="00527FF5"/>
    <w:rsid w:val="00530021"/>
    <w:rsid w:val="005300C6"/>
    <w:rsid w:val="005301ED"/>
    <w:rsid w:val="005302F6"/>
    <w:rsid w:val="00530327"/>
    <w:rsid w:val="005304AA"/>
    <w:rsid w:val="005304B7"/>
    <w:rsid w:val="00530688"/>
    <w:rsid w:val="005306E1"/>
    <w:rsid w:val="005307D1"/>
    <w:rsid w:val="0053081F"/>
    <w:rsid w:val="00530835"/>
    <w:rsid w:val="0053084B"/>
    <w:rsid w:val="005309CD"/>
    <w:rsid w:val="00530A26"/>
    <w:rsid w:val="00530A35"/>
    <w:rsid w:val="00530AA2"/>
    <w:rsid w:val="00530AB4"/>
    <w:rsid w:val="00530AE1"/>
    <w:rsid w:val="00530B0A"/>
    <w:rsid w:val="00530C3B"/>
    <w:rsid w:val="00530C9D"/>
    <w:rsid w:val="00530CF7"/>
    <w:rsid w:val="00530D1B"/>
    <w:rsid w:val="00530E13"/>
    <w:rsid w:val="00530E46"/>
    <w:rsid w:val="00530EF7"/>
    <w:rsid w:val="00530F3A"/>
    <w:rsid w:val="00531038"/>
    <w:rsid w:val="00531088"/>
    <w:rsid w:val="005310DE"/>
    <w:rsid w:val="005310E0"/>
    <w:rsid w:val="005310E9"/>
    <w:rsid w:val="005311E6"/>
    <w:rsid w:val="005312AF"/>
    <w:rsid w:val="005312D1"/>
    <w:rsid w:val="005312EB"/>
    <w:rsid w:val="005312F5"/>
    <w:rsid w:val="0053138D"/>
    <w:rsid w:val="005313B6"/>
    <w:rsid w:val="005313FA"/>
    <w:rsid w:val="005314A0"/>
    <w:rsid w:val="005314C9"/>
    <w:rsid w:val="005314CA"/>
    <w:rsid w:val="005314D6"/>
    <w:rsid w:val="0053150B"/>
    <w:rsid w:val="005315C3"/>
    <w:rsid w:val="00531679"/>
    <w:rsid w:val="00531680"/>
    <w:rsid w:val="005316D7"/>
    <w:rsid w:val="005317E8"/>
    <w:rsid w:val="0053186E"/>
    <w:rsid w:val="005319A1"/>
    <w:rsid w:val="005319BA"/>
    <w:rsid w:val="00531A7B"/>
    <w:rsid w:val="00531AD3"/>
    <w:rsid w:val="00531AD5"/>
    <w:rsid w:val="00531C63"/>
    <w:rsid w:val="00531CAF"/>
    <w:rsid w:val="00531DCC"/>
    <w:rsid w:val="00531E5C"/>
    <w:rsid w:val="00531E9D"/>
    <w:rsid w:val="00531EB0"/>
    <w:rsid w:val="00531F5D"/>
    <w:rsid w:val="00531FB0"/>
    <w:rsid w:val="00531FE5"/>
    <w:rsid w:val="00532029"/>
    <w:rsid w:val="005320D7"/>
    <w:rsid w:val="00532143"/>
    <w:rsid w:val="00532169"/>
    <w:rsid w:val="00532299"/>
    <w:rsid w:val="00532361"/>
    <w:rsid w:val="00532367"/>
    <w:rsid w:val="00532426"/>
    <w:rsid w:val="0053245E"/>
    <w:rsid w:val="00532470"/>
    <w:rsid w:val="005324A0"/>
    <w:rsid w:val="00532566"/>
    <w:rsid w:val="0053259C"/>
    <w:rsid w:val="005325C1"/>
    <w:rsid w:val="005325C9"/>
    <w:rsid w:val="005325D2"/>
    <w:rsid w:val="005325D4"/>
    <w:rsid w:val="00532614"/>
    <w:rsid w:val="00532792"/>
    <w:rsid w:val="005327D4"/>
    <w:rsid w:val="0053285A"/>
    <w:rsid w:val="005328F2"/>
    <w:rsid w:val="00532981"/>
    <w:rsid w:val="00532A9B"/>
    <w:rsid w:val="00532AA8"/>
    <w:rsid w:val="00532AD2"/>
    <w:rsid w:val="00532B04"/>
    <w:rsid w:val="00532B97"/>
    <w:rsid w:val="00532C19"/>
    <w:rsid w:val="00532C2F"/>
    <w:rsid w:val="00532C5C"/>
    <w:rsid w:val="00532D9B"/>
    <w:rsid w:val="00532E8F"/>
    <w:rsid w:val="00532F93"/>
    <w:rsid w:val="00533033"/>
    <w:rsid w:val="005330A9"/>
    <w:rsid w:val="005330D7"/>
    <w:rsid w:val="005330F0"/>
    <w:rsid w:val="005330F3"/>
    <w:rsid w:val="005331E0"/>
    <w:rsid w:val="00533381"/>
    <w:rsid w:val="0053338B"/>
    <w:rsid w:val="0053339D"/>
    <w:rsid w:val="005334B0"/>
    <w:rsid w:val="005335BA"/>
    <w:rsid w:val="005335E7"/>
    <w:rsid w:val="0053361D"/>
    <w:rsid w:val="0053365D"/>
    <w:rsid w:val="005336B5"/>
    <w:rsid w:val="0053373D"/>
    <w:rsid w:val="00533836"/>
    <w:rsid w:val="00533976"/>
    <w:rsid w:val="00533B4F"/>
    <w:rsid w:val="00533C75"/>
    <w:rsid w:val="00533C8B"/>
    <w:rsid w:val="00533C9E"/>
    <w:rsid w:val="00533D61"/>
    <w:rsid w:val="00533D6E"/>
    <w:rsid w:val="00533D8B"/>
    <w:rsid w:val="00533DED"/>
    <w:rsid w:val="00533DEF"/>
    <w:rsid w:val="00533E2E"/>
    <w:rsid w:val="00533F0D"/>
    <w:rsid w:val="00533F1C"/>
    <w:rsid w:val="00534028"/>
    <w:rsid w:val="005340C4"/>
    <w:rsid w:val="005340EC"/>
    <w:rsid w:val="0053416E"/>
    <w:rsid w:val="005341F2"/>
    <w:rsid w:val="00534291"/>
    <w:rsid w:val="00534337"/>
    <w:rsid w:val="00534392"/>
    <w:rsid w:val="005343CD"/>
    <w:rsid w:val="00534552"/>
    <w:rsid w:val="0053455F"/>
    <w:rsid w:val="005346A1"/>
    <w:rsid w:val="00534720"/>
    <w:rsid w:val="005348AE"/>
    <w:rsid w:val="0053494F"/>
    <w:rsid w:val="005349C4"/>
    <w:rsid w:val="00534A09"/>
    <w:rsid w:val="00534A2C"/>
    <w:rsid w:val="00534ABD"/>
    <w:rsid w:val="00534AE5"/>
    <w:rsid w:val="00534AE7"/>
    <w:rsid w:val="00534B9D"/>
    <w:rsid w:val="00534CC5"/>
    <w:rsid w:val="00534D04"/>
    <w:rsid w:val="00534D89"/>
    <w:rsid w:val="00534DCB"/>
    <w:rsid w:val="00534E3E"/>
    <w:rsid w:val="00534F07"/>
    <w:rsid w:val="00534F7A"/>
    <w:rsid w:val="00534FBE"/>
    <w:rsid w:val="00535050"/>
    <w:rsid w:val="0053521C"/>
    <w:rsid w:val="0053522F"/>
    <w:rsid w:val="00535293"/>
    <w:rsid w:val="005352D5"/>
    <w:rsid w:val="005353B6"/>
    <w:rsid w:val="00535433"/>
    <w:rsid w:val="00535508"/>
    <w:rsid w:val="00535517"/>
    <w:rsid w:val="005355C5"/>
    <w:rsid w:val="005355EF"/>
    <w:rsid w:val="0053562A"/>
    <w:rsid w:val="0053563B"/>
    <w:rsid w:val="005356DD"/>
    <w:rsid w:val="00535755"/>
    <w:rsid w:val="0053577C"/>
    <w:rsid w:val="0053577E"/>
    <w:rsid w:val="0053579C"/>
    <w:rsid w:val="005358D9"/>
    <w:rsid w:val="00535930"/>
    <w:rsid w:val="00535935"/>
    <w:rsid w:val="00535A07"/>
    <w:rsid w:val="00535A59"/>
    <w:rsid w:val="00535AD5"/>
    <w:rsid w:val="00535B88"/>
    <w:rsid w:val="00535B9E"/>
    <w:rsid w:val="00535BBC"/>
    <w:rsid w:val="00535C4B"/>
    <w:rsid w:val="00535C6C"/>
    <w:rsid w:val="00535DE1"/>
    <w:rsid w:val="00535DF3"/>
    <w:rsid w:val="00535E1D"/>
    <w:rsid w:val="00535E44"/>
    <w:rsid w:val="00535E9C"/>
    <w:rsid w:val="00535FF9"/>
    <w:rsid w:val="00535FFA"/>
    <w:rsid w:val="00536007"/>
    <w:rsid w:val="00536031"/>
    <w:rsid w:val="00536040"/>
    <w:rsid w:val="00536082"/>
    <w:rsid w:val="00536165"/>
    <w:rsid w:val="0053618C"/>
    <w:rsid w:val="005361A3"/>
    <w:rsid w:val="005361DD"/>
    <w:rsid w:val="00536219"/>
    <w:rsid w:val="005362AB"/>
    <w:rsid w:val="00536399"/>
    <w:rsid w:val="00536457"/>
    <w:rsid w:val="00536506"/>
    <w:rsid w:val="00536515"/>
    <w:rsid w:val="005365B3"/>
    <w:rsid w:val="0053661A"/>
    <w:rsid w:val="00536755"/>
    <w:rsid w:val="0053678A"/>
    <w:rsid w:val="005367B5"/>
    <w:rsid w:val="005367CC"/>
    <w:rsid w:val="005367F6"/>
    <w:rsid w:val="00536820"/>
    <w:rsid w:val="0053690B"/>
    <w:rsid w:val="00536912"/>
    <w:rsid w:val="005369C6"/>
    <w:rsid w:val="00536A20"/>
    <w:rsid w:val="00536A64"/>
    <w:rsid w:val="00536AC3"/>
    <w:rsid w:val="00536AEE"/>
    <w:rsid w:val="00536B01"/>
    <w:rsid w:val="00536B18"/>
    <w:rsid w:val="00536C41"/>
    <w:rsid w:val="00536C5B"/>
    <w:rsid w:val="00536CAC"/>
    <w:rsid w:val="00536CC8"/>
    <w:rsid w:val="00536CF7"/>
    <w:rsid w:val="00536D2B"/>
    <w:rsid w:val="00536D56"/>
    <w:rsid w:val="00536DD9"/>
    <w:rsid w:val="00536E31"/>
    <w:rsid w:val="00536E5E"/>
    <w:rsid w:val="00536E7F"/>
    <w:rsid w:val="00536E9C"/>
    <w:rsid w:val="00536F19"/>
    <w:rsid w:val="00536F50"/>
    <w:rsid w:val="00536FE4"/>
    <w:rsid w:val="005370E5"/>
    <w:rsid w:val="00537132"/>
    <w:rsid w:val="0053713B"/>
    <w:rsid w:val="00537231"/>
    <w:rsid w:val="005372FF"/>
    <w:rsid w:val="00537325"/>
    <w:rsid w:val="00537445"/>
    <w:rsid w:val="005374DD"/>
    <w:rsid w:val="0053752D"/>
    <w:rsid w:val="0053760B"/>
    <w:rsid w:val="0053762B"/>
    <w:rsid w:val="0053766D"/>
    <w:rsid w:val="005376A5"/>
    <w:rsid w:val="005377B9"/>
    <w:rsid w:val="005377C1"/>
    <w:rsid w:val="005377FD"/>
    <w:rsid w:val="0053780E"/>
    <w:rsid w:val="00537815"/>
    <w:rsid w:val="00537822"/>
    <w:rsid w:val="005378C9"/>
    <w:rsid w:val="00537984"/>
    <w:rsid w:val="005379AD"/>
    <w:rsid w:val="00537A11"/>
    <w:rsid w:val="00537AC5"/>
    <w:rsid w:val="00537B1F"/>
    <w:rsid w:val="00537B2C"/>
    <w:rsid w:val="00537B51"/>
    <w:rsid w:val="00537BE1"/>
    <w:rsid w:val="00537CEF"/>
    <w:rsid w:val="00537D95"/>
    <w:rsid w:val="00537E13"/>
    <w:rsid w:val="00537E1D"/>
    <w:rsid w:val="00537E42"/>
    <w:rsid w:val="00537E99"/>
    <w:rsid w:val="00537E9B"/>
    <w:rsid w:val="00537F1C"/>
    <w:rsid w:val="00537FC7"/>
    <w:rsid w:val="00540001"/>
    <w:rsid w:val="00540113"/>
    <w:rsid w:val="00540126"/>
    <w:rsid w:val="005401AE"/>
    <w:rsid w:val="005401F2"/>
    <w:rsid w:val="0054026F"/>
    <w:rsid w:val="00540347"/>
    <w:rsid w:val="005403BC"/>
    <w:rsid w:val="005403D9"/>
    <w:rsid w:val="0054040B"/>
    <w:rsid w:val="005404F7"/>
    <w:rsid w:val="00540534"/>
    <w:rsid w:val="00540574"/>
    <w:rsid w:val="005405D4"/>
    <w:rsid w:val="00540623"/>
    <w:rsid w:val="005406C2"/>
    <w:rsid w:val="00540708"/>
    <w:rsid w:val="00540754"/>
    <w:rsid w:val="005407AD"/>
    <w:rsid w:val="005407C9"/>
    <w:rsid w:val="0054087A"/>
    <w:rsid w:val="005408B0"/>
    <w:rsid w:val="005408C1"/>
    <w:rsid w:val="0054098C"/>
    <w:rsid w:val="00540A15"/>
    <w:rsid w:val="00540BCD"/>
    <w:rsid w:val="00540BE8"/>
    <w:rsid w:val="00540BF7"/>
    <w:rsid w:val="00540BFF"/>
    <w:rsid w:val="00540DB5"/>
    <w:rsid w:val="00540DBC"/>
    <w:rsid w:val="00540E8D"/>
    <w:rsid w:val="00540EF3"/>
    <w:rsid w:val="00540F17"/>
    <w:rsid w:val="00540F42"/>
    <w:rsid w:val="00540F6A"/>
    <w:rsid w:val="00540FC8"/>
    <w:rsid w:val="0054101D"/>
    <w:rsid w:val="0054113C"/>
    <w:rsid w:val="00541164"/>
    <w:rsid w:val="005411C0"/>
    <w:rsid w:val="0054122F"/>
    <w:rsid w:val="00541260"/>
    <w:rsid w:val="0054137A"/>
    <w:rsid w:val="0054141E"/>
    <w:rsid w:val="005414B2"/>
    <w:rsid w:val="00541561"/>
    <w:rsid w:val="0054163D"/>
    <w:rsid w:val="00541665"/>
    <w:rsid w:val="0054166B"/>
    <w:rsid w:val="0054168C"/>
    <w:rsid w:val="00541691"/>
    <w:rsid w:val="005416C1"/>
    <w:rsid w:val="005416F8"/>
    <w:rsid w:val="0054179F"/>
    <w:rsid w:val="005417AA"/>
    <w:rsid w:val="005417B0"/>
    <w:rsid w:val="005417C2"/>
    <w:rsid w:val="005417E2"/>
    <w:rsid w:val="005417E5"/>
    <w:rsid w:val="00541864"/>
    <w:rsid w:val="0054186C"/>
    <w:rsid w:val="00541870"/>
    <w:rsid w:val="0054188B"/>
    <w:rsid w:val="005418D2"/>
    <w:rsid w:val="00541935"/>
    <w:rsid w:val="0054193A"/>
    <w:rsid w:val="0054197C"/>
    <w:rsid w:val="0054198F"/>
    <w:rsid w:val="00541996"/>
    <w:rsid w:val="00541ABA"/>
    <w:rsid w:val="00541BF6"/>
    <w:rsid w:val="00541C3E"/>
    <w:rsid w:val="00541C56"/>
    <w:rsid w:val="00541C95"/>
    <w:rsid w:val="00541DA1"/>
    <w:rsid w:val="00541DB9"/>
    <w:rsid w:val="00541DF8"/>
    <w:rsid w:val="00541E03"/>
    <w:rsid w:val="00541E64"/>
    <w:rsid w:val="00541EE0"/>
    <w:rsid w:val="00541EE2"/>
    <w:rsid w:val="00541F8C"/>
    <w:rsid w:val="00541FF3"/>
    <w:rsid w:val="005420D1"/>
    <w:rsid w:val="00542138"/>
    <w:rsid w:val="00542159"/>
    <w:rsid w:val="00542204"/>
    <w:rsid w:val="0054233D"/>
    <w:rsid w:val="00542435"/>
    <w:rsid w:val="00542452"/>
    <w:rsid w:val="0054259C"/>
    <w:rsid w:val="0054259E"/>
    <w:rsid w:val="00542738"/>
    <w:rsid w:val="0054276A"/>
    <w:rsid w:val="0054281A"/>
    <w:rsid w:val="00542853"/>
    <w:rsid w:val="0054289B"/>
    <w:rsid w:val="005428BA"/>
    <w:rsid w:val="005428E5"/>
    <w:rsid w:val="0054291A"/>
    <w:rsid w:val="00542995"/>
    <w:rsid w:val="00542AAE"/>
    <w:rsid w:val="00542B23"/>
    <w:rsid w:val="00542B36"/>
    <w:rsid w:val="00542B40"/>
    <w:rsid w:val="00542B51"/>
    <w:rsid w:val="00542BA5"/>
    <w:rsid w:val="00542C25"/>
    <w:rsid w:val="00542C2A"/>
    <w:rsid w:val="00542CCD"/>
    <w:rsid w:val="00542DAA"/>
    <w:rsid w:val="00542DDB"/>
    <w:rsid w:val="00542DF4"/>
    <w:rsid w:val="00542E31"/>
    <w:rsid w:val="00542E6A"/>
    <w:rsid w:val="00542F26"/>
    <w:rsid w:val="00542F6E"/>
    <w:rsid w:val="00542FBB"/>
    <w:rsid w:val="00542FF2"/>
    <w:rsid w:val="00543039"/>
    <w:rsid w:val="00543054"/>
    <w:rsid w:val="00543062"/>
    <w:rsid w:val="00543067"/>
    <w:rsid w:val="005430DD"/>
    <w:rsid w:val="005430F7"/>
    <w:rsid w:val="00543109"/>
    <w:rsid w:val="0054316E"/>
    <w:rsid w:val="00543296"/>
    <w:rsid w:val="005432E0"/>
    <w:rsid w:val="00543312"/>
    <w:rsid w:val="0054341F"/>
    <w:rsid w:val="00543460"/>
    <w:rsid w:val="005434AF"/>
    <w:rsid w:val="0054350C"/>
    <w:rsid w:val="00543524"/>
    <w:rsid w:val="00543555"/>
    <w:rsid w:val="00543864"/>
    <w:rsid w:val="00543882"/>
    <w:rsid w:val="0054388A"/>
    <w:rsid w:val="005438F5"/>
    <w:rsid w:val="00543BC1"/>
    <w:rsid w:val="00543C05"/>
    <w:rsid w:val="00543C79"/>
    <w:rsid w:val="00543C81"/>
    <w:rsid w:val="00543CA3"/>
    <w:rsid w:val="00543D5A"/>
    <w:rsid w:val="00543D84"/>
    <w:rsid w:val="00543E18"/>
    <w:rsid w:val="00543E2A"/>
    <w:rsid w:val="00543E57"/>
    <w:rsid w:val="00543EB7"/>
    <w:rsid w:val="00543EFF"/>
    <w:rsid w:val="00543F80"/>
    <w:rsid w:val="00543F8C"/>
    <w:rsid w:val="00543F9B"/>
    <w:rsid w:val="00543FD8"/>
    <w:rsid w:val="005440D9"/>
    <w:rsid w:val="00544185"/>
    <w:rsid w:val="0054419C"/>
    <w:rsid w:val="005443E8"/>
    <w:rsid w:val="00544416"/>
    <w:rsid w:val="00544472"/>
    <w:rsid w:val="005445BC"/>
    <w:rsid w:val="005445FA"/>
    <w:rsid w:val="005446C6"/>
    <w:rsid w:val="005446FA"/>
    <w:rsid w:val="0054481E"/>
    <w:rsid w:val="00544850"/>
    <w:rsid w:val="0054485F"/>
    <w:rsid w:val="0054487B"/>
    <w:rsid w:val="005448A8"/>
    <w:rsid w:val="005448BC"/>
    <w:rsid w:val="005448E0"/>
    <w:rsid w:val="005448F5"/>
    <w:rsid w:val="005448F6"/>
    <w:rsid w:val="00544927"/>
    <w:rsid w:val="00544940"/>
    <w:rsid w:val="005449B2"/>
    <w:rsid w:val="005449BA"/>
    <w:rsid w:val="00544A47"/>
    <w:rsid w:val="00544A5A"/>
    <w:rsid w:val="00544B7C"/>
    <w:rsid w:val="00544BF1"/>
    <w:rsid w:val="00544D67"/>
    <w:rsid w:val="00544D76"/>
    <w:rsid w:val="00544F39"/>
    <w:rsid w:val="00544F67"/>
    <w:rsid w:val="00544FFB"/>
    <w:rsid w:val="0054500A"/>
    <w:rsid w:val="00545072"/>
    <w:rsid w:val="005450EE"/>
    <w:rsid w:val="005451CC"/>
    <w:rsid w:val="00545308"/>
    <w:rsid w:val="00545316"/>
    <w:rsid w:val="00545469"/>
    <w:rsid w:val="005454A4"/>
    <w:rsid w:val="005454BF"/>
    <w:rsid w:val="005454D2"/>
    <w:rsid w:val="0054554B"/>
    <w:rsid w:val="00545697"/>
    <w:rsid w:val="00545698"/>
    <w:rsid w:val="005456B3"/>
    <w:rsid w:val="00545799"/>
    <w:rsid w:val="00545877"/>
    <w:rsid w:val="005458B9"/>
    <w:rsid w:val="00545934"/>
    <w:rsid w:val="00545980"/>
    <w:rsid w:val="005459EA"/>
    <w:rsid w:val="00545A45"/>
    <w:rsid w:val="00545AD2"/>
    <w:rsid w:val="00545AF5"/>
    <w:rsid w:val="00545B20"/>
    <w:rsid w:val="00545B72"/>
    <w:rsid w:val="00545B85"/>
    <w:rsid w:val="00545BAB"/>
    <w:rsid w:val="00545BC2"/>
    <w:rsid w:val="00545BDB"/>
    <w:rsid w:val="00545C38"/>
    <w:rsid w:val="00545C64"/>
    <w:rsid w:val="00545C76"/>
    <w:rsid w:val="00545CED"/>
    <w:rsid w:val="00545D2E"/>
    <w:rsid w:val="00545EEC"/>
    <w:rsid w:val="0054607F"/>
    <w:rsid w:val="005460A8"/>
    <w:rsid w:val="0054610C"/>
    <w:rsid w:val="00546188"/>
    <w:rsid w:val="00546374"/>
    <w:rsid w:val="0054640E"/>
    <w:rsid w:val="0054641D"/>
    <w:rsid w:val="005464AD"/>
    <w:rsid w:val="00546571"/>
    <w:rsid w:val="005466D8"/>
    <w:rsid w:val="005466E4"/>
    <w:rsid w:val="005467A7"/>
    <w:rsid w:val="00546844"/>
    <w:rsid w:val="005468A3"/>
    <w:rsid w:val="00546957"/>
    <w:rsid w:val="00546AB8"/>
    <w:rsid w:val="00546CBB"/>
    <w:rsid w:val="00546CBF"/>
    <w:rsid w:val="00546CC6"/>
    <w:rsid w:val="00546D4D"/>
    <w:rsid w:val="00546D78"/>
    <w:rsid w:val="00546DEE"/>
    <w:rsid w:val="00546E4B"/>
    <w:rsid w:val="00546E63"/>
    <w:rsid w:val="00546E77"/>
    <w:rsid w:val="00546EB5"/>
    <w:rsid w:val="00546FBC"/>
    <w:rsid w:val="00546FCE"/>
    <w:rsid w:val="00547028"/>
    <w:rsid w:val="0054704F"/>
    <w:rsid w:val="005470D5"/>
    <w:rsid w:val="00547194"/>
    <w:rsid w:val="00547287"/>
    <w:rsid w:val="0054729F"/>
    <w:rsid w:val="0054741E"/>
    <w:rsid w:val="005474AD"/>
    <w:rsid w:val="00547530"/>
    <w:rsid w:val="0054762B"/>
    <w:rsid w:val="0054769D"/>
    <w:rsid w:val="005476A4"/>
    <w:rsid w:val="00547765"/>
    <w:rsid w:val="005477AB"/>
    <w:rsid w:val="005477EC"/>
    <w:rsid w:val="005478C0"/>
    <w:rsid w:val="005478F3"/>
    <w:rsid w:val="00547A9E"/>
    <w:rsid w:val="00547AFE"/>
    <w:rsid w:val="00547C05"/>
    <w:rsid w:val="00547C3C"/>
    <w:rsid w:val="00547CF4"/>
    <w:rsid w:val="00547D78"/>
    <w:rsid w:val="00547E79"/>
    <w:rsid w:val="00547E7A"/>
    <w:rsid w:val="00547EAB"/>
    <w:rsid w:val="00547F91"/>
    <w:rsid w:val="00550016"/>
    <w:rsid w:val="005501F8"/>
    <w:rsid w:val="005502B7"/>
    <w:rsid w:val="005502DC"/>
    <w:rsid w:val="0055035E"/>
    <w:rsid w:val="005503BE"/>
    <w:rsid w:val="00550633"/>
    <w:rsid w:val="0055071C"/>
    <w:rsid w:val="005507C1"/>
    <w:rsid w:val="00550803"/>
    <w:rsid w:val="00550867"/>
    <w:rsid w:val="005508BA"/>
    <w:rsid w:val="0055090D"/>
    <w:rsid w:val="005509D5"/>
    <w:rsid w:val="005509FA"/>
    <w:rsid w:val="00550A24"/>
    <w:rsid w:val="00550AAE"/>
    <w:rsid w:val="00550B4D"/>
    <w:rsid w:val="00550B54"/>
    <w:rsid w:val="00550B61"/>
    <w:rsid w:val="00550B8D"/>
    <w:rsid w:val="00550B9D"/>
    <w:rsid w:val="00550C00"/>
    <w:rsid w:val="00550C13"/>
    <w:rsid w:val="00550CBF"/>
    <w:rsid w:val="00550D48"/>
    <w:rsid w:val="00550F31"/>
    <w:rsid w:val="00550FB0"/>
    <w:rsid w:val="0055101C"/>
    <w:rsid w:val="00551075"/>
    <w:rsid w:val="005510AC"/>
    <w:rsid w:val="005510B8"/>
    <w:rsid w:val="00551124"/>
    <w:rsid w:val="0055112A"/>
    <w:rsid w:val="00551137"/>
    <w:rsid w:val="00551160"/>
    <w:rsid w:val="00551189"/>
    <w:rsid w:val="005511ED"/>
    <w:rsid w:val="00551224"/>
    <w:rsid w:val="005512F8"/>
    <w:rsid w:val="00551378"/>
    <w:rsid w:val="005514FB"/>
    <w:rsid w:val="00551530"/>
    <w:rsid w:val="005515A1"/>
    <w:rsid w:val="005516D4"/>
    <w:rsid w:val="0055198A"/>
    <w:rsid w:val="00551D76"/>
    <w:rsid w:val="00551DB1"/>
    <w:rsid w:val="00551DD8"/>
    <w:rsid w:val="00551E08"/>
    <w:rsid w:val="00551EE1"/>
    <w:rsid w:val="00551F2E"/>
    <w:rsid w:val="00551F4B"/>
    <w:rsid w:val="00551F63"/>
    <w:rsid w:val="00551F6B"/>
    <w:rsid w:val="00551F83"/>
    <w:rsid w:val="00551FBC"/>
    <w:rsid w:val="00551FD8"/>
    <w:rsid w:val="00552008"/>
    <w:rsid w:val="00552034"/>
    <w:rsid w:val="0055204B"/>
    <w:rsid w:val="00552163"/>
    <w:rsid w:val="00552193"/>
    <w:rsid w:val="00552227"/>
    <w:rsid w:val="00552275"/>
    <w:rsid w:val="00552283"/>
    <w:rsid w:val="00552339"/>
    <w:rsid w:val="00552375"/>
    <w:rsid w:val="005523EC"/>
    <w:rsid w:val="00552449"/>
    <w:rsid w:val="0055248E"/>
    <w:rsid w:val="005524FA"/>
    <w:rsid w:val="00552661"/>
    <w:rsid w:val="005526E7"/>
    <w:rsid w:val="00552777"/>
    <w:rsid w:val="00552835"/>
    <w:rsid w:val="005528C6"/>
    <w:rsid w:val="00552933"/>
    <w:rsid w:val="00552956"/>
    <w:rsid w:val="005529CC"/>
    <w:rsid w:val="00552A2D"/>
    <w:rsid w:val="00552A60"/>
    <w:rsid w:val="00552A7E"/>
    <w:rsid w:val="00552AF3"/>
    <w:rsid w:val="00552AF4"/>
    <w:rsid w:val="00552B1E"/>
    <w:rsid w:val="00552B27"/>
    <w:rsid w:val="00552B6B"/>
    <w:rsid w:val="00552BD3"/>
    <w:rsid w:val="00552C52"/>
    <w:rsid w:val="00552C85"/>
    <w:rsid w:val="00552D4A"/>
    <w:rsid w:val="00552D51"/>
    <w:rsid w:val="00552D81"/>
    <w:rsid w:val="00552DEE"/>
    <w:rsid w:val="00552E20"/>
    <w:rsid w:val="00552F5B"/>
    <w:rsid w:val="00553034"/>
    <w:rsid w:val="00553076"/>
    <w:rsid w:val="0055316C"/>
    <w:rsid w:val="00553183"/>
    <w:rsid w:val="005531F3"/>
    <w:rsid w:val="00553204"/>
    <w:rsid w:val="0055321C"/>
    <w:rsid w:val="00553248"/>
    <w:rsid w:val="0055324C"/>
    <w:rsid w:val="00553267"/>
    <w:rsid w:val="005532B0"/>
    <w:rsid w:val="005532DF"/>
    <w:rsid w:val="0055336B"/>
    <w:rsid w:val="005533B5"/>
    <w:rsid w:val="00553403"/>
    <w:rsid w:val="00553485"/>
    <w:rsid w:val="0055348E"/>
    <w:rsid w:val="005534BF"/>
    <w:rsid w:val="00553530"/>
    <w:rsid w:val="00553589"/>
    <w:rsid w:val="005535A0"/>
    <w:rsid w:val="005535EC"/>
    <w:rsid w:val="00553661"/>
    <w:rsid w:val="005536FF"/>
    <w:rsid w:val="00553741"/>
    <w:rsid w:val="00553760"/>
    <w:rsid w:val="00553830"/>
    <w:rsid w:val="005538A2"/>
    <w:rsid w:val="005538F5"/>
    <w:rsid w:val="00553951"/>
    <w:rsid w:val="00553970"/>
    <w:rsid w:val="00553A51"/>
    <w:rsid w:val="00553A6A"/>
    <w:rsid w:val="00553A97"/>
    <w:rsid w:val="00553AE4"/>
    <w:rsid w:val="00553B52"/>
    <w:rsid w:val="00553B89"/>
    <w:rsid w:val="00553C79"/>
    <w:rsid w:val="00553CEA"/>
    <w:rsid w:val="00553D03"/>
    <w:rsid w:val="00553D0C"/>
    <w:rsid w:val="00553D36"/>
    <w:rsid w:val="00553D7C"/>
    <w:rsid w:val="00553DD6"/>
    <w:rsid w:val="00553EAA"/>
    <w:rsid w:val="00553F28"/>
    <w:rsid w:val="00553F74"/>
    <w:rsid w:val="00554011"/>
    <w:rsid w:val="005540CC"/>
    <w:rsid w:val="005540FE"/>
    <w:rsid w:val="00554102"/>
    <w:rsid w:val="00554124"/>
    <w:rsid w:val="005541CD"/>
    <w:rsid w:val="00554598"/>
    <w:rsid w:val="005545A8"/>
    <w:rsid w:val="005546C8"/>
    <w:rsid w:val="00554825"/>
    <w:rsid w:val="00554828"/>
    <w:rsid w:val="00554861"/>
    <w:rsid w:val="00554878"/>
    <w:rsid w:val="00554B54"/>
    <w:rsid w:val="00554C1B"/>
    <w:rsid w:val="00554CDB"/>
    <w:rsid w:val="00554D1E"/>
    <w:rsid w:val="00554D3B"/>
    <w:rsid w:val="00554D7E"/>
    <w:rsid w:val="00554DAD"/>
    <w:rsid w:val="00554DD9"/>
    <w:rsid w:val="00554EF5"/>
    <w:rsid w:val="00554F07"/>
    <w:rsid w:val="00554F42"/>
    <w:rsid w:val="00554F4B"/>
    <w:rsid w:val="00554F94"/>
    <w:rsid w:val="00554FC8"/>
    <w:rsid w:val="0055500B"/>
    <w:rsid w:val="00555029"/>
    <w:rsid w:val="0055508A"/>
    <w:rsid w:val="00555183"/>
    <w:rsid w:val="0055519D"/>
    <w:rsid w:val="005552D0"/>
    <w:rsid w:val="00555325"/>
    <w:rsid w:val="0055539B"/>
    <w:rsid w:val="0055540E"/>
    <w:rsid w:val="00555454"/>
    <w:rsid w:val="0055563D"/>
    <w:rsid w:val="005556D8"/>
    <w:rsid w:val="005556F1"/>
    <w:rsid w:val="005559BF"/>
    <w:rsid w:val="005559F4"/>
    <w:rsid w:val="00555A07"/>
    <w:rsid w:val="00555A0D"/>
    <w:rsid w:val="00555A12"/>
    <w:rsid w:val="00555ABB"/>
    <w:rsid w:val="00555AE7"/>
    <w:rsid w:val="00555B84"/>
    <w:rsid w:val="00555B9F"/>
    <w:rsid w:val="00555BE6"/>
    <w:rsid w:val="00555BF3"/>
    <w:rsid w:val="00555C4F"/>
    <w:rsid w:val="00555C92"/>
    <w:rsid w:val="00555CC9"/>
    <w:rsid w:val="00555D36"/>
    <w:rsid w:val="00555DCD"/>
    <w:rsid w:val="00555E2F"/>
    <w:rsid w:val="00555F02"/>
    <w:rsid w:val="00555F04"/>
    <w:rsid w:val="00555F8A"/>
    <w:rsid w:val="00555FD4"/>
    <w:rsid w:val="00555FE4"/>
    <w:rsid w:val="00556026"/>
    <w:rsid w:val="005561F1"/>
    <w:rsid w:val="00556248"/>
    <w:rsid w:val="00556314"/>
    <w:rsid w:val="005564D0"/>
    <w:rsid w:val="00556653"/>
    <w:rsid w:val="0055665A"/>
    <w:rsid w:val="00556678"/>
    <w:rsid w:val="0055685D"/>
    <w:rsid w:val="0055685F"/>
    <w:rsid w:val="005568EE"/>
    <w:rsid w:val="0055691F"/>
    <w:rsid w:val="00556A61"/>
    <w:rsid w:val="00556BAA"/>
    <w:rsid w:val="00556BD9"/>
    <w:rsid w:val="00556D48"/>
    <w:rsid w:val="00556E77"/>
    <w:rsid w:val="00556E89"/>
    <w:rsid w:val="00556F5C"/>
    <w:rsid w:val="00557014"/>
    <w:rsid w:val="0055706F"/>
    <w:rsid w:val="00557070"/>
    <w:rsid w:val="00557096"/>
    <w:rsid w:val="0055713F"/>
    <w:rsid w:val="0055715E"/>
    <w:rsid w:val="00557185"/>
    <w:rsid w:val="0055720B"/>
    <w:rsid w:val="00557215"/>
    <w:rsid w:val="00557329"/>
    <w:rsid w:val="005573E9"/>
    <w:rsid w:val="00557485"/>
    <w:rsid w:val="005574A3"/>
    <w:rsid w:val="00557547"/>
    <w:rsid w:val="00557556"/>
    <w:rsid w:val="005575A9"/>
    <w:rsid w:val="005575C6"/>
    <w:rsid w:val="005575F5"/>
    <w:rsid w:val="00557714"/>
    <w:rsid w:val="00557750"/>
    <w:rsid w:val="00557792"/>
    <w:rsid w:val="005577AF"/>
    <w:rsid w:val="005577F8"/>
    <w:rsid w:val="0055782F"/>
    <w:rsid w:val="005578C1"/>
    <w:rsid w:val="00557927"/>
    <w:rsid w:val="00557931"/>
    <w:rsid w:val="005579D6"/>
    <w:rsid w:val="00557A39"/>
    <w:rsid w:val="00557B0D"/>
    <w:rsid w:val="00557B2C"/>
    <w:rsid w:val="00557BC1"/>
    <w:rsid w:val="00557C3E"/>
    <w:rsid w:val="00557CAC"/>
    <w:rsid w:val="00557CD3"/>
    <w:rsid w:val="00557CFE"/>
    <w:rsid w:val="00557DDA"/>
    <w:rsid w:val="00557E08"/>
    <w:rsid w:val="00557E76"/>
    <w:rsid w:val="00557E99"/>
    <w:rsid w:val="00557EB1"/>
    <w:rsid w:val="00557EEE"/>
    <w:rsid w:val="00557F01"/>
    <w:rsid w:val="00557F24"/>
    <w:rsid w:val="00557F8F"/>
    <w:rsid w:val="00557FCE"/>
    <w:rsid w:val="00560026"/>
    <w:rsid w:val="0056008A"/>
    <w:rsid w:val="0056008F"/>
    <w:rsid w:val="005601A5"/>
    <w:rsid w:val="00560292"/>
    <w:rsid w:val="005602E5"/>
    <w:rsid w:val="0056030E"/>
    <w:rsid w:val="00560408"/>
    <w:rsid w:val="00560625"/>
    <w:rsid w:val="0056070C"/>
    <w:rsid w:val="00560824"/>
    <w:rsid w:val="00560839"/>
    <w:rsid w:val="0056084D"/>
    <w:rsid w:val="00560895"/>
    <w:rsid w:val="005608D4"/>
    <w:rsid w:val="005608E3"/>
    <w:rsid w:val="00560917"/>
    <w:rsid w:val="00560937"/>
    <w:rsid w:val="00560945"/>
    <w:rsid w:val="00560A17"/>
    <w:rsid w:val="00560A2C"/>
    <w:rsid w:val="00560A99"/>
    <w:rsid w:val="00560B44"/>
    <w:rsid w:val="00560B83"/>
    <w:rsid w:val="00560B97"/>
    <w:rsid w:val="00560C16"/>
    <w:rsid w:val="00560C6A"/>
    <w:rsid w:val="00560C8D"/>
    <w:rsid w:val="00560CDE"/>
    <w:rsid w:val="00560CFB"/>
    <w:rsid w:val="00560CFF"/>
    <w:rsid w:val="00560D43"/>
    <w:rsid w:val="00560DC0"/>
    <w:rsid w:val="00560E2B"/>
    <w:rsid w:val="00560E75"/>
    <w:rsid w:val="00560EC4"/>
    <w:rsid w:val="00560F93"/>
    <w:rsid w:val="00560FE0"/>
    <w:rsid w:val="00561040"/>
    <w:rsid w:val="00561058"/>
    <w:rsid w:val="0056105A"/>
    <w:rsid w:val="005610C0"/>
    <w:rsid w:val="0056116B"/>
    <w:rsid w:val="0056116C"/>
    <w:rsid w:val="00561184"/>
    <w:rsid w:val="00561312"/>
    <w:rsid w:val="00561421"/>
    <w:rsid w:val="005615E1"/>
    <w:rsid w:val="005616C7"/>
    <w:rsid w:val="005617B0"/>
    <w:rsid w:val="005617CD"/>
    <w:rsid w:val="005617F9"/>
    <w:rsid w:val="00561865"/>
    <w:rsid w:val="005618EA"/>
    <w:rsid w:val="00561963"/>
    <w:rsid w:val="00561A4C"/>
    <w:rsid w:val="00561AC5"/>
    <w:rsid w:val="00561AE7"/>
    <w:rsid w:val="00561B0E"/>
    <w:rsid w:val="00561B4C"/>
    <w:rsid w:val="00561B60"/>
    <w:rsid w:val="00561C2E"/>
    <w:rsid w:val="00561C49"/>
    <w:rsid w:val="00561C6C"/>
    <w:rsid w:val="00561D6F"/>
    <w:rsid w:val="00561DD6"/>
    <w:rsid w:val="00561DEE"/>
    <w:rsid w:val="00561E22"/>
    <w:rsid w:val="00561E5E"/>
    <w:rsid w:val="00561EDE"/>
    <w:rsid w:val="00561EFF"/>
    <w:rsid w:val="00561F07"/>
    <w:rsid w:val="00561F37"/>
    <w:rsid w:val="00561FBA"/>
    <w:rsid w:val="00562089"/>
    <w:rsid w:val="00562133"/>
    <w:rsid w:val="00562222"/>
    <w:rsid w:val="0056224C"/>
    <w:rsid w:val="005622C5"/>
    <w:rsid w:val="0056230A"/>
    <w:rsid w:val="0056233F"/>
    <w:rsid w:val="005623B6"/>
    <w:rsid w:val="005623CB"/>
    <w:rsid w:val="00562424"/>
    <w:rsid w:val="00562431"/>
    <w:rsid w:val="00562463"/>
    <w:rsid w:val="00562479"/>
    <w:rsid w:val="00562591"/>
    <w:rsid w:val="005626E6"/>
    <w:rsid w:val="0056270C"/>
    <w:rsid w:val="00562755"/>
    <w:rsid w:val="0056276E"/>
    <w:rsid w:val="005628D7"/>
    <w:rsid w:val="00562996"/>
    <w:rsid w:val="005629C1"/>
    <w:rsid w:val="005629F4"/>
    <w:rsid w:val="00562ABC"/>
    <w:rsid w:val="00562B0E"/>
    <w:rsid w:val="00562B46"/>
    <w:rsid w:val="00562BEB"/>
    <w:rsid w:val="00562BF9"/>
    <w:rsid w:val="00562D57"/>
    <w:rsid w:val="00562F98"/>
    <w:rsid w:val="00562FBC"/>
    <w:rsid w:val="00563115"/>
    <w:rsid w:val="00563185"/>
    <w:rsid w:val="005631D0"/>
    <w:rsid w:val="0056323B"/>
    <w:rsid w:val="0056331B"/>
    <w:rsid w:val="00563341"/>
    <w:rsid w:val="0056344D"/>
    <w:rsid w:val="0056345D"/>
    <w:rsid w:val="005634DD"/>
    <w:rsid w:val="00563541"/>
    <w:rsid w:val="00563573"/>
    <w:rsid w:val="0056359C"/>
    <w:rsid w:val="005635CA"/>
    <w:rsid w:val="00563695"/>
    <w:rsid w:val="00563765"/>
    <w:rsid w:val="005637BF"/>
    <w:rsid w:val="0056380D"/>
    <w:rsid w:val="005638CD"/>
    <w:rsid w:val="00563956"/>
    <w:rsid w:val="005639E5"/>
    <w:rsid w:val="00563A01"/>
    <w:rsid w:val="00563A54"/>
    <w:rsid w:val="00563AE5"/>
    <w:rsid w:val="00563B29"/>
    <w:rsid w:val="00563B59"/>
    <w:rsid w:val="00563C47"/>
    <w:rsid w:val="00563D03"/>
    <w:rsid w:val="00563D3C"/>
    <w:rsid w:val="00563D93"/>
    <w:rsid w:val="00563F94"/>
    <w:rsid w:val="00564101"/>
    <w:rsid w:val="0056410F"/>
    <w:rsid w:val="0056420E"/>
    <w:rsid w:val="0056426B"/>
    <w:rsid w:val="0056427C"/>
    <w:rsid w:val="005642F5"/>
    <w:rsid w:val="00564309"/>
    <w:rsid w:val="00564320"/>
    <w:rsid w:val="0056443C"/>
    <w:rsid w:val="005644CD"/>
    <w:rsid w:val="0056451C"/>
    <w:rsid w:val="00564560"/>
    <w:rsid w:val="0056458F"/>
    <w:rsid w:val="005646A0"/>
    <w:rsid w:val="005646B8"/>
    <w:rsid w:val="005646C3"/>
    <w:rsid w:val="00564735"/>
    <w:rsid w:val="005647A2"/>
    <w:rsid w:val="005647A3"/>
    <w:rsid w:val="00564873"/>
    <w:rsid w:val="005648FE"/>
    <w:rsid w:val="00564991"/>
    <w:rsid w:val="005649D0"/>
    <w:rsid w:val="00564A10"/>
    <w:rsid w:val="00564B86"/>
    <w:rsid w:val="00564C2F"/>
    <w:rsid w:val="00564C58"/>
    <w:rsid w:val="00564C8F"/>
    <w:rsid w:val="00564CCF"/>
    <w:rsid w:val="00564CF1"/>
    <w:rsid w:val="00564D03"/>
    <w:rsid w:val="00564D1B"/>
    <w:rsid w:val="00564D65"/>
    <w:rsid w:val="00564E02"/>
    <w:rsid w:val="00564E1E"/>
    <w:rsid w:val="00564EE6"/>
    <w:rsid w:val="00564FED"/>
    <w:rsid w:val="005650AB"/>
    <w:rsid w:val="00565102"/>
    <w:rsid w:val="005651BD"/>
    <w:rsid w:val="005651C8"/>
    <w:rsid w:val="005652DC"/>
    <w:rsid w:val="0056538A"/>
    <w:rsid w:val="00565425"/>
    <w:rsid w:val="0056544F"/>
    <w:rsid w:val="005654AD"/>
    <w:rsid w:val="0056551B"/>
    <w:rsid w:val="00565533"/>
    <w:rsid w:val="00565535"/>
    <w:rsid w:val="0056559E"/>
    <w:rsid w:val="005655BA"/>
    <w:rsid w:val="005655D8"/>
    <w:rsid w:val="005655FB"/>
    <w:rsid w:val="00565813"/>
    <w:rsid w:val="005658C2"/>
    <w:rsid w:val="005658CD"/>
    <w:rsid w:val="005658DB"/>
    <w:rsid w:val="005659A4"/>
    <w:rsid w:val="005659E2"/>
    <w:rsid w:val="00565AA2"/>
    <w:rsid w:val="00565B5E"/>
    <w:rsid w:val="00565BC9"/>
    <w:rsid w:val="00565C45"/>
    <w:rsid w:val="00565CB1"/>
    <w:rsid w:val="00565DFE"/>
    <w:rsid w:val="00565E3F"/>
    <w:rsid w:val="00565E8C"/>
    <w:rsid w:val="00565ED4"/>
    <w:rsid w:val="00566094"/>
    <w:rsid w:val="00566237"/>
    <w:rsid w:val="005662B2"/>
    <w:rsid w:val="005662F0"/>
    <w:rsid w:val="00566330"/>
    <w:rsid w:val="0056649B"/>
    <w:rsid w:val="005664D8"/>
    <w:rsid w:val="005664DF"/>
    <w:rsid w:val="005665C2"/>
    <w:rsid w:val="0056662D"/>
    <w:rsid w:val="00566700"/>
    <w:rsid w:val="00566702"/>
    <w:rsid w:val="005667A9"/>
    <w:rsid w:val="005668FA"/>
    <w:rsid w:val="00566962"/>
    <w:rsid w:val="00566A29"/>
    <w:rsid w:val="00566A34"/>
    <w:rsid w:val="00566A73"/>
    <w:rsid w:val="00566A7E"/>
    <w:rsid w:val="00566AAE"/>
    <w:rsid w:val="00566AE1"/>
    <w:rsid w:val="00566AED"/>
    <w:rsid w:val="00566BC4"/>
    <w:rsid w:val="00566C39"/>
    <w:rsid w:val="00566CB4"/>
    <w:rsid w:val="00566CD2"/>
    <w:rsid w:val="00566D6C"/>
    <w:rsid w:val="00566FAF"/>
    <w:rsid w:val="00566FF1"/>
    <w:rsid w:val="005670A0"/>
    <w:rsid w:val="005670AD"/>
    <w:rsid w:val="00567119"/>
    <w:rsid w:val="00567139"/>
    <w:rsid w:val="0056715B"/>
    <w:rsid w:val="00567271"/>
    <w:rsid w:val="0056728A"/>
    <w:rsid w:val="0056732A"/>
    <w:rsid w:val="005674A0"/>
    <w:rsid w:val="005674E7"/>
    <w:rsid w:val="0056757C"/>
    <w:rsid w:val="0056758F"/>
    <w:rsid w:val="00567590"/>
    <w:rsid w:val="005675F3"/>
    <w:rsid w:val="005675FD"/>
    <w:rsid w:val="00567613"/>
    <w:rsid w:val="005676C4"/>
    <w:rsid w:val="00567729"/>
    <w:rsid w:val="00567738"/>
    <w:rsid w:val="00567773"/>
    <w:rsid w:val="005677B2"/>
    <w:rsid w:val="005677C0"/>
    <w:rsid w:val="00567865"/>
    <w:rsid w:val="00567888"/>
    <w:rsid w:val="005678F0"/>
    <w:rsid w:val="00567930"/>
    <w:rsid w:val="0056795E"/>
    <w:rsid w:val="005679B3"/>
    <w:rsid w:val="00567A70"/>
    <w:rsid w:val="00567AD5"/>
    <w:rsid w:val="00567B0D"/>
    <w:rsid w:val="00567B87"/>
    <w:rsid w:val="00567CD2"/>
    <w:rsid w:val="00567CE3"/>
    <w:rsid w:val="00567CE6"/>
    <w:rsid w:val="00567D2B"/>
    <w:rsid w:val="00567D63"/>
    <w:rsid w:val="00567DF3"/>
    <w:rsid w:val="00567E09"/>
    <w:rsid w:val="00567E2A"/>
    <w:rsid w:val="00570042"/>
    <w:rsid w:val="00570074"/>
    <w:rsid w:val="005700E0"/>
    <w:rsid w:val="0057010C"/>
    <w:rsid w:val="0057013B"/>
    <w:rsid w:val="0057014E"/>
    <w:rsid w:val="005701E1"/>
    <w:rsid w:val="005703C2"/>
    <w:rsid w:val="005703E4"/>
    <w:rsid w:val="00570412"/>
    <w:rsid w:val="005704A4"/>
    <w:rsid w:val="005704EC"/>
    <w:rsid w:val="0057053A"/>
    <w:rsid w:val="00570546"/>
    <w:rsid w:val="0057054C"/>
    <w:rsid w:val="005705A1"/>
    <w:rsid w:val="0057063F"/>
    <w:rsid w:val="00570640"/>
    <w:rsid w:val="0057071D"/>
    <w:rsid w:val="0057077C"/>
    <w:rsid w:val="00570822"/>
    <w:rsid w:val="00570940"/>
    <w:rsid w:val="005709FF"/>
    <w:rsid w:val="00570A60"/>
    <w:rsid w:val="00570AAD"/>
    <w:rsid w:val="00570AD7"/>
    <w:rsid w:val="00570B56"/>
    <w:rsid w:val="00570B75"/>
    <w:rsid w:val="00570B9A"/>
    <w:rsid w:val="00570BB2"/>
    <w:rsid w:val="00570C01"/>
    <w:rsid w:val="00570C25"/>
    <w:rsid w:val="00570C3E"/>
    <w:rsid w:val="00570C50"/>
    <w:rsid w:val="00570D65"/>
    <w:rsid w:val="00570D7E"/>
    <w:rsid w:val="00570DFB"/>
    <w:rsid w:val="00570E51"/>
    <w:rsid w:val="00570EA0"/>
    <w:rsid w:val="00570EFC"/>
    <w:rsid w:val="00570F59"/>
    <w:rsid w:val="00570F78"/>
    <w:rsid w:val="00570F8D"/>
    <w:rsid w:val="00571029"/>
    <w:rsid w:val="0057109C"/>
    <w:rsid w:val="00571115"/>
    <w:rsid w:val="00571117"/>
    <w:rsid w:val="00571140"/>
    <w:rsid w:val="00571172"/>
    <w:rsid w:val="005711A2"/>
    <w:rsid w:val="005712B1"/>
    <w:rsid w:val="005712C3"/>
    <w:rsid w:val="005714AD"/>
    <w:rsid w:val="005714BC"/>
    <w:rsid w:val="005714E7"/>
    <w:rsid w:val="0057162B"/>
    <w:rsid w:val="00571665"/>
    <w:rsid w:val="00571756"/>
    <w:rsid w:val="005718D3"/>
    <w:rsid w:val="005719CC"/>
    <w:rsid w:val="00571A5B"/>
    <w:rsid w:val="00571A76"/>
    <w:rsid w:val="00571AF4"/>
    <w:rsid w:val="00571B34"/>
    <w:rsid w:val="00571B91"/>
    <w:rsid w:val="00571C05"/>
    <w:rsid w:val="00571C5B"/>
    <w:rsid w:val="00571C61"/>
    <w:rsid w:val="00571CF3"/>
    <w:rsid w:val="00571D07"/>
    <w:rsid w:val="00571DDD"/>
    <w:rsid w:val="00571F95"/>
    <w:rsid w:val="00571FDE"/>
    <w:rsid w:val="00572074"/>
    <w:rsid w:val="00572080"/>
    <w:rsid w:val="005721A8"/>
    <w:rsid w:val="00572311"/>
    <w:rsid w:val="005723E1"/>
    <w:rsid w:val="005724A3"/>
    <w:rsid w:val="005724ED"/>
    <w:rsid w:val="005725EC"/>
    <w:rsid w:val="0057270C"/>
    <w:rsid w:val="00572757"/>
    <w:rsid w:val="00572816"/>
    <w:rsid w:val="0057284A"/>
    <w:rsid w:val="00572896"/>
    <w:rsid w:val="00572979"/>
    <w:rsid w:val="005729EA"/>
    <w:rsid w:val="005729FB"/>
    <w:rsid w:val="00572A3D"/>
    <w:rsid w:val="00572B76"/>
    <w:rsid w:val="00572BA8"/>
    <w:rsid w:val="00572CB2"/>
    <w:rsid w:val="00572D1C"/>
    <w:rsid w:val="00572DED"/>
    <w:rsid w:val="00572E2D"/>
    <w:rsid w:val="00572EC1"/>
    <w:rsid w:val="00572F8E"/>
    <w:rsid w:val="00573114"/>
    <w:rsid w:val="00573148"/>
    <w:rsid w:val="00573165"/>
    <w:rsid w:val="005731D1"/>
    <w:rsid w:val="00573212"/>
    <w:rsid w:val="0057324C"/>
    <w:rsid w:val="005732BC"/>
    <w:rsid w:val="005732D1"/>
    <w:rsid w:val="0057339E"/>
    <w:rsid w:val="00573453"/>
    <w:rsid w:val="00573547"/>
    <w:rsid w:val="0057368E"/>
    <w:rsid w:val="005736D8"/>
    <w:rsid w:val="00573729"/>
    <w:rsid w:val="0057382D"/>
    <w:rsid w:val="005738B4"/>
    <w:rsid w:val="0057391D"/>
    <w:rsid w:val="00573B2F"/>
    <w:rsid w:val="00573BCB"/>
    <w:rsid w:val="00573C5B"/>
    <w:rsid w:val="00573CB6"/>
    <w:rsid w:val="00573CD8"/>
    <w:rsid w:val="00573D3A"/>
    <w:rsid w:val="00573DA0"/>
    <w:rsid w:val="00573DE1"/>
    <w:rsid w:val="00573E0D"/>
    <w:rsid w:val="00574009"/>
    <w:rsid w:val="00574058"/>
    <w:rsid w:val="0057408C"/>
    <w:rsid w:val="0057409A"/>
    <w:rsid w:val="005740AB"/>
    <w:rsid w:val="0057410C"/>
    <w:rsid w:val="00574153"/>
    <w:rsid w:val="005741FB"/>
    <w:rsid w:val="0057424F"/>
    <w:rsid w:val="00574277"/>
    <w:rsid w:val="005742C2"/>
    <w:rsid w:val="0057440A"/>
    <w:rsid w:val="00574497"/>
    <w:rsid w:val="0057460F"/>
    <w:rsid w:val="00574618"/>
    <w:rsid w:val="00574638"/>
    <w:rsid w:val="005746CD"/>
    <w:rsid w:val="005746E5"/>
    <w:rsid w:val="00574859"/>
    <w:rsid w:val="0057488D"/>
    <w:rsid w:val="005748A5"/>
    <w:rsid w:val="00574954"/>
    <w:rsid w:val="00574A1A"/>
    <w:rsid w:val="00574A40"/>
    <w:rsid w:val="00574AAB"/>
    <w:rsid w:val="00574AD2"/>
    <w:rsid w:val="00574B1E"/>
    <w:rsid w:val="00574B2A"/>
    <w:rsid w:val="00574B4B"/>
    <w:rsid w:val="00574CE5"/>
    <w:rsid w:val="00574D98"/>
    <w:rsid w:val="00574E0B"/>
    <w:rsid w:val="00574E3A"/>
    <w:rsid w:val="00574E7E"/>
    <w:rsid w:val="00574ECC"/>
    <w:rsid w:val="00574EF4"/>
    <w:rsid w:val="00574F34"/>
    <w:rsid w:val="0057509D"/>
    <w:rsid w:val="005750AC"/>
    <w:rsid w:val="005751FD"/>
    <w:rsid w:val="0057520A"/>
    <w:rsid w:val="00575275"/>
    <w:rsid w:val="005752F7"/>
    <w:rsid w:val="005753D4"/>
    <w:rsid w:val="005753EE"/>
    <w:rsid w:val="005753F5"/>
    <w:rsid w:val="00575584"/>
    <w:rsid w:val="005755E0"/>
    <w:rsid w:val="0057571C"/>
    <w:rsid w:val="00575776"/>
    <w:rsid w:val="00575818"/>
    <w:rsid w:val="005758C6"/>
    <w:rsid w:val="0057593B"/>
    <w:rsid w:val="00575942"/>
    <w:rsid w:val="00575943"/>
    <w:rsid w:val="00575A0A"/>
    <w:rsid w:val="00575A4A"/>
    <w:rsid w:val="00575B09"/>
    <w:rsid w:val="00575B38"/>
    <w:rsid w:val="00575C75"/>
    <w:rsid w:val="00575CBA"/>
    <w:rsid w:val="00575CE9"/>
    <w:rsid w:val="00575D26"/>
    <w:rsid w:val="00575D3F"/>
    <w:rsid w:val="00575D9C"/>
    <w:rsid w:val="00575DD7"/>
    <w:rsid w:val="00575DDB"/>
    <w:rsid w:val="00575DDD"/>
    <w:rsid w:val="00575E2A"/>
    <w:rsid w:val="00575EC5"/>
    <w:rsid w:val="00575EF6"/>
    <w:rsid w:val="00575F64"/>
    <w:rsid w:val="0057600B"/>
    <w:rsid w:val="0057600F"/>
    <w:rsid w:val="00576127"/>
    <w:rsid w:val="00576269"/>
    <w:rsid w:val="00576279"/>
    <w:rsid w:val="00576340"/>
    <w:rsid w:val="005763B0"/>
    <w:rsid w:val="005763B1"/>
    <w:rsid w:val="00576426"/>
    <w:rsid w:val="005764F9"/>
    <w:rsid w:val="00576633"/>
    <w:rsid w:val="0057664E"/>
    <w:rsid w:val="00576657"/>
    <w:rsid w:val="005766B4"/>
    <w:rsid w:val="005767E3"/>
    <w:rsid w:val="0057689C"/>
    <w:rsid w:val="005768D9"/>
    <w:rsid w:val="00576909"/>
    <w:rsid w:val="0057691E"/>
    <w:rsid w:val="0057692C"/>
    <w:rsid w:val="00576961"/>
    <w:rsid w:val="00576A40"/>
    <w:rsid w:val="00576A9B"/>
    <w:rsid w:val="00576AD3"/>
    <w:rsid w:val="00576B28"/>
    <w:rsid w:val="00576B53"/>
    <w:rsid w:val="00576C94"/>
    <w:rsid w:val="00576C9F"/>
    <w:rsid w:val="00576CD6"/>
    <w:rsid w:val="00576CFD"/>
    <w:rsid w:val="00576D02"/>
    <w:rsid w:val="00576D9A"/>
    <w:rsid w:val="00576E03"/>
    <w:rsid w:val="00576E3A"/>
    <w:rsid w:val="00576E49"/>
    <w:rsid w:val="00576E5C"/>
    <w:rsid w:val="00576EEB"/>
    <w:rsid w:val="00576F09"/>
    <w:rsid w:val="00577091"/>
    <w:rsid w:val="005770C5"/>
    <w:rsid w:val="005770DC"/>
    <w:rsid w:val="005770FE"/>
    <w:rsid w:val="00577140"/>
    <w:rsid w:val="0057721E"/>
    <w:rsid w:val="005772B0"/>
    <w:rsid w:val="005772DF"/>
    <w:rsid w:val="00577318"/>
    <w:rsid w:val="00577363"/>
    <w:rsid w:val="00577389"/>
    <w:rsid w:val="005773C4"/>
    <w:rsid w:val="005773CB"/>
    <w:rsid w:val="005773FB"/>
    <w:rsid w:val="005773FD"/>
    <w:rsid w:val="0057745F"/>
    <w:rsid w:val="005774DE"/>
    <w:rsid w:val="0057756D"/>
    <w:rsid w:val="0057757A"/>
    <w:rsid w:val="0057760E"/>
    <w:rsid w:val="00577621"/>
    <w:rsid w:val="0057767A"/>
    <w:rsid w:val="00577749"/>
    <w:rsid w:val="00577773"/>
    <w:rsid w:val="0057777B"/>
    <w:rsid w:val="005777D6"/>
    <w:rsid w:val="0057780F"/>
    <w:rsid w:val="00577878"/>
    <w:rsid w:val="0057787A"/>
    <w:rsid w:val="005778C4"/>
    <w:rsid w:val="005778F2"/>
    <w:rsid w:val="0057790E"/>
    <w:rsid w:val="0057794F"/>
    <w:rsid w:val="0057798F"/>
    <w:rsid w:val="005779C0"/>
    <w:rsid w:val="00577A46"/>
    <w:rsid w:val="00577B7F"/>
    <w:rsid w:val="00577BAF"/>
    <w:rsid w:val="00577C72"/>
    <w:rsid w:val="00577D02"/>
    <w:rsid w:val="00577D27"/>
    <w:rsid w:val="00577D2F"/>
    <w:rsid w:val="00577DA7"/>
    <w:rsid w:val="00577E00"/>
    <w:rsid w:val="00577E15"/>
    <w:rsid w:val="00577F53"/>
    <w:rsid w:val="005800FB"/>
    <w:rsid w:val="005802BD"/>
    <w:rsid w:val="0058039F"/>
    <w:rsid w:val="005804C2"/>
    <w:rsid w:val="0058054C"/>
    <w:rsid w:val="00580631"/>
    <w:rsid w:val="00580651"/>
    <w:rsid w:val="0058066F"/>
    <w:rsid w:val="00580698"/>
    <w:rsid w:val="00580813"/>
    <w:rsid w:val="005808AE"/>
    <w:rsid w:val="005808D5"/>
    <w:rsid w:val="0058093D"/>
    <w:rsid w:val="0058098D"/>
    <w:rsid w:val="00580A29"/>
    <w:rsid w:val="00580A98"/>
    <w:rsid w:val="00580BB8"/>
    <w:rsid w:val="00580BC4"/>
    <w:rsid w:val="00580D13"/>
    <w:rsid w:val="00580D78"/>
    <w:rsid w:val="00580DB1"/>
    <w:rsid w:val="00580E6C"/>
    <w:rsid w:val="00580E97"/>
    <w:rsid w:val="00580EF0"/>
    <w:rsid w:val="00580F16"/>
    <w:rsid w:val="00580F64"/>
    <w:rsid w:val="00580FAE"/>
    <w:rsid w:val="00580FD0"/>
    <w:rsid w:val="00580FF8"/>
    <w:rsid w:val="00581028"/>
    <w:rsid w:val="0058103E"/>
    <w:rsid w:val="00581074"/>
    <w:rsid w:val="005810CE"/>
    <w:rsid w:val="005810DA"/>
    <w:rsid w:val="0058117A"/>
    <w:rsid w:val="00581184"/>
    <w:rsid w:val="005811CE"/>
    <w:rsid w:val="0058138C"/>
    <w:rsid w:val="005813BD"/>
    <w:rsid w:val="005814B4"/>
    <w:rsid w:val="005814DB"/>
    <w:rsid w:val="005814FE"/>
    <w:rsid w:val="0058152D"/>
    <w:rsid w:val="0058154A"/>
    <w:rsid w:val="00581577"/>
    <w:rsid w:val="0058158C"/>
    <w:rsid w:val="005815D0"/>
    <w:rsid w:val="0058169C"/>
    <w:rsid w:val="005816BC"/>
    <w:rsid w:val="0058171A"/>
    <w:rsid w:val="00581759"/>
    <w:rsid w:val="005817F2"/>
    <w:rsid w:val="0058183C"/>
    <w:rsid w:val="00581932"/>
    <w:rsid w:val="00581A17"/>
    <w:rsid w:val="00581AE3"/>
    <w:rsid w:val="00581B17"/>
    <w:rsid w:val="00581C23"/>
    <w:rsid w:val="00581D7F"/>
    <w:rsid w:val="00581E09"/>
    <w:rsid w:val="00581E20"/>
    <w:rsid w:val="00581E84"/>
    <w:rsid w:val="00581F0D"/>
    <w:rsid w:val="00581FA4"/>
    <w:rsid w:val="005820FF"/>
    <w:rsid w:val="0058237D"/>
    <w:rsid w:val="005823B2"/>
    <w:rsid w:val="005823CA"/>
    <w:rsid w:val="005823E5"/>
    <w:rsid w:val="005824B5"/>
    <w:rsid w:val="005824DB"/>
    <w:rsid w:val="005825B6"/>
    <w:rsid w:val="005825F8"/>
    <w:rsid w:val="00582687"/>
    <w:rsid w:val="00582716"/>
    <w:rsid w:val="0058272C"/>
    <w:rsid w:val="005827D0"/>
    <w:rsid w:val="0058297C"/>
    <w:rsid w:val="005829A0"/>
    <w:rsid w:val="00582A53"/>
    <w:rsid w:val="00582A78"/>
    <w:rsid w:val="00582AEC"/>
    <w:rsid w:val="00582CBA"/>
    <w:rsid w:val="00582E8F"/>
    <w:rsid w:val="00582F28"/>
    <w:rsid w:val="00582FF0"/>
    <w:rsid w:val="005830BE"/>
    <w:rsid w:val="005830EB"/>
    <w:rsid w:val="00583114"/>
    <w:rsid w:val="00583217"/>
    <w:rsid w:val="00583349"/>
    <w:rsid w:val="005833BA"/>
    <w:rsid w:val="00583409"/>
    <w:rsid w:val="005835C2"/>
    <w:rsid w:val="005835DD"/>
    <w:rsid w:val="005835FD"/>
    <w:rsid w:val="00583630"/>
    <w:rsid w:val="00583648"/>
    <w:rsid w:val="00583760"/>
    <w:rsid w:val="005837F8"/>
    <w:rsid w:val="0058384D"/>
    <w:rsid w:val="00583880"/>
    <w:rsid w:val="00583884"/>
    <w:rsid w:val="0058389D"/>
    <w:rsid w:val="00583900"/>
    <w:rsid w:val="00583936"/>
    <w:rsid w:val="00583A79"/>
    <w:rsid w:val="00583C1E"/>
    <w:rsid w:val="00583C97"/>
    <w:rsid w:val="00583CF4"/>
    <w:rsid w:val="00583D21"/>
    <w:rsid w:val="00583D26"/>
    <w:rsid w:val="00583D9D"/>
    <w:rsid w:val="00583E32"/>
    <w:rsid w:val="00583EBB"/>
    <w:rsid w:val="00583F96"/>
    <w:rsid w:val="00583FBD"/>
    <w:rsid w:val="00584109"/>
    <w:rsid w:val="0058411F"/>
    <w:rsid w:val="00584152"/>
    <w:rsid w:val="005841A0"/>
    <w:rsid w:val="005841D3"/>
    <w:rsid w:val="005841DF"/>
    <w:rsid w:val="005841F1"/>
    <w:rsid w:val="00584391"/>
    <w:rsid w:val="005843A1"/>
    <w:rsid w:val="005843A3"/>
    <w:rsid w:val="005843DF"/>
    <w:rsid w:val="005843FE"/>
    <w:rsid w:val="0058440B"/>
    <w:rsid w:val="00584474"/>
    <w:rsid w:val="00584534"/>
    <w:rsid w:val="00584565"/>
    <w:rsid w:val="0058460B"/>
    <w:rsid w:val="0058460E"/>
    <w:rsid w:val="0058466E"/>
    <w:rsid w:val="005846C1"/>
    <w:rsid w:val="005848AA"/>
    <w:rsid w:val="005848F0"/>
    <w:rsid w:val="0058496C"/>
    <w:rsid w:val="005849BE"/>
    <w:rsid w:val="00584AE6"/>
    <w:rsid w:val="00584B53"/>
    <w:rsid w:val="00584B79"/>
    <w:rsid w:val="00584D14"/>
    <w:rsid w:val="00584D36"/>
    <w:rsid w:val="00584DD5"/>
    <w:rsid w:val="00584E82"/>
    <w:rsid w:val="00584EC9"/>
    <w:rsid w:val="00584F5A"/>
    <w:rsid w:val="00584F6B"/>
    <w:rsid w:val="0058501F"/>
    <w:rsid w:val="005850C0"/>
    <w:rsid w:val="0058510D"/>
    <w:rsid w:val="0058513B"/>
    <w:rsid w:val="00585239"/>
    <w:rsid w:val="005852C6"/>
    <w:rsid w:val="00585437"/>
    <w:rsid w:val="0058544D"/>
    <w:rsid w:val="005854D3"/>
    <w:rsid w:val="005856FD"/>
    <w:rsid w:val="0058585C"/>
    <w:rsid w:val="00585880"/>
    <w:rsid w:val="00585939"/>
    <w:rsid w:val="00585946"/>
    <w:rsid w:val="005859D0"/>
    <w:rsid w:val="005859D6"/>
    <w:rsid w:val="00585BF5"/>
    <w:rsid w:val="00585C62"/>
    <w:rsid w:val="00585C86"/>
    <w:rsid w:val="00585CC7"/>
    <w:rsid w:val="00585D7B"/>
    <w:rsid w:val="00585DE9"/>
    <w:rsid w:val="00585ECE"/>
    <w:rsid w:val="00585F9F"/>
    <w:rsid w:val="00585FEB"/>
    <w:rsid w:val="00586055"/>
    <w:rsid w:val="00586146"/>
    <w:rsid w:val="00586178"/>
    <w:rsid w:val="005861A2"/>
    <w:rsid w:val="005861E8"/>
    <w:rsid w:val="00586300"/>
    <w:rsid w:val="0058630B"/>
    <w:rsid w:val="00586326"/>
    <w:rsid w:val="0058633F"/>
    <w:rsid w:val="005863A2"/>
    <w:rsid w:val="00586529"/>
    <w:rsid w:val="00586580"/>
    <w:rsid w:val="0058658E"/>
    <w:rsid w:val="005865AA"/>
    <w:rsid w:val="0058669D"/>
    <w:rsid w:val="005866C4"/>
    <w:rsid w:val="005866E9"/>
    <w:rsid w:val="005866F0"/>
    <w:rsid w:val="0058678D"/>
    <w:rsid w:val="005867AD"/>
    <w:rsid w:val="005867D8"/>
    <w:rsid w:val="005868C1"/>
    <w:rsid w:val="005869EE"/>
    <w:rsid w:val="00586AEA"/>
    <w:rsid w:val="00586B2E"/>
    <w:rsid w:val="00586B9B"/>
    <w:rsid w:val="00586D25"/>
    <w:rsid w:val="00586D28"/>
    <w:rsid w:val="00586D6C"/>
    <w:rsid w:val="00586D99"/>
    <w:rsid w:val="00586DDA"/>
    <w:rsid w:val="00586E26"/>
    <w:rsid w:val="00586F4A"/>
    <w:rsid w:val="00587027"/>
    <w:rsid w:val="00587069"/>
    <w:rsid w:val="005870C5"/>
    <w:rsid w:val="00587137"/>
    <w:rsid w:val="0058715C"/>
    <w:rsid w:val="00587182"/>
    <w:rsid w:val="005871F6"/>
    <w:rsid w:val="005872EB"/>
    <w:rsid w:val="005873D2"/>
    <w:rsid w:val="00587427"/>
    <w:rsid w:val="0058743D"/>
    <w:rsid w:val="00587477"/>
    <w:rsid w:val="005874BA"/>
    <w:rsid w:val="005875CE"/>
    <w:rsid w:val="00587625"/>
    <w:rsid w:val="005876F8"/>
    <w:rsid w:val="005877FB"/>
    <w:rsid w:val="0058793D"/>
    <w:rsid w:val="005879B4"/>
    <w:rsid w:val="00587B24"/>
    <w:rsid w:val="00587BBC"/>
    <w:rsid w:val="00587BD7"/>
    <w:rsid w:val="00587BD8"/>
    <w:rsid w:val="00587BF2"/>
    <w:rsid w:val="00587C5E"/>
    <w:rsid w:val="00587CA6"/>
    <w:rsid w:val="00587CBA"/>
    <w:rsid w:val="00587CBC"/>
    <w:rsid w:val="00587D39"/>
    <w:rsid w:val="00587D80"/>
    <w:rsid w:val="00587DF6"/>
    <w:rsid w:val="00587E68"/>
    <w:rsid w:val="00587EAA"/>
    <w:rsid w:val="00587EDD"/>
    <w:rsid w:val="00587F0C"/>
    <w:rsid w:val="00587F3C"/>
    <w:rsid w:val="00587FCC"/>
    <w:rsid w:val="00590064"/>
    <w:rsid w:val="00590088"/>
    <w:rsid w:val="005900DA"/>
    <w:rsid w:val="005900F2"/>
    <w:rsid w:val="00590164"/>
    <w:rsid w:val="00590184"/>
    <w:rsid w:val="00590189"/>
    <w:rsid w:val="005902B3"/>
    <w:rsid w:val="0059032B"/>
    <w:rsid w:val="005903BE"/>
    <w:rsid w:val="00590492"/>
    <w:rsid w:val="0059053F"/>
    <w:rsid w:val="00590612"/>
    <w:rsid w:val="0059066B"/>
    <w:rsid w:val="005906CF"/>
    <w:rsid w:val="0059071C"/>
    <w:rsid w:val="00590799"/>
    <w:rsid w:val="005908A0"/>
    <w:rsid w:val="00590904"/>
    <w:rsid w:val="00590963"/>
    <w:rsid w:val="005909D4"/>
    <w:rsid w:val="005909E7"/>
    <w:rsid w:val="00590B7B"/>
    <w:rsid w:val="00590B88"/>
    <w:rsid w:val="00590BE0"/>
    <w:rsid w:val="00590C22"/>
    <w:rsid w:val="00590CD4"/>
    <w:rsid w:val="00590D8E"/>
    <w:rsid w:val="00590DFB"/>
    <w:rsid w:val="00590FA7"/>
    <w:rsid w:val="00590FD0"/>
    <w:rsid w:val="00591092"/>
    <w:rsid w:val="0059110A"/>
    <w:rsid w:val="00591157"/>
    <w:rsid w:val="005911E4"/>
    <w:rsid w:val="00591209"/>
    <w:rsid w:val="0059120C"/>
    <w:rsid w:val="0059126B"/>
    <w:rsid w:val="00591270"/>
    <w:rsid w:val="00591274"/>
    <w:rsid w:val="005913D7"/>
    <w:rsid w:val="0059143B"/>
    <w:rsid w:val="00591486"/>
    <w:rsid w:val="005915CA"/>
    <w:rsid w:val="0059164D"/>
    <w:rsid w:val="0059167E"/>
    <w:rsid w:val="0059174D"/>
    <w:rsid w:val="00591751"/>
    <w:rsid w:val="00591783"/>
    <w:rsid w:val="0059178F"/>
    <w:rsid w:val="005918A7"/>
    <w:rsid w:val="005919F3"/>
    <w:rsid w:val="00591A7D"/>
    <w:rsid w:val="00591AD2"/>
    <w:rsid w:val="00591B3D"/>
    <w:rsid w:val="00591BC3"/>
    <w:rsid w:val="00591C3A"/>
    <w:rsid w:val="00591C81"/>
    <w:rsid w:val="00591CA7"/>
    <w:rsid w:val="00591D1D"/>
    <w:rsid w:val="00591D38"/>
    <w:rsid w:val="00591D62"/>
    <w:rsid w:val="00591DA2"/>
    <w:rsid w:val="00591DED"/>
    <w:rsid w:val="00591E41"/>
    <w:rsid w:val="00591E9F"/>
    <w:rsid w:val="00591EE0"/>
    <w:rsid w:val="00591EFF"/>
    <w:rsid w:val="00591FA6"/>
    <w:rsid w:val="00591FDF"/>
    <w:rsid w:val="00592091"/>
    <w:rsid w:val="00592177"/>
    <w:rsid w:val="0059224D"/>
    <w:rsid w:val="00592259"/>
    <w:rsid w:val="005922CE"/>
    <w:rsid w:val="005922D9"/>
    <w:rsid w:val="0059232A"/>
    <w:rsid w:val="0059253B"/>
    <w:rsid w:val="00592568"/>
    <w:rsid w:val="00592569"/>
    <w:rsid w:val="00592573"/>
    <w:rsid w:val="00592637"/>
    <w:rsid w:val="00592665"/>
    <w:rsid w:val="005926ED"/>
    <w:rsid w:val="005926FE"/>
    <w:rsid w:val="00592746"/>
    <w:rsid w:val="005927C4"/>
    <w:rsid w:val="00592869"/>
    <w:rsid w:val="005928A5"/>
    <w:rsid w:val="005929B0"/>
    <w:rsid w:val="00592A2A"/>
    <w:rsid w:val="00592A98"/>
    <w:rsid w:val="00592BFD"/>
    <w:rsid w:val="00592C20"/>
    <w:rsid w:val="00592C7B"/>
    <w:rsid w:val="00592C84"/>
    <w:rsid w:val="00592D26"/>
    <w:rsid w:val="00592D37"/>
    <w:rsid w:val="00592D5A"/>
    <w:rsid w:val="00592D7C"/>
    <w:rsid w:val="00592DE4"/>
    <w:rsid w:val="00592EB1"/>
    <w:rsid w:val="00592EBD"/>
    <w:rsid w:val="00592ED9"/>
    <w:rsid w:val="00592F47"/>
    <w:rsid w:val="00592F76"/>
    <w:rsid w:val="00592FD0"/>
    <w:rsid w:val="005930E7"/>
    <w:rsid w:val="005930FC"/>
    <w:rsid w:val="00593151"/>
    <w:rsid w:val="00593287"/>
    <w:rsid w:val="005933E3"/>
    <w:rsid w:val="00593451"/>
    <w:rsid w:val="0059367E"/>
    <w:rsid w:val="00593720"/>
    <w:rsid w:val="00593743"/>
    <w:rsid w:val="005937B6"/>
    <w:rsid w:val="005937BA"/>
    <w:rsid w:val="0059392B"/>
    <w:rsid w:val="00593987"/>
    <w:rsid w:val="00593A21"/>
    <w:rsid w:val="00593A48"/>
    <w:rsid w:val="00593A66"/>
    <w:rsid w:val="00593BF5"/>
    <w:rsid w:val="00593D14"/>
    <w:rsid w:val="00593F46"/>
    <w:rsid w:val="005940CA"/>
    <w:rsid w:val="0059415D"/>
    <w:rsid w:val="0059418B"/>
    <w:rsid w:val="00594194"/>
    <w:rsid w:val="005941DB"/>
    <w:rsid w:val="00594254"/>
    <w:rsid w:val="005942C0"/>
    <w:rsid w:val="00594304"/>
    <w:rsid w:val="0059430C"/>
    <w:rsid w:val="0059433E"/>
    <w:rsid w:val="0059434C"/>
    <w:rsid w:val="005943A3"/>
    <w:rsid w:val="005943C7"/>
    <w:rsid w:val="0059464D"/>
    <w:rsid w:val="00594684"/>
    <w:rsid w:val="005946D7"/>
    <w:rsid w:val="005948BA"/>
    <w:rsid w:val="0059491B"/>
    <w:rsid w:val="0059496D"/>
    <w:rsid w:val="0059498F"/>
    <w:rsid w:val="00594A92"/>
    <w:rsid w:val="00594C28"/>
    <w:rsid w:val="00594CBD"/>
    <w:rsid w:val="00594CEE"/>
    <w:rsid w:val="00594CF2"/>
    <w:rsid w:val="00594D04"/>
    <w:rsid w:val="00594D26"/>
    <w:rsid w:val="00594D2D"/>
    <w:rsid w:val="00594D92"/>
    <w:rsid w:val="00594DF1"/>
    <w:rsid w:val="00594E3A"/>
    <w:rsid w:val="00594E53"/>
    <w:rsid w:val="00594EF2"/>
    <w:rsid w:val="00594F19"/>
    <w:rsid w:val="00594F3E"/>
    <w:rsid w:val="00594F9B"/>
    <w:rsid w:val="00594FA5"/>
    <w:rsid w:val="00594FED"/>
    <w:rsid w:val="00594FF9"/>
    <w:rsid w:val="00595019"/>
    <w:rsid w:val="00595064"/>
    <w:rsid w:val="005950F3"/>
    <w:rsid w:val="00595101"/>
    <w:rsid w:val="00595171"/>
    <w:rsid w:val="0059520E"/>
    <w:rsid w:val="00595237"/>
    <w:rsid w:val="0059524A"/>
    <w:rsid w:val="00595256"/>
    <w:rsid w:val="00595273"/>
    <w:rsid w:val="0059529B"/>
    <w:rsid w:val="0059529C"/>
    <w:rsid w:val="0059532F"/>
    <w:rsid w:val="00595358"/>
    <w:rsid w:val="005953AF"/>
    <w:rsid w:val="00595446"/>
    <w:rsid w:val="00595454"/>
    <w:rsid w:val="00595500"/>
    <w:rsid w:val="00595559"/>
    <w:rsid w:val="00595594"/>
    <w:rsid w:val="0059568D"/>
    <w:rsid w:val="005956A9"/>
    <w:rsid w:val="00595761"/>
    <w:rsid w:val="00595763"/>
    <w:rsid w:val="0059578E"/>
    <w:rsid w:val="005957D8"/>
    <w:rsid w:val="0059591B"/>
    <w:rsid w:val="00595936"/>
    <w:rsid w:val="0059595A"/>
    <w:rsid w:val="005959AE"/>
    <w:rsid w:val="00595AB7"/>
    <w:rsid w:val="00595ADD"/>
    <w:rsid w:val="00595B09"/>
    <w:rsid w:val="00595B59"/>
    <w:rsid w:val="00595B8D"/>
    <w:rsid w:val="00595BC0"/>
    <w:rsid w:val="00595C84"/>
    <w:rsid w:val="00595D41"/>
    <w:rsid w:val="00595DCB"/>
    <w:rsid w:val="00595E63"/>
    <w:rsid w:val="00595F31"/>
    <w:rsid w:val="00595FA9"/>
    <w:rsid w:val="00596021"/>
    <w:rsid w:val="00596043"/>
    <w:rsid w:val="0059608A"/>
    <w:rsid w:val="005960F9"/>
    <w:rsid w:val="005960FF"/>
    <w:rsid w:val="00596149"/>
    <w:rsid w:val="00596185"/>
    <w:rsid w:val="005962B8"/>
    <w:rsid w:val="00596339"/>
    <w:rsid w:val="005963CD"/>
    <w:rsid w:val="00596534"/>
    <w:rsid w:val="005965AE"/>
    <w:rsid w:val="005965F8"/>
    <w:rsid w:val="0059664E"/>
    <w:rsid w:val="0059667E"/>
    <w:rsid w:val="005966E3"/>
    <w:rsid w:val="00596710"/>
    <w:rsid w:val="00596755"/>
    <w:rsid w:val="00596801"/>
    <w:rsid w:val="0059686B"/>
    <w:rsid w:val="00596887"/>
    <w:rsid w:val="00596916"/>
    <w:rsid w:val="00596943"/>
    <w:rsid w:val="00596966"/>
    <w:rsid w:val="005969A3"/>
    <w:rsid w:val="005969B6"/>
    <w:rsid w:val="005969C2"/>
    <w:rsid w:val="00596A3B"/>
    <w:rsid w:val="00596AF3"/>
    <w:rsid w:val="00596BCF"/>
    <w:rsid w:val="00596C80"/>
    <w:rsid w:val="00596CBD"/>
    <w:rsid w:val="00596E7D"/>
    <w:rsid w:val="00596EAB"/>
    <w:rsid w:val="00596EB4"/>
    <w:rsid w:val="00596FE2"/>
    <w:rsid w:val="0059701A"/>
    <w:rsid w:val="00597027"/>
    <w:rsid w:val="005970C2"/>
    <w:rsid w:val="00597212"/>
    <w:rsid w:val="00597232"/>
    <w:rsid w:val="00597268"/>
    <w:rsid w:val="005972EA"/>
    <w:rsid w:val="00597343"/>
    <w:rsid w:val="0059735C"/>
    <w:rsid w:val="0059736D"/>
    <w:rsid w:val="0059737B"/>
    <w:rsid w:val="005973DD"/>
    <w:rsid w:val="005974A8"/>
    <w:rsid w:val="005974F2"/>
    <w:rsid w:val="00597530"/>
    <w:rsid w:val="00597560"/>
    <w:rsid w:val="00597570"/>
    <w:rsid w:val="00597597"/>
    <w:rsid w:val="005975D9"/>
    <w:rsid w:val="0059760B"/>
    <w:rsid w:val="00597647"/>
    <w:rsid w:val="00597683"/>
    <w:rsid w:val="00597696"/>
    <w:rsid w:val="0059770C"/>
    <w:rsid w:val="00597758"/>
    <w:rsid w:val="0059777B"/>
    <w:rsid w:val="00597900"/>
    <w:rsid w:val="005979DF"/>
    <w:rsid w:val="00597A3E"/>
    <w:rsid w:val="00597A44"/>
    <w:rsid w:val="00597A7F"/>
    <w:rsid w:val="00597AFE"/>
    <w:rsid w:val="00597B6B"/>
    <w:rsid w:val="00597BEC"/>
    <w:rsid w:val="00597C01"/>
    <w:rsid w:val="00597C61"/>
    <w:rsid w:val="00597C8F"/>
    <w:rsid w:val="00597CB2"/>
    <w:rsid w:val="00597CBF"/>
    <w:rsid w:val="00597CED"/>
    <w:rsid w:val="00597D21"/>
    <w:rsid w:val="00597D23"/>
    <w:rsid w:val="00597D29"/>
    <w:rsid w:val="00597D55"/>
    <w:rsid w:val="00597D91"/>
    <w:rsid w:val="00597E3B"/>
    <w:rsid w:val="00597EE3"/>
    <w:rsid w:val="00597F4E"/>
    <w:rsid w:val="00597FEB"/>
    <w:rsid w:val="005A00C4"/>
    <w:rsid w:val="005A0116"/>
    <w:rsid w:val="005A0125"/>
    <w:rsid w:val="005A027C"/>
    <w:rsid w:val="005A0291"/>
    <w:rsid w:val="005A0408"/>
    <w:rsid w:val="005A047E"/>
    <w:rsid w:val="005A0507"/>
    <w:rsid w:val="005A054C"/>
    <w:rsid w:val="005A0572"/>
    <w:rsid w:val="005A0576"/>
    <w:rsid w:val="005A058C"/>
    <w:rsid w:val="005A05E9"/>
    <w:rsid w:val="005A0697"/>
    <w:rsid w:val="005A079C"/>
    <w:rsid w:val="005A079E"/>
    <w:rsid w:val="005A07DC"/>
    <w:rsid w:val="005A0824"/>
    <w:rsid w:val="005A0857"/>
    <w:rsid w:val="005A0906"/>
    <w:rsid w:val="005A0A77"/>
    <w:rsid w:val="005A0AC7"/>
    <w:rsid w:val="005A0B52"/>
    <w:rsid w:val="005A0B96"/>
    <w:rsid w:val="005A0C07"/>
    <w:rsid w:val="005A0C55"/>
    <w:rsid w:val="005A0CAF"/>
    <w:rsid w:val="005A0D62"/>
    <w:rsid w:val="005A0DD3"/>
    <w:rsid w:val="005A0E99"/>
    <w:rsid w:val="005A0ED6"/>
    <w:rsid w:val="005A0F2C"/>
    <w:rsid w:val="005A0F5A"/>
    <w:rsid w:val="005A0F7A"/>
    <w:rsid w:val="005A1058"/>
    <w:rsid w:val="005A106E"/>
    <w:rsid w:val="005A10B9"/>
    <w:rsid w:val="005A1131"/>
    <w:rsid w:val="005A1133"/>
    <w:rsid w:val="005A113C"/>
    <w:rsid w:val="005A117B"/>
    <w:rsid w:val="005A1206"/>
    <w:rsid w:val="005A1230"/>
    <w:rsid w:val="005A130B"/>
    <w:rsid w:val="005A1331"/>
    <w:rsid w:val="005A1333"/>
    <w:rsid w:val="005A135D"/>
    <w:rsid w:val="005A13D5"/>
    <w:rsid w:val="005A13E6"/>
    <w:rsid w:val="005A150E"/>
    <w:rsid w:val="005A1584"/>
    <w:rsid w:val="005A15BE"/>
    <w:rsid w:val="005A16B0"/>
    <w:rsid w:val="005A16DA"/>
    <w:rsid w:val="005A1740"/>
    <w:rsid w:val="005A1783"/>
    <w:rsid w:val="005A178C"/>
    <w:rsid w:val="005A18A6"/>
    <w:rsid w:val="005A18B7"/>
    <w:rsid w:val="005A194C"/>
    <w:rsid w:val="005A1A55"/>
    <w:rsid w:val="005A1B2F"/>
    <w:rsid w:val="005A1BE3"/>
    <w:rsid w:val="005A1C2A"/>
    <w:rsid w:val="005A1D2A"/>
    <w:rsid w:val="005A1D31"/>
    <w:rsid w:val="005A1D4F"/>
    <w:rsid w:val="005A1D60"/>
    <w:rsid w:val="005A1DC3"/>
    <w:rsid w:val="005A1EF1"/>
    <w:rsid w:val="005A1F20"/>
    <w:rsid w:val="005A1F85"/>
    <w:rsid w:val="005A2059"/>
    <w:rsid w:val="005A2092"/>
    <w:rsid w:val="005A2140"/>
    <w:rsid w:val="005A2146"/>
    <w:rsid w:val="005A2154"/>
    <w:rsid w:val="005A2207"/>
    <w:rsid w:val="005A2228"/>
    <w:rsid w:val="005A2270"/>
    <w:rsid w:val="005A2337"/>
    <w:rsid w:val="005A2339"/>
    <w:rsid w:val="005A239C"/>
    <w:rsid w:val="005A24AC"/>
    <w:rsid w:val="005A24F2"/>
    <w:rsid w:val="005A25B7"/>
    <w:rsid w:val="005A25EF"/>
    <w:rsid w:val="005A2614"/>
    <w:rsid w:val="005A265B"/>
    <w:rsid w:val="005A267B"/>
    <w:rsid w:val="005A26AE"/>
    <w:rsid w:val="005A26D4"/>
    <w:rsid w:val="005A2797"/>
    <w:rsid w:val="005A27B6"/>
    <w:rsid w:val="005A27EA"/>
    <w:rsid w:val="005A27F5"/>
    <w:rsid w:val="005A2856"/>
    <w:rsid w:val="005A291D"/>
    <w:rsid w:val="005A29B8"/>
    <w:rsid w:val="005A29CB"/>
    <w:rsid w:val="005A2A74"/>
    <w:rsid w:val="005A2A96"/>
    <w:rsid w:val="005A2ADD"/>
    <w:rsid w:val="005A2C29"/>
    <w:rsid w:val="005A2C32"/>
    <w:rsid w:val="005A2C85"/>
    <w:rsid w:val="005A2D5C"/>
    <w:rsid w:val="005A2DDE"/>
    <w:rsid w:val="005A2DEE"/>
    <w:rsid w:val="005A2F38"/>
    <w:rsid w:val="005A2F4A"/>
    <w:rsid w:val="005A3035"/>
    <w:rsid w:val="005A30C7"/>
    <w:rsid w:val="005A30D6"/>
    <w:rsid w:val="005A3108"/>
    <w:rsid w:val="005A315F"/>
    <w:rsid w:val="005A31A5"/>
    <w:rsid w:val="005A3375"/>
    <w:rsid w:val="005A3392"/>
    <w:rsid w:val="005A33C7"/>
    <w:rsid w:val="005A342E"/>
    <w:rsid w:val="005A3469"/>
    <w:rsid w:val="005A34EF"/>
    <w:rsid w:val="005A353C"/>
    <w:rsid w:val="005A356A"/>
    <w:rsid w:val="005A357E"/>
    <w:rsid w:val="005A35EC"/>
    <w:rsid w:val="005A360C"/>
    <w:rsid w:val="005A3756"/>
    <w:rsid w:val="005A375C"/>
    <w:rsid w:val="005A378F"/>
    <w:rsid w:val="005A37BE"/>
    <w:rsid w:val="005A392E"/>
    <w:rsid w:val="005A39C3"/>
    <w:rsid w:val="005A39E6"/>
    <w:rsid w:val="005A3A2B"/>
    <w:rsid w:val="005A3B3A"/>
    <w:rsid w:val="005A3BBE"/>
    <w:rsid w:val="005A3C82"/>
    <w:rsid w:val="005A3CA1"/>
    <w:rsid w:val="005A3CAD"/>
    <w:rsid w:val="005A3D0B"/>
    <w:rsid w:val="005A3D12"/>
    <w:rsid w:val="005A3D21"/>
    <w:rsid w:val="005A3D4A"/>
    <w:rsid w:val="005A3DA1"/>
    <w:rsid w:val="005A3E44"/>
    <w:rsid w:val="005A4041"/>
    <w:rsid w:val="005A407F"/>
    <w:rsid w:val="005A40B7"/>
    <w:rsid w:val="005A410F"/>
    <w:rsid w:val="005A41B8"/>
    <w:rsid w:val="005A41FA"/>
    <w:rsid w:val="005A424F"/>
    <w:rsid w:val="005A4438"/>
    <w:rsid w:val="005A444E"/>
    <w:rsid w:val="005A44A9"/>
    <w:rsid w:val="005A44CB"/>
    <w:rsid w:val="005A4659"/>
    <w:rsid w:val="005A466D"/>
    <w:rsid w:val="005A4749"/>
    <w:rsid w:val="005A475A"/>
    <w:rsid w:val="005A4786"/>
    <w:rsid w:val="005A4881"/>
    <w:rsid w:val="005A48A4"/>
    <w:rsid w:val="005A4937"/>
    <w:rsid w:val="005A49F5"/>
    <w:rsid w:val="005A4B12"/>
    <w:rsid w:val="005A4B83"/>
    <w:rsid w:val="005A4B95"/>
    <w:rsid w:val="005A4BA8"/>
    <w:rsid w:val="005A4BF9"/>
    <w:rsid w:val="005A4CAA"/>
    <w:rsid w:val="005A4D0C"/>
    <w:rsid w:val="005A4D8A"/>
    <w:rsid w:val="005A4DCC"/>
    <w:rsid w:val="005A4EF1"/>
    <w:rsid w:val="005A4F1A"/>
    <w:rsid w:val="005A4F20"/>
    <w:rsid w:val="005A4F67"/>
    <w:rsid w:val="005A4FFB"/>
    <w:rsid w:val="005A5021"/>
    <w:rsid w:val="005A519E"/>
    <w:rsid w:val="005A5205"/>
    <w:rsid w:val="005A5220"/>
    <w:rsid w:val="005A5299"/>
    <w:rsid w:val="005A5304"/>
    <w:rsid w:val="005A531C"/>
    <w:rsid w:val="005A53FD"/>
    <w:rsid w:val="005A5419"/>
    <w:rsid w:val="005A54E4"/>
    <w:rsid w:val="005A5531"/>
    <w:rsid w:val="005A5550"/>
    <w:rsid w:val="005A55DD"/>
    <w:rsid w:val="005A5630"/>
    <w:rsid w:val="005A56EC"/>
    <w:rsid w:val="005A5778"/>
    <w:rsid w:val="005A584E"/>
    <w:rsid w:val="005A58B4"/>
    <w:rsid w:val="005A58FC"/>
    <w:rsid w:val="005A59BD"/>
    <w:rsid w:val="005A5A2E"/>
    <w:rsid w:val="005A5A36"/>
    <w:rsid w:val="005A5A43"/>
    <w:rsid w:val="005A5AA4"/>
    <w:rsid w:val="005A5AC1"/>
    <w:rsid w:val="005A5ACA"/>
    <w:rsid w:val="005A5CA7"/>
    <w:rsid w:val="005A5DA6"/>
    <w:rsid w:val="005A5F22"/>
    <w:rsid w:val="005A5FB1"/>
    <w:rsid w:val="005A5FF7"/>
    <w:rsid w:val="005A60B2"/>
    <w:rsid w:val="005A61F2"/>
    <w:rsid w:val="005A6218"/>
    <w:rsid w:val="005A625B"/>
    <w:rsid w:val="005A64AB"/>
    <w:rsid w:val="005A64B7"/>
    <w:rsid w:val="005A654B"/>
    <w:rsid w:val="005A655F"/>
    <w:rsid w:val="005A67C1"/>
    <w:rsid w:val="005A67E3"/>
    <w:rsid w:val="005A67F7"/>
    <w:rsid w:val="005A6900"/>
    <w:rsid w:val="005A699A"/>
    <w:rsid w:val="005A69C7"/>
    <w:rsid w:val="005A6A47"/>
    <w:rsid w:val="005A6AC8"/>
    <w:rsid w:val="005A6BAA"/>
    <w:rsid w:val="005A6D0F"/>
    <w:rsid w:val="005A6D51"/>
    <w:rsid w:val="005A6DE0"/>
    <w:rsid w:val="005A6E6B"/>
    <w:rsid w:val="005A6E70"/>
    <w:rsid w:val="005A6E82"/>
    <w:rsid w:val="005A6E90"/>
    <w:rsid w:val="005A6EB3"/>
    <w:rsid w:val="005A6EDE"/>
    <w:rsid w:val="005A6F48"/>
    <w:rsid w:val="005A6F66"/>
    <w:rsid w:val="005A6F71"/>
    <w:rsid w:val="005A7115"/>
    <w:rsid w:val="005A71C4"/>
    <w:rsid w:val="005A7220"/>
    <w:rsid w:val="005A7243"/>
    <w:rsid w:val="005A727C"/>
    <w:rsid w:val="005A72DD"/>
    <w:rsid w:val="005A73A2"/>
    <w:rsid w:val="005A748E"/>
    <w:rsid w:val="005A74C8"/>
    <w:rsid w:val="005A759A"/>
    <w:rsid w:val="005A759F"/>
    <w:rsid w:val="005A761F"/>
    <w:rsid w:val="005A7624"/>
    <w:rsid w:val="005A767E"/>
    <w:rsid w:val="005A768C"/>
    <w:rsid w:val="005A76BF"/>
    <w:rsid w:val="005A7745"/>
    <w:rsid w:val="005A776B"/>
    <w:rsid w:val="005A78DA"/>
    <w:rsid w:val="005A790C"/>
    <w:rsid w:val="005A7A3F"/>
    <w:rsid w:val="005A7A45"/>
    <w:rsid w:val="005A7AD6"/>
    <w:rsid w:val="005A7B1E"/>
    <w:rsid w:val="005A7B99"/>
    <w:rsid w:val="005A7BD1"/>
    <w:rsid w:val="005A7BF9"/>
    <w:rsid w:val="005A7C44"/>
    <w:rsid w:val="005A7CD4"/>
    <w:rsid w:val="005A7D6B"/>
    <w:rsid w:val="005A7D9D"/>
    <w:rsid w:val="005A7D9F"/>
    <w:rsid w:val="005A7E44"/>
    <w:rsid w:val="005A7F7B"/>
    <w:rsid w:val="005A7FFB"/>
    <w:rsid w:val="005B002D"/>
    <w:rsid w:val="005B005E"/>
    <w:rsid w:val="005B00D5"/>
    <w:rsid w:val="005B00F8"/>
    <w:rsid w:val="005B014D"/>
    <w:rsid w:val="005B0193"/>
    <w:rsid w:val="005B02AC"/>
    <w:rsid w:val="005B02D9"/>
    <w:rsid w:val="005B036E"/>
    <w:rsid w:val="005B0485"/>
    <w:rsid w:val="005B048D"/>
    <w:rsid w:val="005B0494"/>
    <w:rsid w:val="005B0495"/>
    <w:rsid w:val="005B04F1"/>
    <w:rsid w:val="005B0533"/>
    <w:rsid w:val="005B0544"/>
    <w:rsid w:val="005B0551"/>
    <w:rsid w:val="005B0554"/>
    <w:rsid w:val="005B05C9"/>
    <w:rsid w:val="005B0633"/>
    <w:rsid w:val="005B06BB"/>
    <w:rsid w:val="005B08BA"/>
    <w:rsid w:val="005B08D3"/>
    <w:rsid w:val="005B093C"/>
    <w:rsid w:val="005B09A4"/>
    <w:rsid w:val="005B09C7"/>
    <w:rsid w:val="005B09ED"/>
    <w:rsid w:val="005B0A63"/>
    <w:rsid w:val="005B0C21"/>
    <w:rsid w:val="005B0C5B"/>
    <w:rsid w:val="005B0C9A"/>
    <w:rsid w:val="005B0CCF"/>
    <w:rsid w:val="005B0CE2"/>
    <w:rsid w:val="005B0CE4"/>
    <w:rsid w:val="005B0D0D"/>
    <w:rsid w:val="005B0D1F"/>
    <w:rsid w:val="005B0D32"/>
    <w:rsid w:val="005B0F2E"/>
    <w:rsid w:val="005B0F46"/>
    <w:rsid w:val="005B0FFB"/>
    <w:rsid w:val="005B101C"/>
    <w:rsid w:val="005B1084"/>
    <w:rsid w:val="005B10B6"/>
    <w:rsid w:val="005B120B"/>
    <w:rsid w:val="005B14A0"/>
    <w:rsid w:val="005B14E2"/>
    <w:rsid w:val="005B14F2"/>
    <w:rsid w:val="005B14FE"/>
    <w:rsid w:val="005B1558"/>
    <w:rsid w:val="005B15C9"/>
    <w:rsid w:val="005B15FD"/>
    <w:rsid w:val="005B1670"/>
    <w:rsid w:val="005B1731"/>
    <w:rsid w:val="005B17A6"/>
    <w:rsid w:val="005B190E"/>
    <w:rsid w:val="005B19C9"/>
    <w:rsid w:val="005B19FE"/>
    <w:rsid w:val="005B1ACA"/>
    <w:rsid w:val="005B1BA1"/>
    <w:rsid w:val="005B1C4A"/>
    <w:rsid w:val="005B1C55"/>
    <w:rsid w:val="005B1C84"/>
    <w:rsid w:val="005B1D13"/>
    <w:rsid w:val="005B1D2F"/>
    <w:rsid w:val="005B1D7A"/>
    <w:rsid w:val="005B1D7D"/>
    <w:rsid w:val="005B1EE8"/>
    <w:rsid w:val="005B1F0E"/>
    <w:rsid w:val="005B1F3E"/>
    <w:rsid w:val="005B20CC"/>
    <w:rsid w:val="005B20F3"/>
    <w:rsid w:val="005B214F"/>
    <w:rsid w:val="005B2153"/>
    <w:rsid w:val="005B21F2"/>
    <w:rsid w:val="005B2259"/>
    <w:rsid w:val="005B22FD"/>
    <w:rsid w:val="005B23F1"/>
    <w:rsid w:val="005B24AE"/>
    <w:rsid w:val="005B24F4"/>
    <w:rsid w:val="005B2558"/>
    <w:rsid w:val="005B2648"/>
    <w:rsid w:val="005B26E4"/>
    <w:rsid w:val="005B270D"/>
    <w:rsid w:val="005B273A"/>
    <w:rsid w:val="005B2776"/>
    <w:rsid w:val="005B27AE"/>
    <w:rsid w:val="005B281E"/>
    <w:rsid w:val="005B2833"/>
    <w:rsid w:val="005B28F3"/>
    <w:rsid w:val="005B2963"/>
    <w:rsid w:val="005B29C0"/>
    <w:rsid w:val="005B29EA"/>
    <w:rsid w:val="005B2B40"/>
    <w:rsid w:val="005B2BB2"/>
    <w:rsid w:val="005B2C3E"/>
    <w:rsid w:val="005B2D00"/>
    <w:rsid w:val="005B2D56"/>
    <w:rsid w:val="005B2D78"/>
    <w:rsid w:val="005B2DC6"/>
    <w:rsid w:val="005B2E22"/>
    <w:rsid w:val="005B2E73"/>
    <w:rsid w:val="005B2F04"/>
    <w:rsid w:val="005B2F61"/>
    <w:rsid w:val="005B2F71"/>
    <w:rsid w:val="005B2F93"/>
    <w:rsid w:val="005B3040"/>
    <w:rsid w:val="005B308A"/>
    <w:rsid w:val="005B32C4"/>
    <w:rsid w:val="005B345D"/>
    <w:rsid w:val="005B347C"/>
    <w:rsid w:val="005B3482"/>
    <w:rsid w:val="005B3706"/>
    <w:rsid w:val="005B3711"/>
    <w:rsid w:val="005B37BF"/>
    <w:rsid w:val="005B3841"/>
    <w:rsid w:val="005B3882"/>
    <w:rsid w:val="005B38E9"/>
    <w:rsid w:val="005B38FE"/>
    <w:rsid w:val="005B391A"/>
    <w:rsid w:val="005B39DB"/>
    <w:rsid w:val="005B3A86"/>
    <w:rsid w:val="005B3B0F"/>
    <w:rsid w:val="005B3B9C"/>
    <w:rsid w:val="005B3CA9"/>
    <w:rsid w:val="005B3D49"/>
    <w:rsid w:val="005B3D84"/>
    <w:rsid w:val="005B3DB3"/>
    <w:rsid w:val="005B3E4A"/>
    <w:rsid w:val="005B3E74"/>
    <w:rsid w:val="005B3EE4"/>
    <w:rsid w:val="005B3F8F"/>
    <w:rsid w:val="005B3FBE"/>
    <w:rsid w:val="005B3FD3"/>
    <w:rsid w:val="005B4068"/>
    <w:rsid w:val="005B4106"/>
    <w:rsid w:val="005B411F"/>
    <w:rsid w:val="005B4179"/>
    <w:rsid w:val="005B422D"/>
    <w:rsid w:val="005B4246"/>
    <w:rsid w:val="005B424F"/>
    <w:rsid w:val="005B430F"/>
    <w:rsid w:val="005B4316"/>
    <w:rsid w:val="005B431D"/>
    <w:rsid w:val="005B434E"/>
    <w:rsid w:val="005B4376"/>
    <w:rsid w:val="005B43C7"/>
    <w:rsid w:val="005B445E"/>
    <w:rsid w:val="005B4556"/>
    <w:rsid w:val="005B45A4"/>
    <w:rsid w:val="005B45FB"/>
    <w:rsid w:val="005B4600"/>
    <w:rsid w:val="005B479B"/>
    <w:rsid w:val="005B47A2"/>
    <w:rsid w:val="005B47DD"/>
    <w:rsid w:val="005B47F4"/>
    <w:rsid w:val="005B4820"/>
    <w:rsid w:val="005B4877"/>
    <w:rsid w:val="005B4882"/>
    <w:rsid w:val="005B48B0"/>
    <w:rsid w:val="005B4A12"/>
    <w:rsid w:val="005B4A42"/>
    <w:rsid w:val="005B4B3A"/>
    <w:rsid w:val="005B4BFB"/>
    <w:rsid w:val="005B4D1B"/>
    <w:rsid w:val="005B4D3F"/>
    <w:rsid w:val="005B4D72"/>
    <w:rsid w:val="005B4D75"/>
    <w:rsid w:val="005B4DAA"/>
    <w:rsid w:val="005B4DB7"/>
    <w:rsid w:val="005B4DDD"/>
    <w:rsid w:val="005B4DF4"/>
    <w:rsid w:val="005B4E74"/>
    <w:rsid w:val="005B4EB5"/>
    <w:rsid w:val="005B4F02"/>
    <w:rsid w:val="005B4F0E"/>
    <w:rsid w:val="005B4FF4"/>
    <w:rsid w:val="005B5076"/>
    <w:rsid w:val="005B5146"/>
    <w:rsid w:val="005B5178"/>
    <w:rsid w:val="005B52FC"/>
    <w:rsid w:val="005B5316"/>
    <w:rsid w:val="005B5373"/>
    <w:rsid w:val="005B537E"/>
    <w:rsid w:val="005B53E6"/>
    <w:rsid w:val="005B53F8"/>
    <w:rsid w:val="005B5442"/>
    <w:rsid w:val="005B5454"/>
    <w:rsid w:val="005B54C8"/>
    <w:rsid w:val="005B559C"/>
    <w:rsid w:val="005B5618"/>
    <w:rsid w:val="005B572D"/>
    <w:rsid w:val="005B57E3"/>
    <w:rsid w:val="005B5807"/>
    <w:rsid w:val="005B5854"/>
    <w:rsid w:val="005B58EB"/>
    <w:rsid w:val="005B5922"/>
    <w:rsid w:val="005B5A69"/>
    <w:rsid w:val="005B5AA1"/>
    <w:rsid w:val="005B5B09"/>
    <w:rsid w:val="005B5B0D"/>
    <w:rsid w:val="005B5B9F"/>
    <w:rsid w:val="005B5C99"/>
    <w:rsid w:val="005B5CAD"/>
    <w:rsid w:val="005B5D86"/>
    <w:rsid w:val="005B5DA5"/>
    <w:rsid w:val="005B5DBA"/>
    <w:rsid w:val="005B5E02"/>
    <w:rsid w:val="005B5ED3"/>
    <w:rsid w:val="005B5F6A"/>
    <w:rsid w:val="005B6070"/>
    <w:rsid w:val="005B60EA"/>
    <w:rsid w:val="005B614F"/>
    <w:rsid w:val="005B61A8"/>
    <w:rsid w:val="005B61BF"/>
    <w:rsid w:val="005B6260"/>
    <w:rsid w:val="005B6274"/>
    <w:rsid w:val="005B62D3"/>
    <w:rsid w:val="005B62EF"/>
    <w:rsid w:val="005B635D"/>
    <w:rsid w:val="005B6369"/>
    <w:rsid w:val="005B63E4"/>
    <w:rsid w:val="005B6495"/>
    <w:rsid w:val="005B653B"/>
    <w:rsid w:val="005B6588"/>
    <w:rsid w:val="005B6626"/>
    <w:rsid w:val="005B663D"/>
    <w:rsid w:val="005B6673"/>
    <w:rsid w:val="005B6682"/>
    <w:rsid w:val="005B6726"/>
    <w:rsid w:val="005B67CC"/>
    <w:rsid w:val="005B6805"/>
    <w:rsid w:val="005B684F"/>
    <w:rsid w:val="005B69A2"/>
    <w:rsid w:val="005B6A59"/>
    <w:rsid w:val="005B6A88"/>
    <w:rsid w:val="005B6AA0"/>
    <w:rsid w:val="005B6B16"/>
    <w:rsid w:val="005B6C9F"/>
    <w:rsid w:val="005B6CAD"/>
    <w:rsid w:val="005B6CD0"/>
    <w:rsid w:val="005B6D48"/>
    <w:rsid w:val="005B6DF0"/>
    <w:rsid w:val="005B6E7B"/>
    <w:rsid w:val="005B6F12"/>
    <w:rsid w:val="005B7004"/>
    <w:rsid w:val="005B71DB"/>
    <w:rsid w:val="005B727C"/>
    <w:rsid w:val="005B72EC"/>
    <w:rsid w:val="005B7338"/>
    <w:rsid w:val="005B73A1"/>
    <w:rsid w:val="005B74AA"/>
    <w:rsid w:val="005B758E"/>
    <w:rsid w:val="005B75D8"/>
    <w:rsid w:val="005B7655"/>
    <w:rsid w:val="005B770B"/>
    <w:rsid w:val="005B7726"/>
    <w:rsid w:val="005B774A"/>
    <w:rsid w:val="005B7756"/>
    <w:rsid w:val="005B778F"/>
    <w:rsid w:val="005B77E4"/>
    <w:rsid w:val="005B7905"/>
    <w:rsid w:val="005B794F"/>
    <w:rsid w:val="005B7969"/>
    <w:rsid w:val="005B796F"/>
    <w:rsid w:val="005B79A4"/>
    <w:rsid w:val="005B79C9"/>
    <w:rsid w:val="005B7A1B"/>
    <w:rsid w:val="005B7A2B"/>
    <w:rsid w:val="005B7A39"/>
    <w:rsid w:val="005B7AEF"/>
    <w:rsid w:val="005B7B42"/>
    <w:rsid w:val="005B7B72"/>
    <w:rsid w:val="005B7CC4"/>
    <w:rsid w:val="005B7D58"/>
    <w:rsid w:val="005B7D6A"/>
    <w:rsid w:val="005B7D9C"/>
    <w:rsid w:val="005B7DD0"/>
    <w:rsid w:val="005B7DEA"/>
    <w:rsid w:val="005B7EC7"/>
    <w:rsid w:val="005B7F9E"/>
    <w:rsid w:val="005B7FED"/>
    <w:rsid w:val="005C00D6"/>
    <w:rsid w:val="005C0118"/>
    <w:rsid w:val="005C011F"/>
    <w:rsid w:val="005C02A6"/>
    <w:rsid w:val="005C02D5"/>
    <w:rsid w:val="005C0322"/>
    <w:rsid w:val="005C0367"/>
    <w:rsid w:val="005C03B3"/>
    <w:rsid w:val="005C03CE"/>
    <w:rsid w:val="005C03E1"/>
    <w:rsid w:val="005C03E5"/>
    <w:rsid w:val="005C040E"/>
    <w:rsid w:val="005C0423"/>
    <w:rsid w:val="005C0494"/>
    <w:rsid w:val="005C049A"/>
    <w:rsid w:val="005C04FA"/>
    <w:rsid w:val="005C052A"/>
    <w:rsid w:val="005C0533"/>
    <w:rsid w:val="005C05D1"/>
    <w:rsid w:val="005C05F7"/>
    <w:rsid w:val="005C0615"/>
    <w:rsid w:val="005C0619"/>
    <w:rsid w:val="005C061C"/>
    <w:rsid w:val="005C06C2"/>
    <w:rsid w:val="005C06D6"/>
    <w:rsid w:val="005C07B9"/>
    <w:rsid w:val="005C0815"/>
    <w:rsid w:val="005C0839"/>
    <w:rsid w:val="005C088B"/>
    <w:rsid w:val="005C0899"/>
    <w:rsid w:val="005C08E7"/>
    <w:rsid w:val="005C097C"/>
    <w:rsid w:val="005C09E6"/>
    <w:rsid w:val="005C0A10"/>
    <w:rsid w:val="005C0A70"/>
    <w:rsid w:val="005C0AA4"/>
    <w:rsid w:val="005C0AE6"/>
    <w:rsid w:val="005C0B4D"/>
    <w:rsid w:val="005C0B55"/>
    <w:rsid w:val="005C0BE8"/>
    <w:rsid w:val="005C0C04"/>
    <w:rsid w:val="005C0C79"/>
    <w:rsid w:val="005C0C8E"/>
    <w:rsid w:val="005C0CB1"/>
    <w:rsid w:val="005C0D7E"/>
    <w:rsid w:val="005C0DA5"/>
    <w:rsid w:val="005C0DCD"/>
    <w:rsid w:val="005C0EBA"/>
    <w:rsid w:val="005C0ED3"/>
    <w:rsid w:val="005C0EE5"/>
    <w:rsid w:val="005C0F15"/>
    <w:rsid w:val="005C0F57"/>
    <w:rsid w:val="005C0FA0"/>
    <w:rsid w:val="005C1081"/>
    <w:rsid w:val="005C10B9"/>
    <w:rsid w:val="005C10DF"/>
    <w:rsid w:val="005C1185"/>
    <w:rsid w:val="005C1196"/>
    <w:rsid w:val="005C1204"/>
    <w:rsid w:val="005C12E6"/>
    <w:rsid w:val="005C134F"/>
    <w:rsid w:val="005C13B8"/>
    <w:rsid w:val="005C13B9"/>
    <w:rsid w:val="005C1540"/>
    <w:rsid w:val="005C157B"/>
    <w:rsid w:val="005C157F"/>
    <w:rsid w:val="005C1657"/>
    <w:rsid w:val="005C16A3"/>
    <w:rsid w:val="005C16E3"/>
    <w:rsid w:val="005C16FB"/>
    <w:rsid w:val="005C179D"/>
    <w:rsid w:val="005C1852"/>
    <w:rsid w:val="005C194A"/>
    <w:rsid w:val="005C1965"/>
    <w:rsid w:val="005C1973"/>
    <w:rsid w:val="005C1A37"/>
    <w:rsid w:val="005C1A49"/>
    <w:rsid w:val="005C1B8C"/>
    <w:rsid w:val="005C1D78"/>
    <w:rsid w:val="005C1DB2"/>
    <w:rsid w:val="005C1E3F"/>
    <w:rsid w:val="005C1E6B"/>
    <w:rsid w:val="005C1EAA"/>
    <w:rsid w:val="005C1ED0"/>
    <w:rsid w:val="005C1F23"/>
    <w:rsid w:val="005C1F94"/>
    <w:rsid w:val="005C2006"/>
    <w:rsid w:val="005C203B"/>
    <w:rsid w:val="005C204B"/>
    <w:rsid w:val="005C2062"/>
    <w:rsid w:val="005C20E5"/>
    <w:rsid w:val="005C21BD"/>
    <w:rsid w:val="005C2315"/>
    <w:rsid w:val="005C2362"/>
    <w:rsid w:val="005C23A7"/>
    <w:rsid w:val="005C23AC"/>
    <w:rsid w:val="005C242E"/>
    <w:rsid w:val="005C248D"/>
    <w:rsid w:val="005C2518"/>
    <w:rsid w:val="005C25A1"/>
    <w:rsid w:val="005C25F1"/>
    <w:rsid w:val="005C268C"/>
    <w:rsid w:val="005C2750"/>
    <w:rsid w:val="005C2887"/>
    <w:rsid w:val="005C2AB9"/>
    <w:rsid w:val="005C2BFE"/>
    <w:rsid w:val="005C2C93"/>
    <w:rsid w:val="005C2D4C"/>
    <w:rsid w:val="005C2DEA"/>
    <w:rsid w:val="005C2DF9"/>
    <w:rsid w:val="005C2E1C"/>
    <w:rsid w:val="005C2E60"/>
    <w:rsid w:val="005C2E70"/>
    <w:rsid w:val="005C2EA6"/>
    <w:rsid w:val="005C2FCC"/>
    <w:rsid w:val="005C2FE0"/>
    <w:rsid w:val="005C2FE6"/>
    <w:rsid w:val="005C2FE7"/>
    <w:rsid w:val="005C333E"/>
    <w:rsid w:val="005C3362"/>
    <w:rsid w:val="005C33A7"/>
    <w:rsid w:val="005C34C7"/>
    <w:rsid w:val="005C34F4"/>
    <w:rsid w:val="005C3531"/>
    <w:rsid w:val="005C35E0"/>
    <w:rsid w:val="005C35ED"/>
    <w:rsid w:val="005C3655"/>
    <w:rsid w:val="005C3677"/>
    <w:rsid w:val="005C36A0"/>
    <w:rsid w:val="005C3773"/>
    <w:rsid w:val="005C380D"/>
    <w:rsid w:val="005C387B"/>
    <w:rsid w:val="005C38C5"/>
    <w:rsid w:val="005C3963"/>
    <w:rsid w:val="005C397A"/>
    <w:rsid w:val="005C398A"/>
    <w:rsid w:val="005C39BD"/>
    <w:rsid w:val="005C39DA"/>
    <w:rsid w:val="005C3BEA"/>
    <w:rsid w:val="005C3C3E"/>
    <w:rsid w:val="005C3C40"/>
    <w:rsid w:val="005C3C6E"/>
    <w:rsid w:val="005C3C90"/>
    <w:rsid w:val="005C3D23"/>
    <w:rsid w:val="005C3DBE"/>
    <w:rsid w:val="005C3EDC"/>
    <w:rsid w:val="005C3F8C"/>
    <w:rsid w:val="005C3F9D"/>
    <w:rsid w:val="005C3FD6"/>
    <w:rsid w:val="005C4007"/>
    <w:rsid w:val="005C402D"/>
    <w:rsid w:val="005C4044"/>
    <w:rsid w:val="005C4155"/>
    <w:rsid w:val="005C415A"/>
    <w:rsid w:val="005C4161"/>
    <w:rsid w:val="005C41A9"/>
    <w:rsid w:val="005C4221"/>
    <w:rsid w:val="005C42DB"/>
    <w:rsid w:val="005C4333"/>
    <w:rsid w:val="005C4346"/>
    <w:rsid w:val="005C436F"/>
    <w:rsid w:val="005C4416"/>
    <w:rsid w:val="005C4433"/>
    <w:rsid w:val="005C44CF"/>
    <w:rsid w:val="005C4506"/>
    <w:rsid w:val="005C4568"/>
    <w:rsid w:val="005C4573"/>
    <w:rsid w:val="005C4598"/>
    <w:rsid w:val="005C459C"/>
    <w:rsid w:val="005C45A0"/>
    <w:rsid w:val="005C4664"/>
    <w:rsid w:val="005C4695"/>
    <w:rsid w:val="005C46B4"/>
    <w:rsid w:val="005C46CE"/>
    <w:rsid w:val="005C4739"/>
    <w:rsid w:val="005C4765"/>
    <w:rsid w:val="005C4779"/>
    <w:rsid w:val="005C47FF"/>
    <w:rsid w:val="005C481C"/>
    <w:rsid w:val="005C4846"/>
    <w:rsid w:val="005C4887"/>
    <w:rsid w:val="005C48CA"/>
    <w:rsid w:val="005C495B"/>
    <w:rsid w:val="005C4960"/>
    <w:rsid w:val="005C4994"/>
    <w:rsid w:val="005C4A14"/>
    <w:rsid w:val="005C4A60"/>
    <w:rsid w:val="005C4C7F"/>
    <w:rsid w:val="005C4CEA"/>
    <w:rsid w:val="005C4CEB"/>
    <w:rsid w:val="005C4CF2"/>
    <w:rsid w:val="005C4D94"/>
    <w:rsid w:val="005C4DC1"/>
    <w:rsid w:val="005C4DE1"/>
    <w:rsid w:val="005C4DF0"/>
    <w:rsid w:val="005C4F10"/>
    <w:rsid w:val="005C4F4C"/>
    <w:rsid w:val="005C4FBF"/>
    <w:rsid w:val="005C4FF8"/>
    <w:rsid w:val="005C50F9"/>
    <w:rsid w:val="005C50FB"/>
    <w:rsid w:val="005C5179"/>
    <w:rsid w:val="005C51A3"/>
    <w:rsid w:val="005C5230"/>
    <w:rsid w:val="005C52D1"/>
    <w:rsid w:val="005C53D5"/>
    <w:rsid w:val="005C5441"/>
    <w:rsid w:val="005C549E"/>
    <w:rsid w:val="005C54AE"/>
    <w:rsid w:val="005C5560"/>
    <w:rsid w:val="005C55C0"/>
    <w:rsid w:val="005C5667"/>
    <w:rsid w:val="005C5811"/>
    <w:rsid w:val="005C59F6"/>
    <w:rsid w:val="005C5A0C"/>
    <w:rsid w:val="005C5AE3"/>
    <w:rsid w:val="005C5BA7"/>
    <w:rsid w:val="005C5C0F"/>
    <w:rsid w:val="005C5D46"/>
    <w:rsid w:val="005C5E17"/>
    <w:rsid w:val="005C5E59"/>
    <w:rsid w:val="005C5E87"/>
    <w:rsid w:val="005C5ECC"/>
    <w:rsid w:val="005C5F1D"/>
    <w:rsid w:val="005C5F50"/>
    <w:rsid w:val="005C6091"/>
    <w:rsid w:val="005C60C1"/>
    <w:rsid w:val="005C611E"/>
    <w:rsid w:val="005C6182"/>
    <w:rsid w:val="005C61B7"/>
    <w:rsid w:val="005C634A"/>
    <w:rsid w:val="005C6357"/>
    <w:rsid w:val="005C63FB"/>
    <w:rsid w:val="005C64DC"/>
    <w:rsid w:val="005C6644"/>
    <w:rsid w:val="005C6696"/>
    <w:rsid w:val="005C6724"/>
    <w:rsid w:val="005C6785"/>
    <w:rsid w:val="005C6850"/>
    <w:rsid w:val="005C691C"/>
    <w:rsid w:val="005C6994"/>
    <w:rsid w:val="005C69D0"/>
    <w:rsid w:val="005C6A37"/>
    <w:rsid w:val="005C6A76"/>
    <w:rsid w:val="005C6ADB"/>
    <w:rsid w:val="005C6CF4"/>
    <w:rsid w:val="005C6D59"/>
    <w:rsid w:val="005C6D99"/>
    <w:rsid w:val="005C6DB6"/>
    <w:rsid w:val="005C6E0B"/>
    <w:rsid w:val="005C6E53"/>
    <w:rsid w:val="005C6E64"/>
    <w:rsid w:val="005C6ECF"/>
    <w:rsid w:val="005C708D"/>
    <w:rsid w:val="005C70C1"/>
    <w:rsid w:val="005C70DE"/>
    <w:rsid w:val="005C7134"/>
    <w:rsid w:val="005C727C"/>
    <w:rsid w:val="005C72F4"/>
    <w:rsid w:val="005C73CD"/>
    <w:rsid w:val="005C73DA"/>
    <w:rsid w:val="005C7472"/>
    <w:rsid w:val="005C748A"/>
    <w:rsid w:val="005C75A3"/>
    <w:rsid w:val="005C7653"/>
    <w:rsid w:val="005C767B"/>
    <w:rsid w:val="005C76AB"/>
    <w:rsid w:val="005C76CC"/>
    <w:rsid w:val="005C7820"/>
    <w:rsid w:val="005C789D"/>
    <w:rsid w:val="005C7934"/>
    <w:rsid w:val="005C795C"/>
    <w:rsid w:val="005C79CE"/>
    <w:rsid w:val="005C79FB"/>
    <w:rsid w:val="005C7A37"/>
    <w:rsid w:val="005C7A4E"/>
    <w:rsid w:val="005C7B47"/>
    <w:rsid w:val="005C7B8D"/>
    <w:rsid w:val="005C7CDD"/>
    <w:rsid w:val="005C7D97"/>
    <w:rsid w:val="005C7DED"/>
    <w:rsid w:val="005C7E2C"/>
    <w:rsid w:val="005C7EA7"/>
    <w:rsid w:val="005C7EE1"/>
    <w:rsid w:val="005C7F19"/>
    <w:rsid w:val="005C7F2B"/>
    <w:rsid w:val="005C7FDD"/>
    <w:rsid w:val="005D0006"/>
    <w:rsid w:val="005D00AD"/>
    <w:rsid w:val="005D016D"/>
    <w:rsid w:val="005D0238"/>
    <w:rsid w:val="005D0245"/>
    <w:rsid w:val="005D0246"/>
    <w:rsid w:val="005D025A"/>
    <w:rsid w:val="005D02EF"/>
    <w:rsid w:val="005D03E8"/>
    <w:rsid w:val="005D03ED"/>
    <w:rsid w:val="005D03F6"/>
    <w:rsid w:val="005D0531"/>
    <w:rsid w:val="005D0533"/>
    <w:rsid w:val="005D0588"/>
    <w:rsid w:val="005D0643"/>
    <w:rsid w:val="005D0754"/>
    <w:rsid w:val="005D075D"/>
    <w:rsid w:val="005D07A8"/>
    <w:rsid w:val="005D07B0"/>
    <w:rsid w:val="005D07F5"/>
    <w:rsid w:val="005D085D"/>
    <w:rsid w:val="005D09C6"/>
    <w:rsid w:val="005D0A41"/>
    <w:rsid w:val="005D0B46"/>
    <w:rsid w:val="005D0B9C"/>
    <w:rsid w:val="005D0C20"/>
    <w:rsid w:val="005D0CD8"/>
    <w:rsid w:val="005D0D3B"/>
    <w:rsid w:val="005D0DA0"/>
    <w:rsid w:val="005D0E2F"/>
    <w:rsid w:val="005D0E3E"/>
    <w:rsid w:val="005D0E6E"/>
    <w:rsid w:val="005D0F11"/>
    <w:rsid w:val="005D0F1B"/>
    <w:rsid w:val="005D0F94"/>
    <w:rsid w:val="005D1060"/>
    <w:rsid w:val="005D113B"/>
    <w:rsid w:val="005D114C"/>
    <w:rsid w:val="005D1165"/>
    <w:rsid w:val="005D11E7"/>
    <w:rsid w:val="005D123F"/>
    <w:rsid w:val="005D1252"/>
    <w:rsid w:val="005D1266"/>
    <w:rsid w:val="005D1280"/>
    <w:rsid w:val="005D1295"/>
    <w:rsid w:val="005D12C4"/>
    <w:rsid w:val="005D12C9"/>
    <w:rsid w:val="005D12D1"/>
    <w:rsid w:val="005D1392"/>
    <w:rsid w:val="005D13D9"/>
    <w:rsid w:val="005D1402"/>
    <w:rsid w:val="005D1413"/>
    <w:rsid w:val="005D1491"/>
    <w:rsid w:val="005D14EE"/>
    <w:rsid w:val="005D1500"/>
    <w:rsid w:val="005D15C4"/>
    <w:rsid w:val="005D16C6"/>
    <w:rsid w:val="005D17A5"/>
    <w:rsid w:val="005D17F2"/>
    <w:rsid w:val="005D1803"/>
    <w:rsid w:val="005D1833"/>
    <w:rsid w:val="005D1903"/>
    <w:rsid w:val="005D1941"/>
    <w:rsid w:val="005D195B"/>
    <w:rsid w:val="005D196A"/>
    <w:rsid w:val="005D1993"/>
    <w:rsid w:val="005D19FC"/>
    <w:rsid w:val="005D1A58"/>
    <w:rsid w:val="005D1A6A"/>
    <w:rsid w:val="005D1A77"/>
    <w:rsid w:val="005D1B57"/>
    <w:rsid w:val="005D1C30"/>
    <w:rsid w:val="005D1CC0"/>
    <w:rsid w:val="005D1D0B"/>
    <w:rsid w:val="005D1D9F"/>
    <w:rsid w:val="005D1DB5"/>
    <w:rsid w:val="005D1DCF"/>
    <w:rsid w:val="005D1F62"/>
    <w:rsid w:val="005D201D"/>
    <w:rsid w:val="005D2108"/>
    <w:rsid w:val="005D21CB"/>
    <w:rsid w:val="005D21D8"/>
    <w:rsid w:val="005D22B5"/>
    <w:rsid w:val="005D22DF"/>
    <w:rsid w:val="005D235A"/>
    <w:rsid w:val="005D23ED"/>
    <w:rsid w:val="005D23FE"/>
    <w:rsid w:val="005D2488"/>
    <w:rsid w:val="005D2542"/>
    <w:rsid w:val="005D25B9"/>
    <w:rsid w:val="005D2637"/>
    <w:rsid w:val="005D2741"/>
    <w:rsid w:val="005D275B"/>
    <w:rsid w:val="005D27EC"/>
    <w:rsid w:val="005D2836"/>
    <w:rsid w:val="005D288E"/>
    <w:rsid w:val="005D28EC"/>
    <w:rsid w:val="005D290B"/>
    <w:rsid w:val="005D2997"/>
    <w:rsid w:val="005D29FD"/>
    <w:rsid w:val="005D2B92"/>
    <w:rsid w:val="005D2CC4"/>
    <w:rsid w:val="005D2D0D"/>
    <w:rsid w:val="005D2D32"/>
    <w:rsid w:val="005D2D4A"/>
    <w:rsid w:val="005D2D97"/>
    <w:rsid w:val="005D2DD5"/>
    <w:rsid w:val="005D2DF1"/>
    <w:rsid w:val="005D2EAA"/>
    <w:rsid w:val="005D2FE4"/>
    <w:rsid w:val="005D3026"/>
    <w:rsid w:val="005D30A1"/>
    <w:rsid w:val="005D3181"/>
    <w:rsid w:val="005D3216"/>
    <w:rsid w:val="005D3228"/>
    <w:rsid w:val="005D3243"/>
    <w:rsid w:val="005D3323"/>
    <w:rsid w:val="005D33A3"/>
    <w:rsid w:val="005D33D6"/>
    <w:rsid w:val="005D33D8"/>
    <w:rsid w:val="005D33F3"/>
    <w:rsid w:val="005D34D9"/>
    <w:rsid w:val="005D3589"/>
    <w:rsid w:val="005D3597"/>
    <w:rsid w:val="005D3842"/>
    <w:rsid w:val="005D389E"/>
    <w:rsid w:val="005D3976"/>
    <w:rsid w:val="005D3A76"/>
    <w:rsid w:val="005D3AD5"/>
    <w:rsid w:val="005D3B02"/>
    <w:rsid w:val="005D3B8C"/>
    <w:rsid w:val="005D3B8D"/>
    <w:rsid w:val="005D3D33"/>
    <w:rsid w:val="005D3D64"/>
    <w:rsid w:val="005D3D89"/>
    <w:rsid w:val="005D3E75"/>
    <w:rsid w:val="005D4019"/>
    <w:rsid w:val="005D4026"/>
    <w:rsid w:val="005D41D2"/>
    <w:rsid w:val="005D4240"/>
    <w:rsid w:val="005D4266"/>
    <w:rsid w:val="005D42B9"/>
    <w:rsid w:val="005D42DB"/>
    <w:rsid w:val="005D4308"/>
    <w:rsid w:val="005D43B4"/>
    <w:rsid w:val="005D4440"/>
    <w:rsid w:val="005D446B"/>
    <w:rsid w:val="005D446E"/>
    <w:rsid w:val="005D44B4"/>
    <w:rsid w:val="005D4504"/>
    <w:rsid w:val="005D4582"/>
    <w:rsid w:val="005D4662"/>
    <w:rsid w:val="005D4789"/>
    <w:rsid w:val="005D47EB"/>
    <w:rsid w:val="005D4867"/>
    <w:rsid w:val="005D48B0"/>
    <w:rsid w:val="005D48D7"/>
    <w:rsid w:val="005D499F"/>
    <w:rsid w:val="005D4A0F"/>
    <w:rsid w:val="005D4A4F"/>
    <w:rsid w:val="005D4ACC"/>
    <w:rsid w:val="005D4AFF"/>
    <w:rsid w:val="005D4B6B"/>
    <w:rsid w:val="005D4BDF"/>
    <w:rsid w:val="005D4C20"/>
    <w:rsid w:val="005D4C25"/>
    <w:rsid w:val="005D4C79"/>
    <w:rsid w:val="005D4C91"/>
    <w:rsid w:val="005D4CE3"/>
    <w:rsid w:val="005D4D2F"/>
    <w:rsid w:val="005D4D4B"/>
    <w:rsid w:val="005D4E0C"/>
    <w:rsid w:val="005D4E15"/>
    <w:rsid w:val="005D4F53"/>
    <w:rsid w:val="005D4F69"/>
    <w:rsid w:val="005D4FCA"/>
    <w:rsid w:val="005D5077"/>
    <w:rsid w:val="005D518C"/>
    <w:rsid w:val="005D5246"/>
    <w:rsid w:val="005D524E"/>
    <w:rsid w:val="005D52DF"/>
    <w:rsid w:val="005D5373"/>
    <w:rsid w:val="005D53A9"/>
    <w:rsid w:val="005D5423"/>
    <w:rsid w:val="005D552B"/>
    <w:rsid w:val="005D5545"/>
    <w:rsid w:val="005D5582"/>
    <w:rsid w:val="005D56B5"/>
    <w:rsid w:val="005D5790"/>
    <w:rsid w:val="005D57C4"/>
    <w:rsid w:val="005D589A"/>
    <w:rsid w:val="005D58E5"/>
    <w:rsid w:val="005D5919"/>
    <w:rsid w:val="005D598B"/>
    <w:rsid w:val="005D59D4"/>
    <w:rsid w:val="005D5A32"/>
    <w:rsid w:val="005D5B3B"/>
    <w:rsid w:val="005D5C36"/>
    <w:rsid w:val="005D5C92"/>
    <w:rsid w:val="005D5D0E"/>
    <w:rsid w:val="005D5D1B"/>
    <w:rsid w:val="005D5DCD"/>
    <w:rsid w:val="005D5DDF"/>
    <w:rsid w:val="005D5DF4"/>
    <w:rsid w:val="005D5EA9"/>
    <w:rsid w:val="005D5EDD"/>
    <w:rsid w:val="005D5EEF"/>
    <w:rsid w:val="005D5F43"/>
    <w:rsid w:val="005D5F9D"/>
    <w:rsid w:val="005D60A1"/>
    <w:rsid w:val="005D60B7"/>
    <w:rsid w:val="005D6193"/>
    <w:rsid w:val="005D636B"/>
    <w:rsid w:val="005D6399"/>
    <w:rsid w:val="005D6436"/>
    <w:rsid w:val="005D644E"/>
    <w:rsid w:val="005D64CA"/>
    <w:rsid w:val="005D6538"/>
    <w:rsid w:val="005D65F0"/>
    <w:rsid w:val="005D67DE"/>
    <w:rsid w:val="005D67DF"/>
    <w:rsid w:val="005D68CD"/>
    <w:rsid w:val="005D6974"/>
    <w:rsid w:val="005D69E9"/>
    <w:rsid w:val="005D6A62"/>
    <w:rsid w:val="005D6A9E"/>
    <w:rsid w:val="005D6ABA"/>
    <w:rsid w:val="005D6AC6"/>
    <w:rsid w:val="005D6AC9"/>
    <w:rsid w:val="005D6AFD"/>
    <w:rsid w:val="005D6BAB"/>
    <w:rsid w:val="005D6BBA"/>
    <w:rsid w:val="005D6BE1"/>
    <w:rsid w:val="005D6BEF"/>
    <w:rsid w:val="005D6CBE"/>
    <w:rsid w:val="005D6CC5"/>
    <w:rsid w:val="005D6E6E"/>
    <w:rsid w:val="005D6E80"/>
    <w:rsid w:val="005D6F61"/>
    <w:rsid w:val="005D6F7D"/>
    <w:rsid w:val="005D7029"/>
    <w:rsid w:val="005D713E"/>
    <w:rsid w:val="005D717A"/>
    <w:rsid w:val="005D728C"/>
    <w:rsid w:val="005D7293"/>
    <w:rsid w:val="005D7362"/>
    <w:rsid w:val="005D73B8"/>
    <w:rsid w:val="005D73FD"/>
    <w:rsid w:val="005D7439"/>
    <w:rsid w:val="005D7527"/>
    <w:rsid w:val="005D7562"/>
    <w:rsid w:val="005D76F2"/>
    <w:rsid w:val="005D77AF"/>
    <w:rsid w:val="005D782F"/>
    <w:rsid w:val="005D78D5"/>
    <w:rsid w:val="005D78F0"/>
    <w:rsid w:val="005D7925"/>
    <w:rsid w:val="005D794A"/>
    <w:rsid w:val="005D7991"/>
    <w:rsid w:val="005D79A5"/>
    <w:rsid w:val="005D79B8"/>
    <w:rsid w:val="005D7A55"/>
    <w:rsid w:val="005D7A73"/>
    <w:rsid w:val="005D7A86"/>
    <w:rsid w:val="005D7A9E"/>
    <w:rsid w:val="005D7B3D"/>
    <w:rsid w:val="005D7B55"/>
    <w:rsid w:val="005D7BA5"/>
    <w:rsid w:val="005D7C73"/>
    <w:rsid w:val="005D7D05"/>
    <w:rsid w:val="005D7E51"/>
    <w:rsid w:val="005D7F2A"/>
    <w:rsid w:val="005D7F3D"/>
    <w:rsid w:val="005D7F72"/>
    <w:rsid w:val="005D7F7F"/>
    <w:rsid w:val="005D7FB6"/>
    <w:rsid w:val="005E016C"/>
    <w:rsid w:val="005E0221"/>
    <w:rsid w:val="005E023A"/>
    <w:rsid w:val="005E0251"/>
    <w:rsid w:val="005E0255"/>
    <w:rsid w:val="005E0287"/>
    <w:rsid w:val="005E02B1"/>
    <w:rsid w:val="005E0368"/>
    <w:rsid w:val="005E03B4"/>
    <w:rsid w:val="005E03D9"/>
    <w:rsid w:val="005E047F"/>
    <w:rsid w:val="005E0506"/>
    <w:rsid w:val="005E05E6"/>
    <w:rsid w:val="005E05E7"/>
    <w:rsid w:val="005E0621"/>
    <w:rsid w:val="005E06A6"/>
    <w:rsid w:val="005E06C1"/>
    <w:rsid w:val="005E06E2"/>
    <w:rsid w:val="005E07A1"/>
    <w:rsid w:val="005E07B2"/>
    <w:rsid w:val="005E07C6"/>
    <w:rsid w:val="005E095C"/>
    <w:rsid w:val="005E0A80"/>
    <w:rsid w:val="005E0A89"/>
    <w:rsid w:val="005E0AA2"/>
    <w:rsid w:val="005E0AAD"/>
    <w:rsid w:val="005E0B47"/>
    <w:rsid w:val="005E0BA1"/>
    <w:rsid w:val="005E0BD0"/>
    <w:rsid w:val="005E0CA1"/>
    <w:rsid w:val="005E0CE4"/>
    <w:rsid w:val="005E0D20"/>
    <w:rsid w:val="005E0D4E"/>
    <w:rsid w:val="005E0D55"/>
    <w:rsid w:val="005E0D9F"/>
    <w:rsid w:val="005E0DAB"/>
    <w:rsid w:val="005E0E1B"/>
    <w:rsid w:val="005E0E28"/>
    <w:rsid w:val="005E0E52"/>
    <w:rsid w:val="005E0F21"/>
    <w:rsid w:val="005E0F71"/>
    <w:rsid w:val="005E0FFC"/>
    <w:rsid w:val="005E1053"/>
    <w:rsid w:val="005E10EE"/>
    <w:rsid w:val="005E110A"/>
    <w:rsid w:val="005E1129"/>
    <w:rsid w:val="005E1163"/>
    <w:rsid w:val="005E130D"/>
    <w:rsid w:val="005E13FA"/>
    <w:rsid w:val="005E157D"/>
    <w:rsid w:val="005E1589"/>
    <w:rsid w:val="005E15CF"/>
    <w:rsid w:val="005E160C"/>
    <w:rsid w:val="005E1669"/>
    <w:rsid w:val="005E16A6"/>
    <w:rsid w:val="005E1722"/>
    <w:rsid w:val="005E1743"/>
    <w:rsid w:val="005E175D"/>
    <w:rsid w:val="005E1820"/>
    <w:rsid w:val="005E1834"/>
    <w:rsid w:val="005E185A"/>
    <w:rsid w:val="005E18D3"/>
    <w:rsid w:val="005E18DF"/>
    <w:rsid w:val="005E1A1C"/>
    <w:rsid w:val="005E1B74"/>
    <w:rsid w:val="005E1BE0"/>
    <w:rsid w:val="005E1C6C"/>
    <w:rsid w:val="005E1CC4"/>
    <w:rsid w:val="005E1CF1"/>
    <w:rsid w:val="005E1D4B"/>
    <w:rsid w:val="005E1D6D"/>
    <w:rsid w:val="005E1D74"/>
    <w:rsid w:val="005E1E4C"/>
    <w:rsid w:val="005E1EE5"/>
    <w:rsid w:val="005E1F17"/>
    <w:rsid w:val="005E1F36"/>
    <w:rsid w:val="005E1F6D"/>
    <w:rsid w:val="005E1FCD"/>
    <w:rsid w:val="005E1FCF"/>
    <w:rsid w:val="005E2028"/>
    <w:rsid w:val="005E2133"/>
    <w:rsid w:val="005E215A"/>
    <w:rsid w:val="005E21A9"/>
    <w:rsid w:val="005E21EE"/>
    <w:rsid w:val="005E22E2"/>
    <w:rsid w:val="005E2335"/>
    <w:rsid w:val="005E23E0"/>
    <w:rsid w:val="005E2429"/>
    <w:rsid w:val="005E25CB"/>
    <w:rsid w:val="005E26AE"/>
    <w:rsid w:val="005E2974"/>
    <w:rsid w:val="005E2995"/>
    <w:rsid w:val="005E29FF"/>
    <w:rsid w:val="005E2A4A"/>
    <w:rsid w:val="005E2B21"/>
    <w:rsid w:val="005E2B8A"/>
    <w:rsid w:val="005E2BFC"/>
    <w:rsid w:val="005E2C4B"/>
    <w:rsid w:val="005E2C56"/>
    <w:rsid w:val="005E2EA1"/>
    <w:rsid w:val="005E300A"/>
    <w:rsid w:val="005E3089"/>
    <w:rsid w:val="005E30E9"/>
    <w:rsid w:val="005E31B3"/>
    <w:rsid w:val="005E322C"/>
    <w:rsid w:val="005E324A"/>
    <w:rsid w:val="005E3278"/>
    <w:rsid w:val="005E335D"/>
    <w:rsid w:val="005E33E1"/>
    <w:rsid w:val="005E33E6"/>
    <w:rsid w:val="005E34A7"/>
    <w:rsid w:val="005E34AF"/>
    <w:rsid w:val="005E3500"/>
    <w:rsid w:val="005E35BF"/>
    <w:rsid w:val="005E35F4"/>
    <w:rsid w:val="005E35F8"/>
    <w:rsid w:val="005E3662"/>
    <w:rsid w:val="005E3664"/>
    <w:rsid w:val="005E3683"/>
    <w:rsid w:val="005E383F"/>
    <w:rsid w:val="005E3872"/>
    <w:rsid w:val="005E38D4"/>
    <w:rsid w:val="005E392C"/>
    <w:rsid w:val="005E39DE"/>
    <w:rsid w:val="005E3A1B"/>
    <w:rsid w:val="005E3A49"/>
    <w:rsid w:val="005E3A58"/>
    <w:rsid w:val="005E3AF7"/>
    <w:rsid w:val="005E3BD1"/>
    <w:rsid w:val="005E3CE1"/>
    <w:rsid w:val="005E3DC1"/>
    <w:rsid w:val="005E3F4E"/>
    <w:rsid w:val="005E3F5E"/>
    <w:rsid w:val="005E4084"/>
    <w:rsid w:val="005E4174"/>
    <w:rsid w:val="005E41F9"/>
    <w:rsid w:val="005E420E"/>
    <w:rsid w:val="005E4218"/>
    <w:rsid w:val="005E431D"/>
    <w:rsid w:val="005E4383"/>
    <w:rsid w:val="005E45D7"/>
    <w:rsid w:val="005E4636"/>
    <w:rsid w:val="005E467F"/>
    <w:rsid w:val="005E477C"/>
    <w:rsid w:val="005E47A3"/>
    <w:rsid w:val="005E4836"/>
    <w:rsid w:val="005E483C"/>
    <w:rsid w:val="005E4852"/>
    <w:rsid w:val="005E48BA"/>
    <w:rsid w:val="005E48DC"/>
    <w:rsid w:val="005E495A"/>
    <w:rsid w:val="005E49D8"/>
    <w:rsid w:val="005E4A72"/>
    <w:rsid w:val="005E4B82"/>
    <w:rsid w:val="005E4C2A"/>
    <w:rsid w:val="005E4DB0"/>
    <w:rsid w:val="005E4E2B"/>
    <w:rsid w:val="005E4EA4"/>
    <w:rsid w:val="005E4EE7"/>
    <w:rsid w:val="005E4EEB"/>
    <w:rsid w:val="005E4F26"/>
    <w:rsid w:val="005E4F4B"/>
    <w:rsid w:val="005E500D"/>
    <w:rsid w:val="005E501B"/>
    <w:rsid w:val="005E527C"/>
    <w:rsid w:val="005E5285"/>
    <w:rsid w:val="005E52C5"/>
    <w:rsid w:val="005E52C8"/>
    <w:rsid w:val="005E5327"/>
    <w:rsid w:val="005E534A"/>
    <w:rsid w:val="005E5353"/>
    <w:rsid w:val="005E53AA"/>
    <w:rsid w:val="005E53E7"/>
    <w:rsid w:val="005E5410"/>
    <w:rsid w:val="005E54EA"/>
    <w:rsid w:val="005E5550"/>
    <w:rsid w:val="005E5556"/>
    <w:rsid w:val="005E55EA"/>
    <w:rsid w:val="005E564F"/>
    <w:rsid w:val="005E567C"/>
    <w:rsid w:val="005E56AB"/>
    <w:rsid w:val="005E57DC"/>
    <w:rsid w:val="005E5820"/>
    <w:rsid w:val="005E59A8"/>
    <w:rsid w:val="005E59D6"/>
    <w:rsid w:val="005E5A1C"/>
    <w:rsid w:val="005E5A60"/>
    <w:rsid w:val="005E5B27"/>
    <w:rsid w:val="005E5BFB"/>
    <w:rsid w:val="005E5D29"/>
    <w:rsid w:val="005E5D8A"/>
    <w:rsid w:val="005E5DAB"/>
    <w:rsid w:val="005E5E1F"/>
    <w:rsid w:val="005E5EA8"/>
    <w:rsid w:val="005E5FDF"/>
    <w:rsid w:val="005E603A"/>
    <w:rsid w:val="005E60CF"/>
    <w:rsid w:val="005E6152"/>
    <w:rsid w:val="005E6198"/>
    <w:rsid w:val="005E61BB"/>
    <w:rsid w:val="005E622F"/>
    <w:rsid w:val="005E6260"/>
    <w:rsid w:val="005E62AD"/>
    <w:rsid w:val="005E63E8"/>
    <w:rsid w:val="005E649E"/>
    <w:rsid w:val="005E654B"/>
    <w:rsid w:val="005E6558"/>
    <w:rsid w:val="005E6563"/>
    <w:rsid w:val="005E6571"/>
    <w:rsid w:val="005E6576"/>
    <w:rsid w:val="005E6591"/>
    <w:rsid w:val="005E65B5"/>
    <w:rsid w:val="005E6679"/>
    <w:rsid w:val="005E66E1"/>
    <w:rsid w:val="005E6726"/>
    <w:rsid w:val="005E6729"/>
    <w:rsid w:val="005E6742"/>
    <w:rsid w:val="005E683A"/>
    <w:rsid w:val="005E690B"/>
    <w:rsid w:val="005E6972"/>
    <w:rsid w:val="005E6B44"/>
    <w:rsid w:val="005E6B76"/>
    <w:rsid w:val="005E6C10"/>
    <w:rsid w:val="005E6C46"/>
    <w:rsid w:val="005E6C47"/>
    <w:rsid w:val="005E6CC3"/>
    <w:rsid w:val="005E6DE6"/>
    <w:rsid w:val="005E6ED2"/>
    <w:rsid w:val="005E6ED8"/>
    <w:rsid w:val="005E701E"/>
    <w:rsid w:val="005E71A3"/>
    <w:rsid w:val="005E72D7"/>
    <w:rsid w:val="005E7332"/>
    <w:rsid w:val="005E735E"/>
    <w:rsid w:val="005E738C"/>
    <w:rsid w:val="005E742C"/>
    <w:rsid w:val="005E748D"/>
    <w:rsid w:val="005E7577"/>
    <w:rsid w:val="005E757E"/>
    <w:rsid w:val="005E759B"/>
    <w:rsid w:val="005E760F"/>
    <w:rsid w:val="005E776D"/>
    <w:rsid w:val="005E7782"/>
    <w:rsid w:val="005E7795"/>
    <w:rsid w:val="005E77FE"/>
    <w:rsid w:val="005E78CB"/>
    <w:rsid w:val="005E7961"/>
    <w:rsid w:val="005E79B8"/>
    <w:rsid w:val="005E79C8"/>
    <w:rsid w:val="005E7AED"/>
    <w:rsid w:val="005E7B9A"/>
    <w:rsid w:val="005E7C5C"/>
    <w:rsid w:val="005E7C7A"/>
    <w:rsid w:val="005E7E66"/>
    <w:rsid w:val="005E7E74"/>
    <w:rsid w:val="005E7F67"/>
    <w:rsid w:val="005E7FD9"/>
    <w:rsid w:val="005F0042"/>
    <w:rsid w:val="005F029C"/>
    <w:rsid w:val="005F0336"/>
    <w:rsid w:val="005F045B"/>
    <w:rsid w:val="005F05FC"/>
    <w:rsid w:val="005F06C3"/>
    <w:rsid w:val="005F070B"/>
    <w:rsid w:val="005F07A2"/>
    <w:rsid w:val="005F0810"/>
    <w:rsid w:val="005F08C2"/>
    <w:rsid w:val="005F0966"/>
    <w:rsid w:val="005F0996"/>
    <w:rsid w:val="005F0A16"/>
    <w:rsid w:val="005F0A18"/>
    <w:rsid w:val="005F0A55"/>
    <w:rsid w:val="005F0AC8"/>
    <w:rsid w:val="005F0B9E"/>
    <w:rsid w:val="005F0C34"/>
    <w:rsid w:val="005F0C94"/>
    <w:rsid w:val="005F0CD3"/>
    <w:rsid w:val="005F0D1B"/>
    <w:rsid w:val="005F0D8D"/>
    <w:rsid w:val="005F0E1C"/>
    <w:rsid w:val="005F0E3C"/>
    <w:rsid w:val="005F0E5A"/>
    <w:rsid w:val="005F0EFD"/>
    <w:rsid w:val="005F0F0B"/>
    <w:rsid w:val="005F1043"/>
    <w:rsid w:val="005F10B0"/>
    <w:rsid w:val="005F10B6"/>
    <w:rsid w:val="005F10E2"/>
    <w:rsid w:val="005F10E5"/>
    <w:rsid w:val="005F1118"/>
    <w:rsid w:val="005F111C"/>
    <w:rsid w:val="005F1135"/>
    <w:rsid w:val="005F119D"/>
    <w:rsid w:val="005F123C"/>
    <w:rsid w:val="005F1262"/>
    <w:rsid w:val="005F1351"/>
    <w:rsid w:val="005F1387"/>
    <w:rsid w:val="005F1393"/>
    <w:rsid w:val="005F1409"/>
    <w:rsid w:val="005F1469"/>
    <w:rsid w:val="005F14E6"/>
    <w:rsid w:val="005F1732"/>
    <w:rsid w:val="005F1735"/>
    <w:rsid w:val="005F1807"/>
    <w:rsid w:val="005F1816"/>
    <w:rsid w:val="005F1932"/>
    <w:rsid w:val="005F19D7"/>
    <w:rsid w:val="005F19E9"/>
    <w:rsid w:val="005F1A60"/>
    <w:rsid w:val="005F1A72"/>
    <w:rsid w:val="005F1A7D"/>
    <w:rsid w:val="005F1A9C"/>
    <w:rsid w:val="005F1B84"/>
    <w:rsid w:val="005F1C07"/>
    <w:rsid w:val="005F1C8A"/>
    <w:rsid w:val="005F1D74"/>
    <w:rsid w:val="005F1EA8"/>
    <w:rsid w:val="005F1FF6"/>
    <w:rsid w:val="005F2081"/>
    <w:rsid w:val="005F209E"/>
    <w:rsid w:val="005F20C0"/>
    <w:rsid w:val="005F20E0"/>
    <w:rsid w:val="005F2132"/>
    <w:rsid w:val="005F220A"/>
    <w:rsid w:val="005F231E"/>
    <w:rsid w:val="005F2358"/>
    <w:rsid w:val="005F2359"/>
    <w:rsid w:val="005F2389"/>
    <w:rsid w:val="005F24AC"/>
    <w:rsid w:val="005F24AF"/>
    <w:rsid w:val="005F251A"/>
    <w:rsid w:val="005F2617"/>
    <w:rsid w:val="005F2680"/>
    <w:rsid w:val="005F26A8"/>
    <w:rsid w:val="005F27CB"/>
    <w:rsid w:val="005F27F5"/>
    <w:rsid w:val="005F282C"/>
    <w:rsid w:val="005F2936"/>
    <w:rsid w:val="005F297D"/>
    <w:rsid w:val="005F2ABE"/>
    <w:rsid w:val="005F2ADE"/>
    <w:rsid w:val="005F2BB4"/>
    <w:rsid w:val="005F2C29"/>
    <w:rsid w:val="005F2C5C"/>
    <w:rsid w:val="005F2C95"/>
    <w:rsid w:val="005F2D79"/>
    <w:rsid w:val="005F2DA0"/>
    <w:rsid w:val="005F2EA1"/>
    <w:rsid w:val="005F2F4B"/>
    <w:rsid w:val="005F3013"/>
    <w:rsid w:val="005F3055"/>
    <w:rsid w:val="005F3058"/>
    <w:rsid w:val="005F311E"/>
    <w:rsid w:val="005F3142"/>
    <w:rsid w:val="005F3181"/>
    <w:rsid w:val="005F31C1"/>
    <w:rsid w:val="005F325D"/>
    <w:rsid w:val="005F3381"/>
    <w:rsid w:val="005F3389"/>
    <w:rsid w:val="005F33B7"/>
    <w:rsid w:val="005F33C1"/>
    <w:rsid w:val="005F3673"/>
    <w:rsid w:val="005F368E"/>
    <w:rsid w:val="005F3723"/>
    <w:rsid w:val="005F383A"/>
    <w:rsid w:val="005F3841"/>
    <w:rsid w:val="005F384F"/>
    <w:rsid w:val="005F38C3"/>
    <w:rsid w:val="005F38D4"/>
    <w:rsid w:val="005F38FB"/>
    <w:rsid w:val="005F3934"/>
    <w:rsid w:val="005F3967"/>
    <w:rsid w:val="005F39AE"/>
    <w:rsid w:val="005F3A16"/>
    <w:rsid w:val="005F3A99"/>
    <w:rsid w:val="005F3AA6"/>
    <w:rsid w:val="005F3B1B"/>
    <w:rsid w:val="005F3B8D"/>
    <w:rsid w:val="005F3BC3"/>
    <w:rsid w:val="005F3C79"/>
    <w:rsid w:val="005F3D37"/>
    <w:rsid w:val="005F3D91"/>
    <w:rsid w:val="005F3D96"/>
    <w:rsid w:val="005F3DD0"/>
    <w:rsid w:val="005F3DD3"/>
    <w:rsid w:val="005F3E0B"/>
    <w:rsid w:val="005F3E29"/>
    <w:rsid w:val="005F3E4C"/>
    <w:rsid w:val="005F3E5B"/>
    <w:rsid w:val="005F3F0E"/>
    <w:rsid w:val="005F3FF0"/>
    <w:rsid w:val="005F425F"/>
    <w:rsid w:val="005F426D"/>
    <w:rsid w:val="005F4278"/>
    <w:rsid w:val="005F42A5"/>
    <w:rsid w:val="005F42BA"/>
    <w:rsid w:val="005F42D2"/>
    <w:rsid w:val="005F4364"/>
    <w:rsid w:val="005F439C"/>
    <w:rsid w:val="005F43A3"/>
    <w:rsid w:val="005F4437"/>
    <w:rsid w:val="005F44CF"/>
    <w:rsid w:val="005F44D7"/>
    <w:rsid w:val="005F456C"/>
    <w:rsid w:val="005F45B1"/>
    <w:rsid w:val="005F45BC"/>
    <w:rsid w:val="005F4632"/>
    <w:rsid w:val="005F46C4"/>
    <w:rsid w:val="005F4706"/>
    <w:rsid w:val="005F4759"/>
    <w:rsid w:val="005F475F"/>
    <w:rsid w:val="005F47DE"/>
    <w:rsid w:val="005F4897"/>
    <w:rsid w:val="005F48C6"/>
    <w:rsid w:val="005F49C0"/>
    <w:rsid w:val="005F49DB"/>
    <w:rsid w:val="005F49F8"/>
    <w:rsid w:val="005F4A7D"/>
    <w:rsid w:val="005F4AAB"/>
    <w:rsid w:val="005F4AE0"/>
    <w:rsid w:val="005F4B73"/>
    <w:rsid w:val="005F4B91"/>
    <w:rsid w:val="005F4BE8"/>
    <w:rsid w:val="005F4C42"/>
    <w:rsid w:val="005F4C4D"/>
    <w:rsid w:val="005F4D29"/>
    <w:rsid w:val="005F4D38"/>
    <w:rsid w:val="005F4D7A"/>
    <w:rsid w:val="005F4DD0"/>
    <w:rsid w:val="005F4E13"/>
    <w:rsid w:val="005F4E44"/>
    <w:rsid w:val="005F4E7B"/>
    <w:rsid w:val="005F4EA1"/>
    <w:rsid w:val="005F50A1"/>
    <w:rsid w:val="005F50D1"/>
    <w:rsid w:val="005F51A0"/>
    <w:rsid w:val="005F51F7"/>
    <w:rsid w:val="005F52B6"/>
    <w:rsid w:val="005F52D5"/>
    <w:rsid w:val="005F534D"/>
    <w:rsid w:val="005F53CC"/>
    <w:rsid w:val="005F54B4"/>
    <w:rsid w:val="005F5505"/>
    <w:rsid w:val="005F55A8"/>
    <w:rsid w:val="005F5636"/>
    <w:rsid w:val="005F56DC"/>
    <w:rsid w:val="005F5726"/>
    <w:rsid w:val="005F5782"/>
    <w:rsid w:val="005F5823"/>
    <w:rsid w:val="005F585F"/>
    <w:rsid w:val="005F591A"/>
    <w:rsid w:val="005F596C"/>
    <w:rsid w:val="005F5986"/>
    <w:rsid w:val="005F5A1F"/>
    <w:rsid w:val="005F5A96"/>
    <w:rsid w:val="005F5B16"/>
    <w:rsid w:val="005F5C92"/>
    <w:rsid w:val="005F5CD6"/>
    <w:rsid w:val="005F5ED8"/>
    <w:rsid w:val="005F5EEC"/>
    <w:rsid w:val="005F5F23"/>
    <w:rsid w:val="005F5F3C"/>
    <w:rsid w:val="005F603B"/>
    <w:rsid w:val="005F603F"/>
    <w:rsid w:val="005F60A5"/>
    <w:rsid w:val="005F60B7"/>
    <w:rsid w:val="005F60DC"/>
    <w:rsid w:val="005F6147"/>
    <w:rsid w:val="005F6175"/>
    <w:rsid w:val="005F617C"/>
    <w:rsid w:val="005F618C"/>
    <w:rsid w:val="005F624D"/>
    <w:rsid w:val="005F6265"/>
    <w:rsid w:val="005F62BE"/>
    <w:rsid w:val="005F6377"/>
    <w:rsid w:val="005F63D5"/>
    <w:rsid w:val="005F650A"/>
    <w:rsid w:val="005F6576"/>
    <w:rsid w:val="005F6588"/>
    <w:rsid w:val="005F6591"/>
    <w:rsid w:val="005F6632"/>
    <w:rsid w:val="005F6637"/>
    <w:rsid w:val="005F665A"/>
    <w:rsid w:val="005F6693"/>
    <w:rsid w:val="005F6713"/>
    <w:rsid w:val="005F6750"/>
    <w:rsid w:val="005F6759"/>
    <w:rsid w:val="005F68DF"/>
    <w:rsid w:val="005F6951"/>
    <w:rsid w:val="005F69D7"/>
    <w:rsid w:val="005F6ABA"/>
    <w:rsid w:val="005F6B8F"/>
    <w:rsid w:val="005F6C27"/>
    <w:rsid w:val="005F6C6F"/>
    <w:rsid w:val="005F6CDE"/>
    <w:rsid w:val="005F6D11"/>
    <w:rsid w:val="005F6D1D"/>
    <w:rsid w:val="005F6D43"/>
    <w:rsid w:val="005F6DC8"/>
    <w:rsid w:val="005F6DD0"/>
    <w:rsid w:val="005F6E8E"/>
    <w:rsid w:val="005F70CC"/>
    <w:rsid w:val="005F70DC"/>
    <w:rsid w:val="005F729E"/>
    <w:rsid w:val="005F7301"/>
    <w:rsid w:val="005F7367"/>
    <w:rsid w:val="005F7374"/>
    <w:rsid w:val="005F73DF"/>
    <w:rsid w:val="005F74B6"/>
    <w:rsid w:val="005F74F3"/>
    <w:rsid w:val="005F75D6"/>
    <w:rsid w:val="005F769F"/>
    <w:rsid w:val="005F774C"/>
    <w:rsid w:val="005F7751"/>
    <w:rsid w:val="005F7769"/>
    <w:rsid w:val="005F7796"/>
    <w:rsid w:val="005F7879"/>
    <w:rsid w:val="005F792B"/>
    <w:rsid w:val="005F79A1"/>
    <w:rsid w:val="005F79D2"/>
    <w:rsid w:val="005F79F7"/>
    <w:rsid w:val="005F7A59"/>
    <w:rsid w:val="005F7B02"/>
    <w:rsid w:val="005F7BA4"/>
    <w:rsid w:val="005F7C6E"/>
    <w:rsid w:val="005F7DF2"/>
    <w:rsid w:val="005F7E03"/>
    <w:rsid w:val="005F7E28"/>
    <w:rsid w:val="005F7E6F"/>
    <w:rsid w:val="005F7EA7"/>
    <w:rsid w:val="005F7F2F"/>
    <w:rsid w:val="00600035"/>
    <w:rsid w:val="00600082"/>
    <w:rsid w:val="006000AF"/>
    <w:rsid w:val="006000B9"/>
    <w:rsid w:val="0060013F"/>
    <w:rsid w:val="00600152"/>
    <w:rsid w:val="00600186"/>
    <w:rsid w:val="00600356"/>
    <w:rsid w:val="0060036B"/>
    <w:rsid w:val="006003AE"/>
    <w:rsid w:val="0060045F"/>
    <w:rsid w:val="0060052E"/>
    <w:rsid w:val="0060054A"/>
    <w:rsid w:val="0060058A"/>
    <w:rsid w:val="006005AC"/>
    <w:rsid w:val="00600690"/>
    <w:rsid w:val="006006BC"/>
    <w:rsid w:val="00600746"/>
    <w:rsid w:val="00600778"/>
    <w:rsid w:val="006007F4"/>
    <w:rsid w:val="00600807"/>
    <w:rsid w:val="00600809"/>
    <w:rsid w:val="006008EB"/>
    <w:rsid w:val="006008FA"/>
    <w:rsid w:val="00600941"/>
    <w:rsid w:val="00600995"/>
    <w:rsid w:val="00600A82"/>
    <w:rsid w:val="00600B9B"/>
    <w:rsid w:val="00600C56"/>
    <w:rsid w:val="00600C79"/>
    <w:rsid w:val="00600D7E"/>
    <w:rsid w:val="00600D9D"/>
    <w:rsid w:val="00600E04"/>
    <w:rsid w:val="00600E1F"/>
    <w:rsid w:val="00600EEC"/>
    <w:rsid w:val="00600F6A"/>
    <w:rsid w:val="00600F7B"/>
    <w:rsid w:val="00600F93"/>
    <w:rsid w:val="00601028"/>
    <w:rsid w:val="00601036"/>
    <w:rsid w:val="0060104C"/>
    <w:rsid w:val="00601094"/>
    <w:rsid w:val="006010AE"/>
    <w:rsid w:val="006010CB"/>
    <w:rsid w:val="006010EB"/>
    <w:rsid w:val="00601108"/>
    <w:rsid w:val="0060115D"/>
    <w:rsid w:val="0060117D"/>
    <w:rsid w:val="006011E6"/>
    <w:rsid w:val="00601261"/>
    <w:rsid w:val="0060135B"/>
    <w:rsid w:val="006013B2"/>
    <w:rsid w:val="00601409"/>
    <w:rsid w:val="0060142A"/>
    <w:rsid w:val="00601436"/>
    <w:rsid w:val="00601439"/>
    <w:rsid w:val="00601541"/>
    <w:rsid w:val="006015C4"/>
    <w:rsid w:val="006016A2"/>
    <w:rsid w:val="006016A3"/>
    <w:rsid w:val="006016BA"/>
    <w:rsid w:val="006016E9"/>
    <w:rsid w:val="0060172C"/>
    <w:rsid w:val="0060176E"/>
    <w:rsid w:val="00601830"/>
    <w:rsid w:val="0060183E"/>
    <w:rsid w:val="006018E4"/>
    <w:rsid w:val="006019C0"/>
    <w:rsid w:val="006019E8"/>
    <w:rsid w:val="00601A89"/>
    <w:rsid w:val="00601AD1"/>
    <w:rsid w:val="00601AD4"/>
    <w:rsid w:val="00601B76"/>
    <w:rsid w:val="00601B8C"/>
    <w:rsid w:val="00601BB5"/>
    <w:rsid w:val="00601BC3"/>
    <w:rsid w:val="00601CA3"/>
    <w:rsid w:val="00601D02"/>
    <w:rsid w:val="00601D60"/>
    <w:rsid w:val="00601D74"/>
    <w:rsid w:val="00601D84"/>
    <w:rsid w:val="00601DE8"/>
    <w:rsid w:val="00601E47"/>
    <w:rsid w:val="00601E61"/>
    <w:rsid w:val="00601EF2"/>
    <w:rsid w:val="00601F24"/>
    <w:rsid w:val="00601F9C"/>
    <w:rsid w:val="0060209B"/>
    <w:rsid w:val="006020DE"/>
    <w:rsid w:val="006020F5"/>
    <w:rsid w:val="00602104"/>
    <w:rsid w:val="00602169"/>
    <w:rsid w:val="006021C0"/>
    <w:rsid w:val="00602240"/>
    <w:rsid w:val="006022B9"/>
    <w:rsid w:val="006022E5"/>
    <w:rsid w:val="00602336"/>
    <w:rsid w:val="00602380"/>
    <w:rsid w:val="006023B6"/>
    <w:rsid w:val="006023DE"/>
    <w:rsid w:val="00602420"/>
    <w:rsid w:val="0060249E"/>
    <w:rsid w:val="0060256F"/>
    <w:rsid w:val="00602571"/>
    <w:rsid w:val="006025D6"/>
    <w:rsid w:val="00602605"/>
    <w:rsid w:val="00602736"/>
    <w:rsid w:val="00602838"/>
    <w:rsid w:val="0060286A"/>
    <w:rsid w:val="006028B0"/>
    <w:rsid w:val="006028CD"/>
    <w:rsid w:val="00602A5B"/>
    <w:rsid w:val="00602BB2"/>
    <w:rsid w:val="00602C62"/>
    <w:rsid w:val="00602D19"/>
    <w:rsid w:val="00602D66"/>
    <w:rsid w:val="00602DA6"/>
    <w:rsid w:val="00602DFC"/>
    <w:rsid w:val="00602E42"/>
    <w:rsid w:val="00602E5A"/>
    <w:rsid w:val="00602E63"/>
    <w:rsid w:val="00602EB2"/>
    <w:rsid w:val="00602F97"/>
    <w:rsid w:val="00602FBC"/>
    <w:rsid w:val="0060306B"/>
    <w:rsid w:val="0060308C"/>
    <w:rsid w:val="006030C3"/>
    <w:rsid w:val="00603143"/>
    <w:rsid w:val="00603184"/>
    <w:rsid w:val="0060320D"/>
    <w:rsid w:val="00603224"/>
    <w:rsid w:val="006032D5"/>
    <w:rsid w:val="006032E9"/>
    <w:rsid w:val="0060334A"/>
    <w:rsid w:val="006033B6"/>
    <w:rsid w:val="006033F7"/>
    <w:rsid w:val="00603567"/>
    <w:rsid w:val="0060369E"/>
    <w:rsid w:val="006036AC"/>
    <w:rsid w:val="00603707"/>
    <w:rsid w:val="00603761"/>
    <w:rsid w:val="006037C9"/>
    <w:rsid w:val="006037EA"/>
    <w:rsid w:val="00603815"/>
    <w:rsid w:val="00603844"/>
    <w:rsid w:val="006038A8"/>
    <w:rsid w:val="006038F9"/>
    <w:rsid w:val="00603922"/>
    <w:rsid w:val="00603962"/>
    <w:rsid w:val="00603A48"/>
    <w:rsid w:val="00603AAD"/>
    <w:rsid w:val="00603B6F"/>
    <w:rsid w:val="00603BC8"/>
    <w:rsid w:val="00603BE8"/>
    <w:rsid w:val="00603D60"/>
    <w:rsid w:val="00603DBC"/>
    <w:rsid w:val="00603DBE"/>
    <w:rsid w:val="00603ED4"/>
    <w:rsid w:val="00603F1D"/>
    <w:rsid w:val="00603F2F"/>
    <w:rsid w:val="00604009"/>
    <w:rsid w:val="0060402A"/>
    <w:rsid w:val="00604076"/>
    <w:rsid w:val="006041B7"/>
    <w:rsid w:val="006042D7"/>
    <w:rsid w:val="006042F9"/>
    <w:rsid w:val="00604376"/>
    <w:rsid w:val="0060438C"/>
    <w:rsid w:val="006044E0"/>
    <w:rsid w:val="006045EC"/>
    <w:rsid w:val="00604623"/>
    <w:rsid w:val="006046BB"/>
    <w:rsid w:val="006046E2"/>
    <w:rsid w:val="006047A9"/>
    <w:rsid w:val="006047AF"/>
    <w:rsid w:val="006047C6"/>
    <w:rsid w:val="00604805"/>
    <w:rsid w:val="00604860"/>
    <w:rsid w:val="00604894"/>
    <w:rsid w:val="006049AE"/>
    <w:rsid w:val="006049D3"/>
    <w:rsid w:val="006049E3"/>
    <w:rsid w:val="006049E7"/>
    <w:rsid w:val="00604B08"/>
    <w:rsid w:val="00604C45"/>
    <w:rsid w:val="00604C66"/>
    <w:rsid w:val="00604C68"/>
    <w:rsid w:val="00604C71"/>
    <w:rsid w:val="00604C72"/>
    <w:rsid w:val="00604C7F"/>
    <w:rsid w:val="00604C80"/>
    <w:rsid w:val="00604D1A"/>
    <w:rsid w:val="00604D5E"/>
    <w:rsid w:val="00604D75"/>
    <w:rsid w:val="00604D8A"/>
    <w:rsid w:val="00604F79"/>
    <w:rsid w:val="00604FE3"/>
    <w:rsid w:val="00605126"/>
    <w:rsid w:val="00605235"/>
    <w:rsid w:val="006052EF"/>
    <w:rsid w:val="00605359"/>
    <w:rsid w:val="00605406"/>
    <w:rsid w:val="00605456"/>
    <w:rsid w:val="006054F6"/>
    <w:rsid w:val="0060551D"/>
    <w:rsid w:val="0060555B"/>
    <w:rsid w:val="00605564"/>
    <w:rsid w:val="006055FB"/>
    <w:rsid w:val="00605616"/>
    <w:rsid w:val="00605637"/>
    <w:rsid w:val="00605641"/>
    <w:rsid w:val="00605665"/>
    <w:rsid w:val="00605682"/>
    <w:rsid w:val="006057DD"/>
    <w:rsid w:val="00605844"/>
    <w:rsid w:val="006059C7"/>
    <w:rsid w:val="00605A51"/>
    <w:rsid w:val="00605A8E"/>
    <w:rsid w:val="00605ABB"/>
    <w:rsid w:val="00605D56"/>
    <w:rsid w:val="00605DB9"/>
    <w:rsid w:val="00605DCA"/>
    <w:rsid w:val="00605EC8"/>
    <w:rsid w:val="00606055"/>
    <w:rsid w:val="00606081"/>
    <w:rsid w:val="0060608E"/>
    <w:rsid w:val="006060F0"/>
    <w:rsid w:val="00606135"/>
    <w:rsid w:val="00606165"/>
    <w:rsid w:val="006061F4"/>
    <w:rsid w:val="00606221"/>
    <w:rsid w:val="0060630F"/>
    <w:rsid w:val="006063EC"/>
    <w:rsid w:val="006063F9"/>
    <w:rsid w:val="00606442"/>
    <w:rsid w:val="0060652D"/>
    <w:rsid w:val="00606598"/>
    <w:rsid w:val="006065E2"/>
    <w:rsid w:val="00606641"/>
    <w:rsid w:val="00606693"/>
    <w:rsid w:val="006066AA"/>
    <w:rsid w:val="006066B7"/>
    <w:rsid w:val="006066E5"/>
    <w:rsid w:val="006067C2"/>
    <w:rsid w:val="006067E5"/>
    <w:rsid w:val="006068C0"/>
    <w:rsid w:val="006068E0"/>
    <w:rsid w:val="006068E6"/>
    <w:rsid w:val="006068F2"/>
    <w:rsid w:val="00606921"/>
    <w:rsid w:val="00606975"/>
    <w:rsid w:val="0060698F"/>
    <w:rsid w:val="00606ACB"/>
    <w:rsid w:val="00606B43"/>
    <w:rsid w:val="00606B52"/>
    <w:rsid w:val="00606B78"/>
    <w:rsid w:val="00606C16"/>
    <w:rsid w:val="00606C61"/>
    <w:rsid w:val="00606C95"/>
    <w:rsid w:val="00606CC8"/>
    <w:rsid w:val="00606E02"/>
    <w:rsid w:val="00606E0A"/>
    <w:rsid w:val="00606E56"/>
    <w:rsid w:val="00606F47"/>
    <w:rsid w:val="00606F8F"/>
    <w:rsid w:val="0060708F"/>
    <w:rsid w:val="006072DA"/>
    <w:rsid w:val="00607313"/>
    <w:rsid w:val="0060731D"/>
    <w:rsid w:val="00607342"/>
    <w:rsid w:val="0060734C"/>
    <w:rsid w:val="00607362"/>
    <w:rsid w:val="006073E7"/>
    <w:rsid w:val="00607429"/>
    <w:rsid w:val="00607445"/>
    <w:rsid w:val="006075B0"/>
    <w:rsid w:val="0060770F"/>
    <w:rsid w:val="00607789"/>
    <w:rsid w:val="006077FF"/>
    <w:rsid w:val="006079E1"/>
    <w:rsid w:val="00607AAA"/>
    <w:rsid w:val="00607CB5"/>
    <w:rsid w:val="00607D01"/>
    <w:rsid w:val="00607D8E"/>
    <w:rsid w:val="00607DC5"/>
    <w:rsid w:val="00607DCB"/>
    <w:rsid w:val="00607DDE"/>
    <w:rsid w:val="00607DEF"/>
    <w:rsid w:val="00607E1B"/>
    <w:rsid w:val="00607E8F"/>
    <w:rsid w:val="00607F19"/>
    <w:rsid w:val="00607FFD"/>
    <w:rsid w:val="00610007"/>
    <w:rsid w:val="00610056"/>
    <w:rsid w:val="00610068"/>
    <w:rsid w:val="0061009D"/>
    <w:rsid w:val="006100AD"/>
    <w:rsid w:val="00610146"/>
    <w:rsid w:val="0061016B"/>
    <w:rsid w:val="00610201"/>
    <w:rsid w:val="0061027B"/>
    <w:rsid w:val="00610291"/>
    <w:rsid w:val="00610293"/>
    <w:rsid w:val="0061035F"/>
    <w:rsid w:val="00610394"/>
    <w:rsid w:val="006103EB"/>
    <w:rsid w:val="0061047E"/>
    <w:rsid w:val="0061048D"/>
    <w:rsid w:val="006104B9"/>
    <w:rsid w:val="0061050F"/>
    <w:rsid w:val="00610575"/>
    <w:rsid w:val="0061059C"/>
    <w:rsid w:val="006105C5"/>
    <w:rsid w:val="0061066C"/>
    <w:rsid w:val="006106B0"/>
    <w:rsid w:val="006107CE"/>
    <w:rsid w:val="00610855"/>
    <w:rsid w:val="00610909"/>
    <w:rsid w:val="00610973"/>
    <w:rsid w:val="00610A24"/>
    <w:rsid w:val="00610B0A"/>
    <w:rsid w:val="00610C35"/>
    <w:rsid w:val="00610C57"/>
    <w:rsid w:val="00610E30"/>
    <w:rsid w:val="00610F9A"/>
    <w:rsid w:val="0061103C"/>
    <w:rsid w:val="00611082"/>
    <w:rsid w:val="0061108D"/>
    <w:rsid w:val="006110CF"/>
    <w:rsid w:val="00611142"/>
    <w:rsid w:val="00611170"/>
    <w:rsid w:val="006111E2"/>
    <w:rsid w:val="006111FF"/>
    <w:rsid w:val="00611254"/>
    <w:rsid w:val="006112CC"/>
    <w:rsid w:val="00611379"/>
    <w:rsid w:val="006114FC"/>
    <w:rsid w:val="00611637"/>
    <w:rsid w:val="00611653"/>
    <w:rsid w:val="00611710"/>
    <w:rsid w:val="006117DC"/>
    <w:rsid w:val="00611809"/>
    <w:rsid w:val="0061198E"/>
    <w:rsid w:val="006119AD"/>
    <w:rsid w:val="006119B2"/>
    <w:rsid w:val="006119F9"/>
    <w:rsid w:val="00611A52"/>
    <w:rsid w:val="00611A66"/>
    <w:rsid w:val="00611A8E"/>
    <w:rsid w:val="00611ACB"/>
    <w:rsid w:val="00611AFA"/>
    <w:rsid w:val="00611B41"/>
    <w:rsid w:val="00611B4C"/>
    <w:rsid w:val="00611B56"/>
    <w:rsid w:val="00611B9A"/>
    <w:rsid w:val="00611C1E"/>
    <w:rsid w:val="00611C46"/>
    <w:rsid w:val="00611C4A"/>
    <w:rsid w:val="00611C58"/>
    <w:rsid w:val="00611C79"/>
    <w:rsid w:val="00611D12"/>
    <w:rsid w:val="00611D87"/>
    <w:rsid w:val="00611DD6"/>
    <w:rsid w:val="00611E90"/>
    <w:rsid w:val="00611F45"/>
    <w:rsid w:val="0061202B"/>
    <w:rsid w:val="0061203A"/>
    <w:rsid w:val="00612076"/>
    <w:rsid w:val="006120F1"/>
    <w:rsid w:val="00612153"/>
    <w:rsid w:val="006123DF"/>
    <w:rsid w:val="006123E1"/>
    <w:rsid w:val="0061241A"/>
    <w:rsid w:val="0061247D"/>
    <w:rsid w:val="0061248B"/>
    <w:rsid w:val="006124DB"/>
    <w:rsid w:val="00612560"/>
    <w:rsid w:val="0061259B"/>
    <w:rsid w:val="0061259F"/>
    <w:rsid w:val="006125A5"/>
    <w:rsid w:val="0061279E"/>
    <w:rsid w:val="006128E9"/>
    <w:rsid w:val="006128F4"/>
    <w:rsid w:val="006129B3"/>
    <w:rsid w:val="00612A70"/>
    <w:rsid w:val="00612B71"/>
    <w:rsid w:val="00612B87"/>
    <w:rsid w:val="00612C90"/>
    <w:rsid w:val="00612CB9"/>
    <w:rsid w:val="00612CD8"/>
    <w:rsid w:val="00612D11"/>
    <w:rsid w:val="00612D17"/>
    <w:rsid w:val="00612D2E"/>
    <w:rsid w:val="00612EA0"/>
    <w:rsid w:val="00612F3D"/>
    <w:rsid w:val="00612FFC"/>
    <w:rsid w:val="00613010"/>
    <w:rsid w:val="00613018"/>
    <w:rsid w:val="00613082"/>
    <w:rsid w:val="006130E4"/>
    <w:rsid w:val="00613100"/>
    <w:rsid w:val="0061314D"/>
    <w:rsid w:val="00613174"/>
    <w:rsid w:val="006131EE"/>
    <w:rsid w:val="00613229"/>
    <w:rsid w:val="00613235"/>
    <w:rsid w:val="00613281"/>
    <w:rsid w:val="006132CD"/>
    <w:rsid w:val="006132D3"/>
    <w:rsid w:val="0061331C"/>
    <w:rsid w:val="00613332"/>
    <w:rsid w:val="0061337D"/>
    <w:rsid w:val="006133A9"/>
    <w:rsid w:val="006133D9"/>
    <w:rsid w:val="00613485"/>
    <w:rsid w:val="006134E8"/>
    <w:rsid w:val="00613629"/>
    <w:rsid w:val="0061366A"/>
    <w:rsid w:val="006136B1"/>
    <w:rsid w:val="00613714"/>
    <w:rsid w:val="00613750"/>
    <w:rsid w:val="006137A3"/>
    <w:rsid w:val="006137FE"/>
    <w:rsid w:val="00613805"/>
    <w:rsid w:val="006138FF"/>
    <w:rsid w:val="00613981"/>
    <w:rsid w:val="006139DD"/>
    <w:rsid w:val="006139FF"/>
    <w:rsid w:val="00613AB1"/>
    <w:rsid w:val="00613B32"/>
    <w:rsid w:val="00613B43"/>
    <w:rsid w:val="00613B48"/>
    <w:rsid w:val="00613BA1"/>
    <w:rsid w:val="00613BB0"/>
    <w:rsid w:val="00613D20"/>
    <w:rsid w:val="00613EFE"/>
    <w:rsid w:val="00613F32"/>
    <w:rsid w:val="00613FBF"/>
    <w:rsid w:val="00613FD3"/>
    <w:rsid w:val="0061408C"/>
    <w:rsid w:val="006140E5"/>
    <w:rsid w:val="0061410E"/>
    <w:rsid w:val="0061427D"/>
    <w:rsid w:val="00614331"/>
    <w:rsid w:val="0061433C"/>
    <w:rsid w:val="006143F5"/>
    <w:rsid w:val="0061443C"/>
    <w:rsid w:val="0061445C"/>
    <w:rsid w:val="006144EE"/>
    <w:rsid w:val="00614547"/>
    <w:rsid w:val="0061461F"/>
    <w:rsid w:val="00614643"/>
    <w:rsid w:val="006146C2"/>
    <w:rsid w:val="006147E3"/>
    <w:rsid w:val="006148B2"/>
    <w:rsid w:val="0061491F"/>
    <w:rsid w:val="0061498A"/>
    <w:rsid w:val="0061498C"/>
    <w:rsid w:val="00614A55"/>
    <w:rsid w:val="00614ABF"/>
    <w:rsid w:val="00614C3F"/>
    <w:rsid w:val="00614C45"/>
    <w:rsid w:val="00614CAC"/>
    <w:rsid w:val="00614D4F"/>
    <w:rsid w:val="00614D82"/>
    <w:rsid w:val="00614F79"/>
    <w:rsid w:val="00614FCD"/>
    <w:rsid w:val="00615016"/>
    <w:rsid w:val="00615041"/>
    <w:rsid w:val="006150DC"/>
    <w:rsid w:val="0061521E"/>
    <w:rsid w:val="00615220"/>
    <w:rsid w:val="00615248"/>
    <w:rsid w:val="006152E2"/>
    <w:rsid w:val="006152F5"/>
    <w:rsid w:val="00615321"/>
    <w:rsid w:val="00615466"/>
    <w:rsid w:val="00615481"/>
    <w:rsid w:val="006154DE"/>
    <w:rsid w:val="00615536"/>
    <w:rsid w:val="0061586C"/>
    <w:rsid w:val="00615924"/>
    <w:rsid w:val="00615A4A"/>
    <w:rsid w:val="00615AB8"/>
    <w:rsid w:val="00615AF9"/>
    <w:rsid w:val="00615BD7"/>
    <w:rsid w:val="00615C9B"/>
    <w:rsid w:val="00615D6C"/>
    <w:rsid w:val="00615DAE"/>
    <w:rsid w:val="00615DB5"/>
    <w:rsid w:val="00615DD3"/>
    <w:rsid w:val="00615E0C"/>
    <w:rsid w:val="00615E12"/>
    <w:rsid w:val="00615EFD"/>
    <w:rsid w:val="00616016"/>
    <w:rsid w:val="006160A6"/>
    <w:rsid w:val="0061610A"/>
    <w:rsid w:val="0061611C"/>
    <w:rsid w:val="0061617D"/>
    <w:rsid w:val="00616213"/>
    <w:rsid w:val="006162A5"/>
    <w:rsid w:val="006163DE"/>
    <w:rsid w:val="006163E3"/>
    <w:rsid w:val="00616405"/>
    <w:rsid w:val="00616524"/>
    <w:rsid w:val="00616546"/>
    <w:rsid w:val="006165CE"/>
    <w:rsid w:val="006165E9"/>
    <w:rsid w:val="0061663F"/>
    <w:rsid w:val="00616691"/>
    <w:rsid w:val="006166A5"/>
    <w:rsid w:val="006166D9"/>
    <w:rsid w:val="006166E3"/>
    <w:rsid w:val="00616700"/>
    <w:rsid w:val="006167D6"/>
    <w:rsid w:val="006167F3"/>
    <w:rsid w:val="006167FB"/>
    <w:rsid w:val="0061688C"/>
    <w:rsid w:val="0061697D"/>
    <w:rsid w:val="006169B8"/>
    <w:rsid w:val="006169CA"/>
    <w:rsid w:val="00616A00"/>
    <w:rsid w:val="00616A17"/>
    <w:rsid w:val="00616AA6"/>
    <w:rsid w:val="00616BBC"/>
    <w:rsid w:val="00616C3B"/>
    <w:rsid w:val="00616C76"/>
    <w:rsid w:val="00616C96"/>
    <w:rsid w:val="00616C9B"/>
    <w:rsid w:val="00616DF0"/>
    <w:rsid w:val="00616E24"/>
    <w:rsid w:val="00616EDB"/>
    <w:rsid w:val="00616F0D"/>
    <w:rsid w:val="00616F80"/>
    <w:rsid w:val="00617007"/>
    <w:rsid w:val="006170AC"/>
    <w:rsid w:val="006170E8"/>
    <w:rsid w:val="00617162"/>
    <w:rsid w:val="0061718D"/>
    <w:rsid w:val="006171EF"/>
    <w:rsid w:val="00617329"/>
    <w:rsid w:val="00617333"/>
    <w:rsid w:val="00617364"/>
    <w:rsid w:val="006173A3"/>
    <w:rsid w:val="0061756D"/>
    <w:rsid w:val="0061767A"/>
    <w:rsid w:val="006177B4"/>
    <w:rsid w:val="006177FE"/>
    <w:rsid w:val="00617821"/>
    <w:rsid w:val="00617886"/>
    <w:rsid w:val="0061790A"/>
    <w:rsid w:val="0061790B"/>
    <w:rsid w:val="00617916"/>
    <w:rsid w:val="00617966"/>
    <w:rsid w:val="00617A0C"/>
    <w:rsid w:val="00617A32"/>
    <w:rsid w:val="00617A40"/>
    <w:rsid w:val="00617AC3"/>
    <w:rsid w:val="00617CED"/>
    <w:rsid w:val="00617D3C"/>
    <w:rsid w:val="00617D70"/>
    <w:rsid w:val="00617E07"/>
    <w:rsid w:val="00617E8A"/>
    <w:rsid w:val="00617ED6"/>
    <w:rsid w:val="00617EE8"/>
    <w:rsid w:val="00617F2C"/>
    <w:rsid w:val="00617FAD"/>
    <w:rsid w:val="006200F7"/>
    <w:rsid w:val="006201B9"/>
    <w:rsid w:val="006201C1"/>
    <w:rsid w:val="00620335"/>
    <w:rsid w:val="0062033D"/>
    <w:rsid w:val="00620356"/>
    <w:rsid w:val="00620374"/>
    <w:rsid w:val="00620417"/>
    <w:rsid w:val="00620502"/>
    <w:rsid w:val="0062056C"/>
    <w:rsid w:val="00620662"/>
    <w:rsid w:val="0062066A"/>
    <w:rsid w:val="006206AE"/>
    <w:rsid w:val="006206D9"/>
    <w:rsid w:val="006206DE"/>
    <w:rsid w:val="00620708"/>
    <w:rsid w:val="00620735"/>
    <w:rsid w:val="006207FC"/>
    <w:rsid w:val="00620802"/>
    <w:rsid w:val="0062080A"/>
    <w:rsid w:val="00620886"/>
    <w:rsid w:val="00620891"/>
    <w:rsid w:val="006208F5"/>
    <w:rsid w:val="00620984"/>
    <w:rsid w:val="006209B3"/>
    <w:rsid w:val="006209B4"/>
    <w:rsid w:val="006209BA"/>
    <w:rsid w:val="006209BF"/>
    <w:rsid w:val="00620A31"/>
    <w:rsid w:val="00620CBF"/>
    <w:rsid w:val="00620D1B"/>
    <w:rsid w:val="00620DDC"/>
    <w:rsid w:val="00620E77"/>
    <w:rsid w:val="00620EEA"/>
    <w:rsid w:val="00620F04"/>
    <w:rsid w:val="00620F31"/>
    <w:rsid w:val="00620FEF"/>
    <w:rsid w:val="00621008"/>
    <w:rsid w:val="0062108A"/>
    <w:rsid w:val="0062108E"/>
    <w:rsid w:val="006211C7"/>
    <w:rsid w:val="006211F8"/>
    <w:rsid w:val="00621215"/>
    <w:rsid w:val="00621329"/>
    <w:rsid w:val="006213C4"/>
    <w:rsid w:val="006213C8"/>
    <w:rsid w:val="006213E6"/>
    <w:rsid w:val="00621514"/>
    <w:rsid w:val="00621599"/>
    <w:rsid w:val="0062163F"/>
    <w:rsid w:val="0062172E"/>
    <w:rsid w:val="006217FA"/>
    <w:rsid w:val="00621805"/>
    <w:rsid w:val="0062183C"/>
    <w:rsid w:val="00621850"/>
    <w:rsid w:val="0062191C"/>
    <w:rsid w:val="00621ACA"/>
    <w:rsid w:val="00621AD0"/>
    <w:rsid w:val="00621B0C"/>
    <w:rsid w:val="00621C7E"/>
    <w:rsid w:val="00621D10"/>
    <w:rsid w:val="00621D2B"/>
    <w:rsid w:val="00621DCD"/>
    <w:rsid w:val="00621EAE"/>
    <w:rsid w:val="00621F32"/>
    <w:rsid w:val="0062204F"/>
    <w:rsid w:val="0062207A"/>
    <w:rsid w:val="006220C8"/>
    <w:rsid w:val="006220E6"/>
    <w:rsid w:val="006221FA"/>
    <w:rsid w:val="0062225E"/>
    <w:rsid w:val="0062231E"/>
    <w:rsid w:val="006223D1"/>
    <w:rsid w:val="006223DA"/>
    <w:rsid w:val="0062241E"/>
    <w:rsid w:val="00622433"/>
    <w:rsid w:val="0062250C"/>
    <w:rsid w:val="00622513"/>
    <w:rsid w:val="00622566"/>
    <w:rsid w:val="0062264C"/>
    <w:rsid w:val="00622669"/>
    <w:rsid w:val="006226A6"/>
    <w:rsid w:val="00622762"/>
    <w:rsid w:val="00622783"/>
    <w:rsid w:val="006227EC"/>
    <w:rsid w:val="00622823"/>
    <w:rsid w:val="006228BA"/>
    <w:rsid w:val="00622901"/>
    <w:rsid w:val="00622918"/>
    <w:rsid w:val="00622959"/>
    <w:rsid w:val="00622A12"/>
    <w:rsid w:val="00622AB8"/>
    <w:rsid w:val="00622AE6"/>
    <w:rsid w:val="00622B18"/>
    <w:rsid w:val="00622C20"/>
    <w:rsid w:val="00622CB5"/>
    <w:rsid w:val="00622CE4"/>
    <w:rsid w:val="00622DA3"/>
    <w:rsid w:val="00622DD2"/>
    <w:rsid w:val="00622DD9"/>
    <w:rsid w:val="00622E60"/>
    <w:rsid w:val="00622E9E"/>
    <w:rsid w:val="00622EA4"/>
    <w:rsid w:val="00622FDF"/>
    <w:rsid w:val="00623084"/>
    <w:rsid w:val="006230F2"/>
    <w:rsid w:val="0062311F"/>
    <w:rsid w:val="0062316D"/>
    <w:rsid w:val="006231B1"/>
    <w:rsid w:val="00623200"/>
    <w:rsid w:val="00623277"/>
    <w:rsid w:val="0062330D"/>
    <w:rsid w:val="00623414"/>
    <w:rsid w:val="006234CA"/>
    <w:rsid w:val="0062350C"/>
    <w:rsid w:val="0062357C"/>
    <w:rsid w:val="006235F9"/>
    <w:rsid w:val="0062366B"/>
    <w:rsid w:val="00623685"/>
    <w:rsid w:val="00623686"/>
    <w:rsid w:val="0062369B"/>
    <w:rsid w:val="006236CD"/>
    <w:rsid w:val="00623735"/>
    <w:rsid w:val="00623828"/>
    <w:rsid w:val="00623837"/>
    <w:rsid w:val="00623ADE"/>
    <w:rsid w:val="00623B0B"/>
    <w:rsid w:val="00623B8C"/>
    <w:rsid w:val="00623BDA"/>
    <w:rsid w:val="00623C69"/>
    <w:rsid w:val="00623D40"/>
    <w:rsid w:val="00623D4E"/>
    <w:rsid w:val="00623DF3"/>
    <w:rsid w:val="00623E71"/>
    <w:rsid w:val="00623F00"/>
    <w:rsid w:val="00623F5F"/>
    <w:rsid w:val="00623F8C"/>
    <w:rsid w:val="00624003"/>
    <w:rsid w:val="00624021"/>
    <w:rsid w:val="006240C7"/>
    <w:rsid w:val="006240E2"/>
    <w:rsid w:val="0062411B"/>
    <w:rsid w:val="0062419D"/>
    <w:rsid w:val="006241F5"/>
    <w:rsid w:val="0062427D"/>
    <w:rsid w:val="006243E3"/>
    <w:rsid w:val="0062451C"/>
    <w:rsid w:val="00624557"/>
    <w:rsid w:val="006245A3"/>
    <w:rsid w:val="006245AC"/>
    <w:rsid w:val="006245DF"/>
    <w:rsid w:val="0062463B"/>
    <w:rsid w:val="006246B0"/>
    <w:rsid w:val="00624734"/>
    <w:rsid w:val="00624744"/>
    <w:rsid w:val="006247DD"/>
    <w:rsid w:val="006248BC"/>
    <w:rsid w:val="006248CF"/>
    <w:rsid w:val="006248F5"/>
    <w:rsid w:val="00624928"/>
    <w:rsid w:val="00624A05"/>
    <w:rsid w:val="00624A92"/>
    <w:rsid w:val="00624AB3"/>
    <w:rsid w:val="00624AF2"/>
    <w:rsid w:val="00624B13"/>
    <w:rsid w:val="00624B5B"/>
    <w:rsid w:val="00624B5C"/>
    <w:rsid w:val="00624B9E"/>
    <w:rsid w:val="00624BF4"/>
    <w:rsid w:val="00624C63"/>
    <w:rsid w:val="00624C95"/>
    <w:rsid w:val="00624D66"/>
    <w:rsid w:val="00624D6D"/>
    <w:rsid w:val="00624D75"/>
    <w:rsid w:val="00624D7E"/>
    <w:rsid w:val="00624D94"/>
    <w:rsid w:val="00624E66"/>
    <w:rsid w:val="00624F89"/>
    <w:rsid w:val="00624FEB"/>
    <w:rsid w:val="00625055"/>
    <w:rsid w:val="006251C3"/>
    <w:rsid w:val="006251E4"/>
    <w:rsid w:val="00625249"/>
    <w:rsid w:val="00625280"/>
    <w:rsid w:val="0062529A"/>
    <w:rsid w:val="0062534A"/>
    <w:rsid w:val="0062534D"/>
    <w:rsid w:val="00625379"/>
    <w:rsid w:val="0062538F"/>
    <w:rsid w:val="00625453"/>
    <w:rsid w:val="0062546C"/>
    <w:rsid w:val="0062547D"/>
    <w:rsid w:val="00625493"/>
    <w:rsid w:val="00625572"/>
    <w:rsid w:val="0062563B"/>
    <w:rsid w:val="00625681"/>
    <w:rsid w:val="006256D0"/>
    <w:rsid w:val="0062584B"/>
    <w:rsid w:val="006258D4"/>
    <w:rsid w:val="006258FE"/>
    <w:rsid w:val="0062592E"/>
    <w:rsid w:val="00625938"/>
    <w:rsid w:val="0062594D"/>
    <w:rsid w:val="0062599F"/>
    <w:rsid w:val="00625A87"/>
    <w:rsid w:val="00625AB5"/>
    <w:rsid w:val="00625B81"/>
    <w:rsid w:val="00625C02"/>
    <w:rsid w:val="00625C0B"/>
    <w:rsid w:val="00625CE3"/>
    <w:rsid w:val="00625E0B"/>
    <w:rsid w:val="00625EC9"/>
    <w:rsid w:val="00625F68"/>
    <w:rsid w:val="00625F86"/>
    <w:rsid w:val="00625FAD"/>
    <w:rsid w:val="00626073"/>
    <w:rsid w:val="00626086"/>
    <w:rsid w:val="006260B2"/>
    <w:rsid w:val="0062618B"/>
    <w:rsid w:val="006261E8"/>
    <w:rsid w:val="0062624D"/>
    <w:rsid w:val="006262E2"/>
    <w:rsid w:val="006264BB"/>
    <w:rsid w:val="006265DF"/>
    <w:rsid w:val="00626653"/>
    <w:rsid w:val="0062667F"/>
    <w:rsid w:val="0062684C"/>
    <w:rsid w:val="006268C7"/>
    <w:rsid w:val="00626A41"/>
    <w:rsid w:val="00626A62"/>
    <w:rsid w:val="00626AC4"/>
    <w:rsid w:val="00626ACF"/>
    <w:rsid w:val="00626BFF"/>
    <w:rsid w:val="00626C4D"/>
    <w:rsid w:val="00626C79"/>
    <w:rsid w:val="00626CE9"/>
    <w:rsid w:val="00626CF4"/>
    <w:rsid w:val="00626D1C"/>
    <w:rsid w:val="00626D38"/>
    <w:rsid w:val="00626D50"/>
    <w:rsid w:val="00626DCE"/>
    <w:rsid w:val="00626ECC"/>
    <w:rsid w:val="00626F80"/>
    <w:rsid w:val="00626F8B"/>
    <w:rsid w:val="00627024"/>
    <w:rsid w:val="006270CB"/>
    <w:rsid w:val="00627147"/>
    <w:rsid w:val="006272B2"/>
    <w:rsid w:val="006272E8"/>
    <w:rsid w:val="00627363"/>
    <w:rsid w:val="006273F0"/>
    <w:rsid w:val="00627409"/>
    <w:rsid w:val="0062741A"/>
    <w:rsid w:val="00627432"/>
    <w:rsid w:val="0062751B"/>
    <w:rsid w:val="00627586"/>
    <w:rsid w:val="00627593"/>
    <w:rsid w:val="0062765C"/>
    <w:rsid w:val="00627706"/>
    <w:rsid w:val="0062773D"/>
    <w:rsid w:val="006277B8"/>
    <w:rsid w:val="006277D0"/>
    <w:rsid w:val="00627832"/>
    <w:rsid w:val="00627877"/>
    <w:rsid w:val="00627880"/>
    <w:rsid w:val="0062798F"/>
    <w:rsid w:val="00627A94"/>
    <w:rsid w:val="00627A9A"/>
    <w:rsid w:val="00627B28"/>
    <w:rsid w:val="00627B45"/>
    <w:rsid w:val="00627C2B"/>
    <w:rsid w:val="00627D3F"/>
    <w:rsid w:val="00627D9B"/>
    <w:rsid w:val="00627DDE"/>
    <w:rsid w:val="00627E0B"/>
    <w:rsid w:val="00627E69"/>
    <w:rsid w:val="00627E91"/>
    <w:rsid w:val="00627EA5"/>
    <w:rsid w:val="00627EFD"/>
    <w:rsid w:val="00627F3E"/>
    <w:rsid w:val="00627F4C"/>
    <w:rsid w:val="00627F62"/>
    <w:rsid w:val="00630023"/>
    <w:rsid w:val="00630119"/>
    <w:rsid w:val="006301B6"/>
    <w:rsid w:val="006301CA"/>
    <w:rsid w:val="006302D7"/>
    <w:rsid w:val="0063036E"/>
    <w:rsid w:val="006303DB"/>
    <w:rsid w:val="0063043C"/>
    <w:rsid w:val="00630595"/>
    <w:rsid w:val="006305AD"/>
    <w:rsid w:val="00630630"/>
    <w:rsid w:val="00630676"/>
    <w:rsid w:val="006306DA"/>
    <w:rsid w:val="00630789"/>
    <w:rsid w:val="00630792"/>
    <w:rsid w:val="0063089B"/>
    <w:rsid w:val="006308D9"/>
    <w:rsid w:val="00630956"/>
    <w:rsid w:val="006309BA"/>
    <w:rsid w:val="006309C3"/>
    <w:rsid w:val="006309D0"/>
    <w:rsid w:val="00630AEF"/>
    <w:rsid w:val="00630B15"/>
    <w:rsid w:val="00630B51"/>
    <w:rsid w:val="00630C5F"/>
    <w:rsid w:val="00630D87"/>
    <w:rsid w:val="00630E34"/>
    <w:rsid w:val="00630F20"/>
    <w:rsid w:val="00630F47"/>
    <w:rsid w:val="00630F70"/>
    <w:rsid w:val="00631013"/>
    <w:rsid w:val="00631040"/>
    <w:rsid w:val="0063104C"/>
    <w:rsid w:val="00631074"/>
    <w:rsid w:val="006310CB"/>
    <w:rsid w:val="00631138"/>
    <w:rsid w:val="006311B9"/>
    <w:rsid w:val="00631217"/>
    <w:rsid w:val="00631260"/>
    <w:rsid w:val="00631339"/>
    <w:rsid w:val="00631593"/>
    <w:rsid w:val="00631607"/>
    <w:rsid w:val="0063165D"/>
    <w:rsid w:val="006316EA"/>
    <w:rsid w:val="0063173D"/>
    <w:rsid w:val="006317D9"/>
    <w:rsid w:val="006317FA"/>
    <w:rsid w:val="00631821"/>
    <w:rsid w:val="00631893"/>
    <w:rsid w:val="006318A6"/>
    <w:rsid w:val="006318D6"/>
    <w:rsid w:val="0063190C"/>
    <w:rsid w:val="00631919"/>
    <w:rsid w:val="0063193D"/>
    <w:rsid w:val="006319F9"/>
    <w:rsid w:val="00631A68"/>
    <w:rsid w:val="00631AC4"/>
    <w:rsid w:val="00631AC9"/>
    <w:rsid w:val="00631B16"/>
    <w:rsid w:val="00631BB3"/>
    <w:rsid w:val="00631BD9"/>
    <w:rsid w:val="00631C04"/>
    <w:rsid w:val="00631E17"/>
    <w:rsid w:val="00631E80"/>
    <w:rsid w:val="00631ED9"/>
    <w:rsid w:val="00631FA0"/>
    <w:rsid w:val="00631FFC"/>
    <w:rsid w:val="00632008"/>
    <w:rsid w:val="0063202D"/>
    <w:rsid w:val="00632093"/>
    <w:rsid w:val="006320C4"/>
    <w:rsid w:val="006320CD"/>
    <w:rsid w:val="00632178"/>
    <w:rsid w:val="00632198"/>
    <w:rsid w:val="006321F3"/>
    <w:rsid w:val="00632235"/>
    <w:rsid w:val="00632242"/>
    <w:rsid w:val="00632254"/>
    <w:rsid w:val="006322E0"/>
    <w:rsid w:val="00632353"/>
    <w:rsid w:val="00632371"/>
    <w:rsid w:val="006323E0"/>
    <w:rsid w:val="00632423"/>
    <w:rsid w:val="00632474"/>
    <w:rsid w:val="0063247D"/>
    <w:rsid w:val="006324FF"/>
    <w:rsid w:val="00632521"/>
    <w:rsid w:val="00632535"/>
    <w:rsid w:val="00632541"/>
    <w:rsid w:val="0063254B"/>
    <w:rsid w:val="00632586"/>
    <w:rsid w:val="0063259F"/>
    <w:rsid w:val="006325D1"/>
    <w:rsid w:val="00632630"/>
    <w:rsid w:val="00632633"/>
    <w:rsid w:val="006328DC"/>
    <w:rsid w:val="00632949"/>
    <w:rsid w:val="006329B6"/>
    <w:rsid w:val="006329C7"/>
    <w:rsid w:val="00632AFD"/>
    <w:rsid w:val="00632AFF"/>
    <w:rsid w:val="00632B93"/>
    <w:rsid w:val="00632CAE"/>
    <w:rsid w:val="00632D71"/>
    <w:rsid w:val="00632E11"/>
    <w:rsid w:val="00632E2C"/>
    <w:rsid w:val="00632E31"/>
    <w:rsid w:val="00632E69"/>
    <w:rsid w:val="00632E91"/>
    <w:rsid w:val="00632ED5"/>
    <w:rsid w:val="00632ED6"/>
    <w:rsid w:val="00632EDF"/>
    <w:rsid w:val="00632F14"/>
    <w:rsid w:val="00632F4B"/>
    <w:rsid w:val="00632F98"/>
    <w:rsid w:val="00633023"/>
    <w:rsid w:val="0063308E"/>
    <w:rsid w:val="006331B2"/>
    <w:rsid w:val="00633228"/>
    <w:rsid w:val="00633299"/>
    <w:rsid w:val="0063342A"/>
    <w:rsid w:val="006334AF"/>
    <w:rsid w:val="006334C0"/>
    <w:rsid w:val="0063354A"/>
    <w:rsid w:val="0063363A"/>
    <w:rsid w:val="0063363D"/>
    <w:rsid w:val="00633696"/>
    <w:rsid w:val="006336C2"/>
    <w:rsid w:val="006336DC"/>
    <w:rsid w:val="006336F0"/>
    <w:rsid w:val="006337CC"/>
    <w:rsid w:val="00633923"/>
    <w:rsid w:val="00633938"/>
    <w:rsid w:val="00633947"/>
    <w:rsid w:val="00633997"/>
    <w:rsid w:val="00633A21"/>
    <w:rsid w:val="00633A2F"/>
    <w:rsid w:val="00633A8B"/>
    <w:rsid w:val="00633AD2"/>
    <w:rsid w:val="00633B1C"/>
    <w:rsid w:val="00633C1C"/>
    <w:rsid w:val="00633C30"/>
    <w:rsid w:val="00633CC4"/>
    <w:rsid w:val="00633CCA"/>
    <w:rsid w:val="00633DA2"/>
    <w:rsid w:val="00633E1E"/>
    <w:rsid w:val="00633E50"/>
    <w:rsid w:val="00633E6A"/>
    <w:rsid w:val="00633F57"/>
    <w:rsid w:val="00633FA9"/>
    <w:rsid w:val="00634000"/>
    <w:rsid w:val="00634023"/>
    <w:rsid w:val="0063411C"/>
    <w:rsid w:val="0063435B"/>
    <w:rsid w:val="006344D1"/>
    <w:rsid w:val="006344E6"/>
    <w:rsid w:val="006344F2"/>
    <w:rsid w:val="006344FF"/>
    <w:rsid w:val="0063451B"/>
    <w:rsid w:val="00634559"/>
    <w:rsid w:val="0063458D"/>
    <w:rsid w:val="00634659"/>
    <w:rsid w:val="006346BA"/>
    <w:rsid w:val="006346C2"/>
    <w:rsid w:val="0063472F"/>
    <w:rsid w:val="0063475F"/>
    <w:rsid w:val="006347D3"/>
    <w:rsid w:val="006347F2"/>
    <w:rsid w:val="00634802"/>
    <w:rsid w:val="00634840"/>
    <w:rsid w:val="006348DA"/>
    <w:rsid w:val="0063491A"/>
    <w:rsid w:val="0063498F"/>
    <w:rsid w:val="006349FF"/>
    <w:rsid w:val="00634A4C"/>
    <w:rsid w:val="00634A6B"/>
    <w:rsid w:val="00634AB0"/>
    <w:rsid w:val="00634AB2"/>
    <w:rsid w:val="00634AD4"/>
    <w:rsid w:val="00634B56"/>
    <w:rsid w:val="00634BE9"/>
    <w:rsid w:val="00634C80"/>
    <w:rsid w:val="00634C90"/>
    <w:rsid w:val="00634C9C"/>
    <w:rsid w:val="00634E22"/>
    <w:rsid w:val="00634EE7"/>
    <w:rsid w:val="00634F42"/>
    <w:rsid w:val="0063503D"/>
    <w:rsid w:val="00635072"/>
    <w:rsid w:val="006350A6"/>
    <w:rsid w:val="0063516F"/>
    <w:rsid w:val="00635191"/>
    <w:rsid w:val="006351BE"/>
    <w:rsid w:val="006351C2"/>
    <w:rsid w:val="006351EE"/>
    <w:rsid w:val="0063521F"/>
    <w:rsid w:val="00635253"/>
    <w:rsid w:val="00635277"/>
    <w:rsid w:val="006352AD"/>
    <w:rsid w:val="006352C3"/>
    <w:rsid w:val="00635343"/>
    <w:rsid w:val="006353E7"/>
    <w:rsid w:val="00635464"/>
    <w:rsid w:val="0063547F"/>
    <w:rsid w:val="006354F9"/>
    <w:rsid w:val="0063553A"/>
    <w:rsid w:val="006355C4"/>
    <w:rsid w:val="00635675"/>
    <w:rsid w:val="00635762"/>
    <w:rsid w:val="006358B1"/>
    <w:rsid w:val="006358D2"/>
    <w:rsid w:val="006359A0"/>
    <w:rsid w:val="006359A7"/>
    <w:rsid w:val="006359D0"/>
    <w:rsid w:val="00635C4E"/>
    <w:rsid w:val="00635CA5"/>
    <w:rsid w:val="00635D38"/>
    <w:rsid w:val="00635D6F"/>
    <w:rsid w:val="00635DEB"/>
    <w:rsid w:val="00635E32"/>
    <w:rsid w:val="00635E61"/>
    <w:rsid w:val="00635EA4"/>
    <w:rsid w:val="00635F53"/>
    <w:rsid w:val="0063605C"/>
    <w:rsid w:val="0063608D"/>
    <w:rsid w:val="006360A0"/>
    <w:rsid w:val="006360EA"/>
    <w:rsid w:val="006361E7"/>
    <w:rsid w:val="006362D7"/>
    <w:rsid w:val="006362DC"/>
    <w:rsid w:val="00636528"/>
    <w:rsid w:val="0063652F"/>
    <w:rsid w:val="0063653D"/>
    <w:rsid w:val="0063655B"/>
    <w:rsid w:val="006365F9"/>
    <w:rsid w:val="00636606"/>
    <w:rsid w:val="0063665B"/>
    <w:rsid w:val="00636682"/>
    <w:rsid w:val="0063669D"/>
    <w:rsid w:val="006366BC"/>
    <w:rsid w:val="006367D4"/>
    <w:rsid w:val="006367E8"/>
    <w:rsid w:val="00636888"/>
    <w:rsid w:val="006368A3"/>
    <w:rsid w:val="006368DF"/>
    <w:rsid w:val="006368FC"/>
    <w:rsid w:val="00636909"/>
    <w:rsid w:val="00636A53"/>
    <w:rsid w:val="00636AE1"/>
    <w:rsid w:val="00636B7B"/>
    <w:rsid w:val="00636C23"/>
    <w:rsid w:val="00636CEF"/>
    <w:rsid w:val="00636D89"/>
    <w:rsid w:val="00636E5C"/>
    <w:rsid w:val="00636EF1"/>
    <w:rsid w:val="00636F30"/>
    <w:rsid w:val="00636F5E"/>
    <w:rsid w:val="00636FBA"/>
    <w:rsid w:val="00636FD7"/>
    <w:rsid w:val="006370F7"/>
    <w:rsid w:val="0063710A"/>
    <w:rsid w:val="006371BD"/>
    <w:rsid w:val="006371F4"/>
    <w:rsid w:val="0063726A"/>
    <w:rsid w:val="00637330"/>
    <w:rsid w:val="0063737C"/>
    <w:rsid w:val="00637417"/>
    <w:rsid w:val="006374CA"/>
    <w:rsid w:val="006374F5"/>
    <w:rsid w:val="00637517"/>
    <w:rsid w:val="00637669"/>
    <w:rsid w:val="0063767C"/>
    <w:rsid w:val="006377D3"/>
    <w:rsid w:val="006378D6"/>
    <w:rsid w:val="006378F4"/>
    <w:rsid w:val="0063793E"/>
    <w:rsid w:val="00637943"/>
    <w:rsid w:val="00637950"/>
    <w:rsid w:val="006379A5"/>
    <w:rsid w:val="006379F7"/>
    <w:rsid w:val="00637A21"/>
    <w:rsid w:val="00637A95"/>
    <w:rsid w:val="00637B13"/>
    <w:rsid w:val="00637C4A"/>
    <w:rsid w:val="00637CE3"/>
    <w:rsid w:val="00637DCF"/>
    <w:rsid w:val="00637E0C"/>
    <w:rsid w:val="00637EB7"/>
    <w:rsid w:val="00637F1D"/>
    <w:rsid w:val="00637F8E"/>
    <w:rsid w:val="00637FAB"/>
    <w:rsid w:val="006400B9"/>
    <w:rsid w:val="006400F7"/>
    <w:rsid w:val="0064015C"/>
    <w:rsid w:val="0064015E"/>
    <w:rsid w:val="00640258"/>
    <w:rsid w:val="006402C1"/>
    <w:rsid w:val="006402DE"/>
    <w:rsid w:val="00640320"/>
    <w:rsid w:val="00640459"/>
    <w:rsid w:val="00640498"/>
    <w:rsid w:val="0064057F"/>
    <w:rsid w:val="00640680"/>
    <w:rsid w:val="00640707"/>
    <w:rsid w:val="0064072E"/>
    <w:rsid w:val="0064078E"/>
    <w:rsid w:val="006407E3"/>
    <w:rsid w:val="006407F2"/>
    <w:rsid w:val="006407FF"/>
    <w:rsid w:val="0064085D"/>
    <w:rsid w:val="00640861"/>
    <w:rsid w:val="00640990"/>
    <w:rsid w:val="006409DD"/>
    <w:rsid w:val="00640B16"/>
    <w:rsid w:val="00640B91"/>
    <w:rsid w:val="00640BD0"/>
    <w:rsid w:val="00640C74"/>
    <w:rsid w:val="00640C8C"/>
    <w:rsid w:val="00640C9A"/>
    <w:rsid w:val="00640CA1"/>
    <w:rsid w:val="00640D70"/>
    <w:rsid w:val="00640DDA"/>
    <w:rsid w:val="00640E0B"/>
    <w:rsid w:val="00640E5A"/>
    <w:rsid w:val="00640E87"/>
    <w:rsid w:val="00640EB4"/>
    <w:rsid w:val="00640EE2"/>
    <w:rsid w:val="00640F3E"/>
    <w:rsid w:val="00640F76"/>
    <w:rsid w:val="00640F85"/>
    <w:rsid w:val="00640FA8"/>
    <w:rsid w:val="00641013"/>
    <w:rsid w:val="0064102C"/>
    <w:rsid w:val="0064102D"/>
    <w:rsid w:val="00641030"/>
    <w:rsid w:val="00641226"/>
    <w:rsid w:val="00641284"/>
    <w:rsid w:val="006413B8"/>
    <w:rsid w:val="00641473"/>
    <w:rsid w:val="006414AD"/>
    <w:rsid w:val="00641546"/>
    <w:rsid w:val="0064158F"/>
    <w:rsid w:val="00641593"/>
    <w:rsid w:val="006415C5"/>
    <w:rsid w:val="006415DD"/>
    <w:rsid w:val="00641638"/>
    <w:rsid w:val="00641648"/>
    <w:rsid w:val="006416E4"/>
    <w:rsid w:val="0064173D"/>
    <w:rsid w:val="00641753"/>
    <w:rsid w:val="00641930"/>
    <w:rsid w:val="006419F8"/>
    <w:rsid w:val="00641A36"/>
    <w:rsid w:val="00641A99"/>
    <w:rsid w:val="00641A9D"/>
    <w:rsid w:val="00641AA0"/>
    <w:rsid w:val="00641AAE"/>
    <w:rsid w:val="00641BC6"/>
    <w:rsid w:val="00641BD7"/>
    <w:rsid w:val="00641C65"/>
    <w:rsid w:val="00641C7B"/>
    <w:rsid w:val="00641C99"/>
    <w:rsid w:val="00641D59"/>
    <w:rsid w:val="00641D7F"/>
    <w:rsid w:val="00641DE7"/>
    <w:rsid w:val="00641DF0"/>
    <w:rsid w:val="00641E30"/>
    <w:rsid w:val="00641EFE"/>
    <w:rsid w:val="00641F8C"/>
    <w:rsid w:val="00641F96"/>
    <w:rsid w:val="0064203D"/>
    <w:rsid w:val="00642182"/>
    <w:rsid w:val="0064237B"/>
    <w:rsid w:val="006424C5"/>
    <w:rsid w:val="0064261D"/>
    <w:rsid w:val="00642672"/>
    <w:rsid w:val="006427B1"/>
    <w:rsid w:val="006427F5"/>
    <w:rsid w:val="006429EE"/>
    <w:rsid w:val="00642A66"/>
    <w:rsid w:val="00642A80"/>
    <w:rsid w:val="00642B51"/>
    <w:rsid w:val="00642BD0"/>
    <w:rsid w:val="00642BFE"/>
    <w:rsid w:val="00642D4D"/>
    <w:rsid w:val="00642D74"/>
    <w:rsid w:val="00642DD3"/>
    <w:rsid w:val="00642E3D"/>
    <w:rsid w:val="00642E99"/>
    <w:rsid w:val="00642EEF"/>
    <w:rsid w:val="00642EFE"/>
    <w:rsid w:val="00642F50"/>
    <w:rsid w:val="00642F81"/>
    <w:rsid w:val="006431BE"/>
    <w:rsid w:val="006431FA"/>
    <w:rsid w:val="00643212"/>
    <w:rsid w:val="00643231"/>
    <w:rsid w:val="0064328E"/>
    <w:rsid w:val="006432A8"/>
    <w:rsid w:val="00643307"/>
    <w:rsid w:val="00643372"/>
    <w:rsid w:val="0064337C"/>
    <w:rsid w:val="00643393"/>
    <w:rsid w:val="006433AD"/>
    <w:rsid w:val="006433C2"/>
    <w:rsid w:val="006435A7"/>
    <w:rsid w:val="00643689"/>
    <w:rsid w:val="0064369C"/>
    <w:rsid w:val="00643701"/>
    <w:rsid w:val="00643718"/>
    <w:rsid w:val="0064373B"/>
    <w:rsid w:val="00643805"/>
    <w:rsid w:val="00643876"/>
    <w:rsid w:val="0064388D"/>
    <w:rsid w:val="006438C1"/>
    <w:rsid w:val="0064396A"/>
    <w:rsid w:val="00643988"/>
    <w:rsid w:val="006439DA"/>
    <w:rsid w:val="00643A38"/>
    <w:rsid w:val="00643B83"/>
    <w:rsid w:val="00643C3A"/>
    <w:rsid w:val="00643C4D"/>
    <w:rsid w:val="00643CB4"/>
    <w:rsid w:val="00643D1D"/>
    <w:rsid w:val="00643D76"/>
    <w:rsid w:val="00643DC2"/>
    <w:rsid w:val="00643F20"/>
    <w:rsid w:val="00644075"/>
    <w:rsid w:val="006440F7"/>
    <w:rsid w:val="00644106"/>
    <w:rsid w:val="00644135"/>
    <w:rsid w:val="00644223"/>
    <w:rsid w:val="00644291"/>
    <w:rsid w:val="006442A8"/>
    <w:rsid w:val="006443D0"/>
    <w:rsid w:val="006443D3"/>
    <w:rsid w:val="006443E3"/>
    <w:rsid w:val="0064450B"/>
    <w:rsid w:val="006445C9"/>
    <w:rsid w:val="006445D4"/>
    <w:rsid w:val="006445E7"/>
    <w:rsid w:val="0064465A"/>
    <w:rsid w:val="00644660"/>
    <w:rsid w:val="0064466E"/>
    <w:rsid w:val="00644686"/>
    <w:rsid w:val="006446C5"/>
    <w:rsid w:val="006446CA"/>
    <w:rsid w:val="00644778"/>
    <w:rsid w:val="0064477B"/>
    <w:rsid w:val="006447C8"/>
    <w:rsid w:val="006447CA"/>
    <w:rsid w:val="00644834"/>
    <w:rsid w:val="00644890"/>
    <w:rsid w:val="006448F0"/>
    <w:rsid w:val="006449C3"/>
    <w:rsid w:val="00644A92"/>
    <w:rsid w:val="00644A9F"/>
    <w:rsid w:val="00644AC6"/>
    <w:rsid w:val="00644B02"/>
    <w:rsid w:val="00644BB8"/>
    <w:rsid w:val="00644C09"/>
    <w:rsid w:val="00644CEB"/>
    <w:rsid w:val="00644D4F"/>
    <w:rsid w:val="00644DCC"/>
    <w:rsid w:val="00644F23"/>
    <w:rsid w:val="00644FB1"/>
    <w:rsid w:val="00645192"/>
    <w:rsid w:val="00645198"/>
    <w:rsid w:val="006451E5"/>
    <w:rsid w:val="0064522B"/>
    <w:rsid w:val="00645281"/>
    <w:rsid w:val="006452E2"/>
    <w:rsid w:val="00645323"/>
    <w:rsid w:val="00645360"/>
    <w:rsid w:val="0064536D"/>
    <w:rsid w:val="0064543B"/>
    <w:rsid w:val="006454F0"/>
    <w:rsid w:val="0064554F"/>
    <w:rsid w:val="006455B4"/>
    <w:rsid w:val="0064568D"/>
    <w:rsid w:val="006456A8"/>
    <w:rsid w:val="006456F7"/>
    <w:rsid w:val="0064577E"/>
    <w:rsid w:val="00645941"/>
    <w:rsid w:val="00645967"/>
    <w:rsid w:val="006459B5"/>
    <w:rsid w:val="00645A0C"/>
    <w:rsid w:val="00645A17"/>
    <w:rsid w:val="00645B14"/>
    <w:rsid w:val="00645BF8"/>
    <w:rsid w:val="00645C1A"/>
    <w:rsid w:val="00645CA1"/>
    <w:rsid w:val="00645CE7"/>
    <w:rsid w:val="00645F18"/>
    <w:rsid w:val="00645F4A"/>
    <w:rsid w:val="0064608A"/>
    <w:rsid w:val="00646126"/>
    <w:rsid w:val="00646199"/>
    <w:rsid w:val="006461E9"/>
    <w:rsid w:val="006462D4"/>
    <w:rsid w:val="006462F3"/>
    <w:rsid w:val="00646325"/>
    <w:rsid w:val="0064632D"/>
    <w:rsid w:val="00646337"/>
    <w:rsid w:val="0064635E"/>
    <w:rsid w:val="00646430"/>
    <w:rsid w:val="006464A0"/>
    <w:rsid w:val="006465A3"/>
    <w:rsid w:val="00646694"/>
    <w:rsid w:val="006466B8"/>
    <w:rsid w:val="006466EE"/>
    <w:rsid w:val="00646758"/>
    <w:rsid w:val="00646762"/>
    <w:rsid w:val="0064677D"/>
    <w:rsid w:val="00646794"/>
    <w:rsid w:val="00646802"/>
    <w:rsid w:val="00646806"/>
    <w:rsid w:val="0064684B"/>
    <w:rsid w:val="00646879"/>
    <w:rsid w:val="00646894"/>
    <w:rsid w:val="0064692B"/>
    <w:rsid w:val="00646959"/>
    <w:rsid w:val="0064699D"/>
    <w:rsid w:val="00646AA8"/>
    <w:rsid w:val="00646AD8"/>
    <w:rsid w:val="00646B0C"/>
    <w:rsid w:val="00646BA3"/>
    <w:rsid w:val="00646CC4"/>
    <w:rsid w:val="00646CD0"/>
    <w:rsid w:val="00646DA2"/>
    <w:rsid w:val="00646DAD"/>
    <w:rsid w:val="00646E17"/>
    <w:rsid w:val="00646E5E"/>
    <w:rsid w:val="00646F4B"/>
    <w:rsid w:val="00646F8B"/>
    <w:rsid w:val="00647033"/>
    <w:rsid w:val="0064725B"/>
    <w:rsid w:val="00647262"/>
    <w:rsid w:val="006473C5"/>
    <w:rsid w:val="006473DA"/>
    <w:rsid w:val="0064744E"/>
    <w:rsid w:val="00647493"/>
    <w:rsid w:val="006475B8"/>
    <w:rsid w:val="006475F0"/>
    <w:rsid w:val="00647642"/>
    <w:rsid w:val="00647766"/>
    <w:rsid w:val="006477BE"/>
    <w:rsid w:val="00647811"/>
    <w:rsid w:val="006478A7"/>
    <w:rsid w:val="006478BA"/>
    <w:rsid w:val="006478BD"/>
    <w:rsid w:val="006479B3"/>
    <w:rsid w:val="00647C88"/>
    <w:rsid w:val="00647CA9"/>
    <w:rsid w:val="00647CD6"/>
    <w:rsid w:val="00647DD1"/>
    <w:rsid w:val="00647E25"/>
    <w:rsid w:val="00647EB8"/>
    <w:rsid w:val="0064AEA5"/>
    <w:rsid w:val="0065008C"/>
    <w:rsid w:val="0065019D"/>
    <w:rsid w:val="006501BC"/>
    <w:rsid w:val="0065020B"/>
    <w:rsid w:val="00650214"/>
    <w:rsid w:val="00650271"/>
    <w:rsid w:val="00650289"/>
    <w:rsid w:val="0065033C"/>
    <w:rsid w:val="006503D1"/>
    <w:rsid w:val="006503DA"/>
    <w:rsid w:val="006505BC"/>
    <w:rsid w:val="0065065E"/>
    <w:rsid w:val="006506C0"/>
    <w:rsid w:val="006506E1"/>
    <w:rsid w:val="00650707"/>
    <w:rsid w:val="00650737"/>
    <w:rsid w:val="0065086D"/>
    <w:rsid w:val="006508DD"/>
    <w:rsid w:val="00650A1F"/>
    <w:rsid w:val="00650A87"/>
    <w:rsid w:val="00650A89"/>
    <w:rsid w:val="00650A8E"/>
    <w:rsid w:val="00650B76"/>
    <w:rsid w:val="00650BA2"/>
    <w:rsid w:val="00650BD8"/>
    <w:rsid w:val="00650BD9"/>
    <w:rsid w:val="00650D66"/>
    <w:rsid w:val="00650E04"/>
    <w:rsid w:val="00650E82"/>
    <w:rsid w:val="00650EAF"/>
    <w:rsid w:val="00650FA3"/>
    <w:rsid w:val="00650FE2"/>
    <w:rsid w:val="006510C8"/>
    <w:rsid w:val="006510E5"/>
    <w:rsid w:val="006510ED"/>
    <w:rsid w:val="006510FB"/>
    <w:rsid w:val="0065118D"/>
    <w:rsid w:val="006511AC"/>
    <w:rsid w:val="006511CB"/>
    <w:rsid w:val="00651205"/>
    <w:rsid w:val="0065126D"/>
    <w:rsid w:val="00651273"/>
    <w:rsid w:val="006512E6"/>
    <w:rsid w:val="0065132B"/>
    <w:rsid w:val="006513B6"/>
    <w:rsid w:val="00651433"/>
    <w:rsid w:val="00651442"/>
    <w:rsid w:val="006514F6"/>
    <w:rsid w:val="006515D5"/>
    <w:rsid w:val="006516F4"/>
    <w:rsid w:val="0065174E"/>
    <w:rsid w:val="0065180F"/>
    <w:rsid w:val="006518D9"/>
    <w:rsid w:val="00651954"/>
    <w:rsid w:val="0065196A"/>
    <w:rsid w:val="00651B0C"/>
    <w:rsid w:val="00651C3F"/>
    <w:rsid w:val="00651C89"/>
    <w:rsid w:val="00651CBD"/>
    <w:rsid w:val="00651CC9"/>
    <w:rsid w:val="00651E7A"/>
    <w:rsid w:val="00651F25"/>
    <w:rsid w:val="00651F34"/>
    <w:rsid w:val="00651F76"/>
    <w:rsid w:val="0065204B"/>
    <w:rsid w:val="006520A2"/>
    <w:rsid w:val="00652117"/>
    <w:rsid w:val="00652149"/>
    <w:rsid w:val="00652271"/>
    <w:rsid w:val="006522A3"/>
    <w:rsid w:val="006522EA"/>
    <w:rsid w:val="006524F4"/>
    <w:rsid w:val="006525F9"/>
    <w:rsid w:val="0065266A"/>
    <w:rsid w:val="0065266F"/>
    <w:rsid w:val="006526C0"/>
    <w:rsid w:val="006526EE"/>
    <w:rsid w:val="0065272B"/>
    <w:rsid w:val="00652734"/>
    <w:rsid w:val="00652787"/>
    <w:rsid w:val="006527F1"/>
    <w:rsid w:val="00652A04"/>
    <w:rsid w:val="00652A0E"/>
    <w:rsid w:val="00652AEB"/>
    <w:rsid w:val="00652C4B"/>
    <w:rsid w:val="00652CBD"/>
    <w:rsid w:val="00652D2A"/>
    <w:rsid w:val="00652EAC"/>
    <w:rsid w:val="00652EF5"/>
    <w:rsid w:val="00652F1D"/>
    <w:rsid w:val="00652F88"/>
    <w:rsid w:val="00652FFB"/>
    <w:rsid w:val="0065305C"/>
    <w:rsid w:val="006530BF"/>
    <w:rsid w:val="0065316D"/>
    <w:rsid w:val="00653190"/>
    <w:rsid w:val="006531E2"/>
    <w:rsid w:val="006531F0"/>
    <w:rsid w:val="00653229"/>
    <w:rsid w:val="0065322C"/>
    <w:rsid w:val="00653259"/>
    <w:rsid w:val="006532CA"/>
    <w:rsid w:val="00653389"/>
    <w:rsid w:val="006533A4"/>
    <w:rsid w:val="00653413"/>
    <w:rsid w:val="00653490"/>
    <w:rsid w:val="006534C5"/>
    <w:rsid w:val="0065366F"/>
    <w:rsid w:val="00653736"/>
    <w:rsid w:val="00653737"/>
    <w:rsid w:val="00653738"/>
    <w:rsid w:val="006537C8"/>
    <w:rsid w:val="00653857"/>
    <w:rsid w:val="0065389B"/>
    <w:rsid w:val="00653941"/>
    <w:rsid w:val="0065398F"/>
    <w:rsid w:val="0065399B"/>
    <w:rsid w:val="00653A1B"/>
    <w:rsid w:val="00653A28"/>
    <w:rsid w:val="00653A29"/>
    <w:rsid w:val="00653A70"/>
    <w:rsid w:val="00653C74"/>
    <w:rsid w:val="00653CAF"/>
    <w:rsid w:val="00653D1F"/>
    <w:rsid w:val="00653D87"/>
    <w:rsid w:val="00653D99"/>
    <w:rsid w:val="00653DC1"/>
    <w:rsid w:val="00653DEE"/>
    <w:rsid w:val="00653E20"/>
    <w:rsid w:val="00653E23"/>
    <w:rsid w:val="00653E2D"/>
    <w:rsid w:val="00653E34"/>
    <w:rsid w:val="00653E9A"/>
    <w:rsid w:val="00653EAC"/>
    <w:rsid w:val="00653F68"/>
    <w:rsid w:val="00654036"/>
    <w:rsid w:val="00654046"/>
    <w:rsid w:val="006540CF"/>
    <w:rsid w:val="006540F4"/>
    <w:rsid w:val="00654118"/>
    <w:rsid w:val="0065418A"/>
    <w:rsid w:val="006541C4"/>
    <w:rsid w:val="00654372"/>
    <w:rsid w:val="006543EC"/>
    <w:rsid w:val="006543ED"/>
    <w:rsid w:val="00654440"/>
    <w:rsid w:val="006546E1"/>
    <w:rsid w:val="00654717"/>
    <w:rsid w:val="0065472E"/>
    <w:rsid w:val="0065478C"/>
    <w:rsid w:val="0065478D"/>
    <w:rsid w:val="00654885"/>
    <w:rsid w:val="00654907"/>
    <w:rsid w:val="0065490E"/>
    <w:rsid w:val="00654950"/>
    <w:rsid w:val="00654A59"/>
    <w:rsid w:val="00654A7E"/>
    <w:rsid w:val="00654AF1"/>
    <w:rsid w:val="00654B7B"/>
    <w:rsid w:val="00654BC4"/>
    <w:rsid w:val="00654C0F"/>
    <w:rsid w:val="00654CD1"/>
    <w:rsid w:val="00654D03"/>
    <w:rsid w:val="00654D76"/>
    <w:rsid w:val="00654E7B"/>
    <w:rsid w:val="00654ECD"/>
    <w:rsid w:val="00654F17"/>
    <w:rsid w:val="00654F2E"/>
    <w:rsid w:val="00654FBB"/>
    <w:rsid w:val="0065507A"/>
    <w:rsid w:val="006550D2"/>
    <w:rsid w:val="006551BC"/>
    <w:rsid w:val="00655228"/>
    <w:rsid w:val="006552C4"/>
    <w:rsid w:val="00655301"/>
    <w:rsid w:val="0065531D"/>
    <w:rsid w:val="00655389"/>
    <w:rsid w:val="006553EC"/>
    <w:rsid w:val="0065542D"/>
    <w:rsid w:val="00655458"/>
    <w:rsid w:val="006554A9"/>
    <w:rsid w:val="00655543"/>
    <w:rsid w:val="00655556"/>
    <w:rsid w:val="00655582"/>
    <w:rsid w:val="006555C1"/>
    <w:rsid w:val="00655856"/>
    <w:rsid w:val="00655888"/>
    <w:rsid w:val="006558C0"/>
    <w:rsid w:val="00655A66"/>
    <w:rsid w:val="00655A99"/>
    <w:rsid w:val="00655AB4"/>
    <w:rsid w:val="00655AEC"/>
    <w:rsid w:val="00655B1C"/>
    <w:rsid w:val="00655BD8"/>
    <w:rsid w:val="00655C0E"/>
    <w:rsid w:val="00655C82"/>
    <w:rsid w:val="00655CA7"/>
    <w:rsid w:val="00655D75"/>
    <w:rsid w:val="00655DAD"/>
    <w:rsid w:val="00655DC3"/>
    <w:rsid w:val="00655E39"/>
    <w:rsid w:val="00655E56"/>
    <w:rsid w:val="00655E80"/>
    <w:rsid w:val="00655F27"/>
    <w:rsid w:val="00655F94"/>
    <w:rsid w:val="00655FDB"/>
    <w:rsid w:val="00655FF5"/>
    <w:rsid w:val="0065600C"/>
    <w:rsid w:val="0065602F"/>
    <w:rsid w:val="00656039"/>
    <w:rsid w:val="0065615D"/>
    <w:rsid w:val="006561E4"/>
    <w:rsid w:val="0065626B"/>
    <w:rsid w:val="00656275"/>
    <w:rsid w:val="006562B0"/>
    <w:rsid w:val="006562F1"/>
    <w:rsid w:val="00656360"/>
    <w:rsid w:val="00656383"/>
    <w:rsid w:val="0065644F"/>
    <w:rsid w:val="006564AF"/>
    <w:rsid w:val="00656607"/>
    <w:rsid w:val="00656642"/>
    <w:rsid w:val="006566B1"/>
    <w:rsid w:val="006567F6"/>
    <w:rsid w:val="0065686A"/>
    <w:rsid w:val="00656ABF"/>
    <w:rsid w:val="00656B05"/>
    <w:rsid w:val="00656B11"/>
    <w:rsid w:val="00656B66"/>
    <w:rsid w:val="00656C76"/>
    <w:rsid w:val="00656DCE"/>
    <w:rsid w:val="00656DE8"/>
    <w:rsid w:val="00656E8D"/>
    <w:rsid w:val="00656FA7"/>
    <w:rsid w:val="00656FBE"/>
    <w:rsid w:val="00657074"/>
    <w:rsid w:val="00657112"/>
    <w:rsid w:val="006571E1"/>
    <w:rsid w:val="006572D7"/>
    <w:rsid w:val="00657305"/>
    <w:rsid w:val="00657381"/>
    <w:rsid w:val="006573E4"/>
    <w:rsid w:val="00657412"/>
    <w:rsid w:val="00657424"/>
    <w:rsid w:val="0065742F"/>
    <w:rsid w:val="006574BF"/>
    <w:rsid w:val="00657560"/>
    <w:rsid w:val="00657565"/>
    <w:rsid w:val="00657595"/>
    <w:rsid w:val="0065779A"/>
    <w:rsid w:val="0065786A"/>
    <w:rsid w:val="00657A6D"/>
    <w:rsid w:val="00657AA5"/>
    <w:rsid w:val="00657AE0"/>
    <w:rsid w:val="00657AE6"/>
    <w:rsid w:val="00657BBD"/>
    <w:rsid w:val="00657BD2"/>
    <w:rsid w:val="00657BE2"/>
    <w:rsid w:val="00657BF6"/>
    <w:rsid w:val="00657C1B"/>
    <w:rsid w:val="00657C5F"/>
    <w:rsid w:val="00657C9B"/>
    <w:rsid w:val="00657D81"/>
    <w:rsid w:val="00657DE8"/>
    <w:rsid w:val="00657E58"/>
    <w:rsid w:val="00657EE8"/>
    <w:rsid w:val="00657F29"/>
    <w:rsid w:val="00657FE2"/>
    <w:rsid w:val="00660076"/>
    <w:rsid w:val="0066009A"/>
    <w:rsid w:val="006600B8"/>
    <w:rsid w:val="006600C0"/>
    <w:rsid w:val="00660102"/>
    <w:rsid w:val="00660177"/>
    <w:rsid w:val="0066017B"/>
    <w:rsid w:val="0066017C"/>
    <w:rsid w:val="00660191"/>
    <w:rsid w:val="006601B2"/>
    <w:rsid w:val="006601B4"/>
    <w:rsid w:val="0066022D"/>
    <w:rsid w:val="0066028D"/>
    <w:rsid w:val="00660329"/>
    <w:rsid w:val="00660330"/>
    <w:rsid w:val="006603B3"/>
    <w:rsid w:val="0066045F"/>
    <w:rsid w:val="006604B6"/>
    <w:rsid w:val="006604E5"/>
    <w:rsid w:val="00660567"/>
    <w:rsid w:val="006606E5"/>
    <w:rsid w:val="00660721"/>
    <w:rsid w:val="0066074F"/>
    <w:rsid w:val="00660784"/>
    <w:rsid w:val="0066080C"/>
    <w:rsid w:val="006608A7"/>
    <w:rsid w:val="006608E5"/>
    <w:rsid w:val="00660918"/>
    <w:rsid w:val="00660A72"/>
    <w:rsid w:val="00660ADB"/>
    <w:rsid w:val="00660CA8"/>
    <w:rsid w:val="00660CFB"/>
    <w:rsid w:val="00660CFC"/>
    <w:rsid w:val="00660D60"/>
    <w:rsid w:val="00660D86"/>
    <w:rsid w:val="00660E64"/>
    <w:rsid w:val="00660E73"/>
    <w:rsid w:val="00660F55"/>
    <w:rsid w:val="00660F82"/>
    <w:rsid w:val="006610AC"/>
    <w:rsid w:val="00661162"/>
    <w:rsid w:val="006611B9"/>
    <w:rsid w:val="0066123E"/>
    <w:rsid w:val="00661255"/>
    <w:rsid w:val="0066130E"/>
    <w:rsid w:val="00661337"/>
    <w:rsid w:val="0066136B"/>
    <w:rsid w:val="006613BD"/>
    <w:rsid w:val="006613DA"/>
    <w:rsid w:val="00661454"/>
    <w:rsid w:val="006614E3"/>
    <w:rsid w:val="006614E9"/>
    <w:rsid w:val="00661513"/>
    <w:rsid w:val="0066156E"/>
    <w:rsid w:val="0066159F"/>
    <w:rsid w:val="00661621"/>
    <w:rsid w:val="00661652"/>
    <w:rsid w:val="006616EC"/>
    <w:rsid w:val="0066185A"/>
    <w:rsid w:val="0066185C"/>
    <w:rsid w:val="0066186F"/>
    <w:rsid w:val="006618E8"/>
    <w:rsid w:val="006619D8"/>
    <w:rsid w:val="00661A2D"/>
    <w:rsid w:val="00661A70"/>
    <w:rsid w:val="00661A99"/>
    <w:rsid w:val="00661ABE"/>
    <w:rsid w:val="00661B1C"/>
    <w:rsid w:val="00661B28"/>
    <w:rsid w:val="00661BC6"/>
    <w:rsid w:val="00661BF5"/>
    <w:rsid w:val="00661C20"/>
    <w:rsid w:val="00661C35"/>
    <w:rsid w:val="00661C47"/>
    <w:rsid w:val="00661C63"/>
    <w:rsid w:val="00661C7A"/>
    <w:rsid w:val="00661CBC"/>
    <w:rsid w:val="00661DDA"/>
    <w:rsid w:val="00661DDC"/>
    <w:rsid w:val="00661E5F"/>
    <w:rsid w:val="00661F02"/>
    <w:rsid w:val="00661F50"/>
    <w:rsid w:val="006620A0"/>
    <w:rsid w:val="00662193"/>
    <w:rsid w:val="006621C2"/>
    <w:rsid w:val="00662238"/>
    <w:rsid w:val="00662244"/>
    <w:rsid w:val="006622BD"/>
    <w:rsid w:val="00662322"/>
    <w:rsid w:val="0066237D"/>
    <w:rsid w:val="006623BE"/>
    <w:rsid w:val="006623D7"/>
    <w:rsid w:val="006623EA"/>
    <w:rsid w:val="006623EB"/>
    <w:rsid w:val="006625B3"/>
    <w:rsid w:val="006625E7"/>
    <w:rsid w:val="006625EF"/>
    <w:rsid w:val="0066260D"/>
    <w:rsid w:val="006626F2"/>
    <w:rsid w:val="00662727"/>
    <w:rsid w:val="006627FA"/>
    <w:rsid w:val="00662834"/>
    <w:rsid w:val="006628EE"/>
    <w:rsid w:val="00662905"/>
    <w:rsid w:val="0066295C"/>
    <w:rsid w:val="006629AA"/>
    <w:rsid w:val="006629ED"/>
    <w:rsid w:val="00662AA4"/>
    <w:rsid w:val="00662B1E"/>
    <w:rsid w:val="00662B7D"/>
    <w:rsid w:val="00662BD1"/>
    <w:rsid w:val="00662C54"/>
    <w:rsid w:val="00662CC1"/>
    <w:rsid w:val="00662CC7"/>
    <w:rsid w:val="00662E52"/>
    <w:rsid w:val="00662EB1"/>
    <w:rsid w:val="00662F16"/>
    <w:rsid w:val="00662F4D"/>
    <w:rsid w:val="006630C9"/>
    <w:rsid w:val="006630ED"/>
    <w:rsid w:val="00663122"/>
    <w:rsid w:val="006631D8"/>
    <w:rsid w:val="006631DE"/>
    <w:rsid w:val="006631F5"/>
    <w:rsid w:val="00663267"/>
    <w:rsid w:val="0066326A"/>
    <w:rsid w:val="00663344"/>
    <w:rsid w:val="006633C1"/>
    <w:rsid w:val="00663421"/>
    <w:rsid w:val="00663454"/>
    <w:rsid w:val="00663462"/>
    <w:rsid w:val="006634E7"/>
    <w:rsid w:val="006635ED"/>
    <w:rsid w:val="00663612"/>
    <w:rsid w:val="00663638"/>
    <w:rsid w:val="0066370B"/>
    <w:rsid w:val="006637E0"/>
    <w:rsid w:val="00663939"/>
    <w:rsid w:val="0066394C"/>
    <w:rsid w:val="00663A49"/>
    <w:rsid w:val="00663B38"/>
    <w:rsid w:val="00663C18"/>
    <w:rsid w:val="00663C89"/>
    <w:rsid w:val="00663CEF"/>
    <w:rsid w:val="00663D4D"/>
    <w:rsid w:val="00663E3C"/>
    <w:rsid w:val="00663F06"/>
    <w:rsid w:val="00663F43"/>
    <w:rsid w:val="00663F61"/>
    <w:rsid w:val="00663F7D"/>
    <w:rsid w:val="0066414B"/>
    <w:rsid w:val="00664192"/>
    <w:rsid w:val="006641CC"/>
    <w:rsid w:val="006642E4"/>
    <w:rsid w:val="006642F3"/>
    <w:rsid w:val="006643B3"/>
    <w:rsid w:val="006643BD"/>
    <w:rsid w:val="00664430"/>
    <w:rsid w:val="00664474"/>
    <w:rsid w:val="00664488"/>
    <w:rsid w:val="006644A7"/>
    <w:rsid w:val="006644E9"/>
    <w:rsid w:val="00664543"/>
    <w:rsid w:val="006645CD"/>
    <w:rsid w:val="00664689"/>
    <w:rsid w:val="006647BE"/>
    <w:rsid w:val="006647E2"/>
    <w:rsid w:val="006648D9"/>
    <w:rsid w:val="006648DB"/>
    <w:rsid w:val="006648E5"/>
    <w:rsid w:val="00664985"/>
    <w:rsid w:val="00664A1D"/>
    <w:rsid w:val="00664A26"/>
    <w:rsid w:val="00664A72"/>
    <w:rsid w:val="00664A96"/>
    <w:rsid w:val="00664B1B"/>
    <w:rsid w:val="00664B31"/>
    <w:rsid w:val="00664BD8"/>
    <w:rsid w:val="00664C8F"/>
    <w:rsid w:val="00664C94"/>
    <w:rsid w:val="00664D48"/>
    <w:rsid w:val="00664D6A"/>
    <w:rsid w:val="00664E64"/>
    <w:rsid w:val="00664FD4"/>
    <w:rsid w:val="00665036"/>
    <w:rsid w:val="00665046"/>
    <w:rsid w:val="0066506D"/>
    <w:rsid w:val="006650CC"/>
    <w:rsid w:val="00665104"/>
    <w:rsid w:val="00665117"/>
    <w:rsid w:val="00665156"/>
    <w:rsid w:val="006651EE"/>
    <w:rsid w:val="00665242"/>
    <w:rsid w:val="0066535B"/>
    <w:rsid w:val="006653E5"/>
    <w:rsid w:val="006653F8"/>
    <w:rsid w:val="0066549B"/>
    <w:rsid w:val="006654B9"/>
    <w:rsid w:val="00665523"/>
    <w:rsid w:val="00665589"/>
    <w:rsid w:val="006655CF"/>
    <w:rsid w:val="006655D3"/>
    <w:rsid w:val="00665631"/>
    <w:rsid w:val="00665673"/>
    <w:rsid w:val="00665696"/>
    <w:rsid w:val="006657AB"/>
    <w:rsid w:val="00665835"/>
    <w:rsid w:val="00665843"/>
    <w:rsid w:val="0066587E"/>
    <w:rsid w:val="006658A9"/>
    <w:rsid w:val="006658FC"/>
    <w:rsid w:val="006659C8"/>
    <w:rsid w:val="00665A01"/>
    <w:rsid w:val="00665A3C"/>
    <w:rsid w:val="00665AAA"/>
    <w:rsid w:val="00665B22"/>
    <w:rsid w:val="00665BEE"/>
    <w:rsid w:val="00665CDD"/>
    <w:rsid w:val="00665CF5"/>
    <w:rsid w:val="00665DF1"/>
    <w:rsid w:val="00665DF9"/>
    <w:rsid w:val="00665E59"/>
    <w:rsid w:val="00665E79"/>
    <w:rsid w:val="0066605B"/>
    <w:rsid w:val="0066605F"/>
    <w:rsid w:val="006661EB"/>
    <w:rsid w:val="00666317"/>
    <w:rsid w:val="0066636A"/>
    <w:rsid w:val="006663BF"/>
    <w:rsid w:val="006663C6"/>
    <w:rsid w:val="00666401"/>
    <w:rsid w:val="00666443"/>
    <w:rsid w:val="006664A4"/>
    <w:rsid w:val="006664FD"/>
    <w:rsid w:val="006665B6"/>
    <w:rsid w:val="006665E0"/>
    <w:rsid w:val="006665EE"/>
    <w:rsid w:val="006665F1"/>
    <w:rsid w:val="00666617"/>
    <w:rsid w:val="0066663A"/>
    <w:rsid w:val="0066664F"/>
    <w:rsid w:val="006666BB"/>
    <w:rsid w:val="006666F0"/>
    <w:rsid w:val="00666753"/>
    <w:rsid w:val="0066677B"/>
    <w:rsid w:val="0066684A"/>
    <w:rsid w:val="00666858"/>
    <w:rsid w:val="0066693C"/>
    <w:rsid w:val="0066696A"/>
    <w:rsid w:val="006669E8"/>
    <w:rsid w:val="00666A4C"/>
    <w:rsid w:val="00666C97"/>
    <w:rsid w:val="00666CF3"/>
    <w:rsid w:val="00666D63"/>
    <w:rsid w:val="00666DA4"/>
    <w:rsid w:val="00666DAE"/>
    <w:rsid w:val="00666E87"/>
    <w:rsid w:val="00666FD3"/>
    <w:rsid w:val="00667183"/>
    <w:rsid w:val="00667393"/>
    <w:rsid w:val="00667422"/>
    <w:rsid w:val="00667455"/>
    <w:rsid w:val="0066745E"/>
    <w:rsid w:val="00667462"/>
    <w:rsid w:val="0066746F"/>
    <w:rsid w:val="006674E7"/>
    <w:rsid w:val="00667535"/>
    <w:rsid w:val="00667597"/>
    <w:rsid w:val="006675CF"/>
    <w:rsid w:val="00667610"/>
    <w:rsid w:val="0066763D"/>
    <w:rsid w:val="00667658"/>
    <w:rsid w:val="0066771E"/>
    <w:rsid w:val="00667721"/>
    <w:rsid w:val="006677BC"/>
    <w:rsid w:val="00667863"/>
    <w:rsid w:val="0066790A"/>
    <w:rsid w:val="0066792C"/>
    <w:rsid w:val="0066793C"/>
    <w:rsid w:val="006679E3"/>
    <w:rsid w:val="00667B3C"/>
    <w:rsid w:val="00667C14"/>
    <w:rsid w:val="00667E46"/>
    <w:rsid w:val="00667E6A"/>
    <w:rsid w:val="00667F25"/>
    <w:rsid w:val="00667F3E"/>
    <w:rsid w:val="0067005B"/>
    <w:rsid w:val="006700BA"/>
    <w:rsid w:val="006700BF"/>
    <w:rsid w:val="00670188"/>
    <w:rsid w:val="006701E3"/>
    <w:rsid w:val="00670249"/>
    <w:rsid w:val="0067027C"/>
    <w:rsid w:val="006702D0"/>
    <w:rsid w:val="006702DC"/>
    <w:rsid w:val="0067035B"/>
    <w:rsid w:val="0067038D"/>
    <w:rsid w:val="00670478"/>
    <w:rsid w:val="00670497"/>
    <w:rsid w:val="006705D5"/>
    <w:rsid w:val="006705D6"/>
    <w:rsid w:val="006706CC"/>
    <w:rsid w:val="00670728"/>
    <w:rsid w:val="00670732"/>
    <w:rsid w:val="006708B3"/>
    <w:rsid w:val="006708DB"/>
    <w:rsid w:val="00670970"/>
    <w:rsid w:val="0067099F"/>
    <w:rsid w:val="00670A29"/>
    <w:rsid w:val="00670A34"/>
    <w:rsid w:val="00670B01"/>
    <w:rsid w:val="00670C08"/>
    <w:rsid w:val="00670CFF"/>
    <w:rsid w:val="00670D15"/>
    <w:rsid w:val="00670D29"/>
    <w:rsid w:val="00670D9B"/>
    <w:rsid w:val="00670DBD"/>
    <w:rsid w:val="00670DDB"/>
    <w:rsid w:val="00670DEE"/>
    <w:rsid w:val="00670E08"/>
    <w:rsid w:val="00670E88"/>
    <w:rsid w:val="00670F98"/>
    <w:rsid w:val="00671084"/>
    <w:rsid w:val="00671106"/>
    <w:rsid w:val="0067118A"/>
    <w:rsid w:val="00671206"/>
    <w:rsid w:val="0067122C"/>
    <w:rsid w:val="0067137B"/>
    <w:rsid w:val="00671407"/>
    <w:rsid w:val="00671476"/>
    <w:rsid w:val="006714D3"/>
    <w:rsid w:val="0067150D"/>
    <w:rsid w:val="00671512"/>
    <w:rsid w:val="0067151F"/>
    <w:rsid w:val="006715A1"/>
    <w:rsid w:val="006715D9"/>
    <w:rsid w:val="006715DA"/>
    <w:rsid w:val="006715DC"/>
    <w:rsid w:val="006716C3"/>
    <w:rsid w:val="006716E7"/>
    <w:rsid w:val="006717B8"/>
    <w:rsid w:val="00671827"/>
    <w:rsid w:val="0067186B"/>
    <w:rsid w:val="00671870"/>
    <w:rsid w:val="006718AE"/>
    <w:rsid w:val="006718B5"/>
    <w:rsid w:val="00671A28"/>
    <w:rsid w:val="00671A47"/>
    <w:rsid w:val="00671A48"/>
    <w:rsid w:val="00671AE3"/>
    <w:rsid w:val="00671B41"/>
    <w:rsid w:val="00671B71"/>
    <w:rsid w:val="00671C96"/>
    <w:rsid w:val="00671CA0"/>
    <w:rsid w:val="00671D49"/>
    <w:rsid w:val="00671D6B"/>
    <w:rsid w:val="00671E36"/>
    <w:rsid w:val="00671E8A"/>
    <w:rsid w:val="00671EA9"/>
    <w:rsid w:val="00671EC5"/>
    <w:rsid w:val="00671F3B"/>
    <w:rsid w:val="00671F58"/>
    <w:rsid w:val="006720D4"/>
    <w:rsid w:val="006720E8"/>
    <w:rsid w:val="0067211E"/>
    <w:rsid w:val="00672128"/>
    <w:rsid w:val="00672151"/>
    <w:rsid w:val="00672161"/>
    <w:rsid w:val="00672211"/>
    <w:rsid w:val="0067238B"/>
    <w:rsid w:val="006723FE"/>
    <w:rsid w:val="00672430"/>
    <w:rsid w:val="00672448"/>
    <w:rsid w:val="00672491"/>
    <w:rsid w:val="006724BB"/>
    <w:rsid w:val="006725BF"/>
    <w:rsid w:val="006726FC"/>
    <w:rsid w:val="006728A7"/>
    <w:rsid w:val="00672916"/>
    <w:rsid w:val="00672981"/>
    <w:rsid w:val="00672A23"/>
    <w:rsid w:val="00672A69"/>
    <w:rsid w:val="00672AE1"/>
    <w:rsid w:val="00672AF9"/>
    <w:rsid w:val="00672BCA"/>
    <w:rsid w:val="00672D4A"/>
    <w:rsid w:val="00672D94"/>
    <w:rsid w:val="00672DFE"/>
    <w:rsid w:val="00672E33"/>
    <w:rsid w:val="00672E5E"/>
    <w:rsid w:val="00672E67"/>
    <w:rsid w:val="00672F5B"/>
    <w:rsid w:val="00672F67"/>
    <w:rsid w:val="00672F73"/>
    <w:rsid w:val="00672FC5"/>
    <w:rsid w:val="00673067"/>
    <w:rsid w:val="00673174"/>
    <w:rsid w:val="0067318F"/>
    <w:rsid w:val="006731F8"/>
    <w:rsid w:val="00673241"/>
    <w:rsid w:val="0067328A"/>
    <w:rsid w:val="006732CF"/>
    <w:rsid w:val="006733E6"/>
    <w:rsid w:val="0067354F"/>
    <w:rsid w:val="0067359E"/>
    <w:rsid w:val="00673636"/>
    <w:rsid w:val="00673645"/>
    <w:rsid w:val="00673662"/>
    <w:rsid w:val="00673675"/>
    <w:rsid w:val="006736ED"/>
    <w:rsid w:val="0067376E"/>
    <w:rsid w:val="006737C9"/>
    <w:rsid w:val="00673861"/>
    <w:rsid w:val="006738BB"/>
    <w:rsid w:val="006738C9"/>
    <w:rsid w:val="0067392F"/>
    <w:rsid w:val="006739B8"/>
    <w:rsid w:val="006739C5"/>
    <w:rsid w:val="00673A42"/>
    <w:rsid w:val="00673A4B"/>
    <w:rsid w:val="00673A80"/>
    <w:rsid w:val="00673B66"/>
    <w:rsid w:val="00673C73"/>
    <w:rsid w:val="00673C87"/>
    <w:rsid w:val="00673CEC"/>
    <w:rsid w:val="00673D09"/>
    <w:rsid w:val="00673E4E"/>
    <w:rsid w:val="00673EA5"/>
    <w:rsid w:val="00673ED5"/>
    <w:rsid w:val="00674015"/>
    <w:rsid w:val="00674090"/>
    <w:rsid w:val="006740C3"/>
    <w:rsid w:val="006740DB"/>
    <w:rsid w:val="0067415B"/>
    <w:rsid w:val="0067417F"/>
    <w:rsid w:val="00674198"/>
    <w:rsid w:val="006741F3"/>
    <w:rsid w:val="00674234"/>
    <w:rsid w:val="006742A8"/>
    <w:rsid w:val="00674314"/>
    <w:rsid w:val="006743E5"/>
    <w:rsid w:val="00674580"/>
    <w:rsid w:val="006745F4"/>
    <w:rsid w:val="00674648"/>
    <w:rsid w:val="0067467A"/>
    <w:rsid w:val="00674683"/>
    <w:rsid w:val="006746A3"/>
    <w:rsid w:val="006746BD"/>
    <w:rsid w:val="00674799"/>
    <w:rsid w:val="006747CD"/>
    <w:rsid w:val="00674843"/>
    <w:rsid w:val="00674876"/>
    <w:rsid w:val="006748B1"/>
    <w:rsid w:val="006748BF"/>
    <w:rsid w:val="00674921"/>
    <w:rsid w:val="006749BB"/>
    <w:rsid w:val="006749DF"/>
    <w:rsid w:val="006749FC"/>
    <w:rsid w:val="00674A02"/>
    <w:rsid w:val="00674A9C"/>
    <w:rsid w:val="00674B44"/>
    <w:rsid w:val="00674B60"/>
    <w:rsid w:val="00674B73"/>
    <w:rsid w:val="00674CCE"/>
    <w:rsid w:val="00674CD8"/>
    <w:rsid w:val="00674DA7"/>
    <w:rsid w:val="00674DC3"/>
    <w:rsid w:val="00674E34"/>
    <w:rsid w:val="00674E54"/>
    <w:rsid w:val="00674F30"/>
    <w:rsid w:val="00674FF3"/>
    <w:rsid w:val="00675051"/>
    <w:rsid w:val="006751A5"/>
    <w:rsid w:val="006751C2"/>
    <w:rsid w:val="00675222"/>
    <w:rsid w:val="006752CC"/>
    <w:rsid w:val="006752E5"/>
    <w:rsid w:val="0067539A"/>
    <w:rsid w:val="0067539D"/>
    <w:rsid w:val="006753B1"/>
    <w:rsid w:val="006753E2"/>
    <w:rsid w:val="00675407"/>
    <w:rsid w:val="00675411"/>
    <w:rsid w:val="0067549D"/>
    <w:rsid w:val="006754D2"/>
    <w:rsid w:val="00675536"/>
    <w:rsid w:val="0067556E"/>
    <w:rsid w:val="006755EE"/>
    <w:rsid w:val="0067560D"/>
    <w:rsid w:val="00675615"/>
    <w:rsid w:val="00675668"/>
    <w:rsid w:val="006756A0"/>
    <w:rsid w:val="0067576F"/>
    <w:rsid w:val="00675774"/>
    <w:rsid w:val="0067579F"/>
    <w:rsid w:val="006757D6"/>
    <w:rsid w:val="00675821"/>
    <w:rsid w:val="006758D1"/>
    <w:rsid w:val="00675982"/>
    <w:rsid w:val="006759F9"/>
    <w:rsid w:val="00675A75"/>
    <w:rsid w:val="00675A82"/>
    <w:rsid w:val="00675ACD"/>
    <w:rsid w:val="00675C28"/>
    <w:rsid w:val="00675D07"/>
    <w:rsid w:val="00675D80"/>
    <w:rsid w:val="00675DBD"/>
    <w:rsid w:val="00675E5F"/>
    <w:rsid w:val="00675F7E"/>
    <w:rsid w:val="00675FA3"/>
    <w:rsid w:val="00676001"/>
    <w:rsid w:val="006760AF"/>
    <w:rsid w:val="00676149"/>
    <w:rsid w:val="0067619F"/>
    <w:rsid w:val="00676202"/>
    <w:rsid w:val="00676255"/>
    <w:rsid w:val="006762A2"/>
    <w:rsid w:val="006763ED"/>
    <w:rsid w:val="00676490"/>
    <w:rsid w:val="006764B8"/>
    <w:rsid w:val="006764C0"/>
    <w:rsid w:val="00676514"/>
    <w:rsid w:val="006765C8"/>
    <w:rsid w:val="006765CF"/>
    <w:rsid w:val="0067669B"/>
    <w:rsid w:val="006766F6"/>
    <w:rsid w:val="006766FA"/>
    <w:rsid w:val="006766FB"/>
    <w:rsid w:val="006768BD"/>
    <w:rsid w:val="0067691E"/>
    <w:rsid w:val="00676926"/>
    <w:rsid w:val="00676A4C"/>
    <w:rsid w:val="00676ADB"/>
    <w:rsid w:val="00676ADE"/>
    <w:rsid w:val="00676B8C"/>
    <w:rsid w:val="00676BE3"/>
    <w:rsid w:val="00676C0F"/>
    <w:rsid w:val="00676C24"/>
    <w:rsid w:val="00676D1D"/>
    <w:rsid w:val="00676DDE"/>
    <w:rsid w:val="00676E1E"/>
    <w:rsid w:val="00676E29"/>
    <w:rsid w:val="00676F4C"/>
    <w:rsid w:val="00676F66"/>
    <w:rsid w:val="00676F6C"/>
    <w:rsid w:val="00676FD7"/>
    <w:rsid w:val="006770A7"/>
    <w:rsid w:val="006770BD"/>
    <w:rsid w:val="0067716B"/>
    <w:rsid w:val="00677250"/>
    <w:rsid w:val="00677267"/>
    <w:rsid w:val="00677280"/>
    <w:rsid w:val="00677290"/>
    <w:rsid w:val="006772D7"/>
    <w:rsid w:val="006773B4"/>
    <w:rsid w:val="00677433"/>
    <w:rsid w:val="0067745D"/>
    <w:rsid w:val="00677505"/>
    <w:rsid w:val="006775AB"/>
    <w:rsid w:val="006775B4"/>
    <w:rsid w:val="0067763E"/>
    <w:rsid w:val="00677764"/>
    <w:rsid w:val="006777B5"/>
    <w:rsid w:val="006777C1"/>
    <w:rsid w:val="00677819"/>
    <w:rsid w:val="00677A4D"/>
    <w:rsid w:val="00677A8D"/>
    <w:rsid w:val="00677A98"/>
    <w:rsid w:val="00677AB1"/>
    <w:rsid w:val="00677B12"/>
    <w:rsid w:val="00677B5A"/>
    <w:rsid w:val="00677B90"/>
    <w:rsid w:val="00677C49"/>
    <w:rsid w:val="00677C5A"/>
    <w:rsid w:val="00677C6B"/>
    <w:rsid w:val="00677CD4"/>
    <w:rsid w:val="00677D68"/>
    <w:rsid w:val="00677DE5"/>
    <w:rsid w:val="00677E45"/>
    <w:rsid w:val="00677E4D"/>
    <w:rsid w:val="00677E67"/>
    <w:rsid w:val="00677EC1"/>
    <w:rsid w:val="00677F10"/>
    <w:rsid w:val="00677FA9"/>
    <w:rsid w:val="00677FE1"/>
    <w:rsid w:val="0068000F"/>
    <w:rsid w:val="00680168"/>
    <w:rsid w:val="0068021A"/>
    <w:rsid w:val="00680239"/>
    <w:rsid w:val="00680293"/>
    <w:rsid w:val="006802A5"/>
    <w:rsid w:val="006802BC"/>
    <w:rsid w:val="006802CB"/>
    <w:rsid w:val="00680409"/>
    <w:rsid w:val="006804B1"/>
    <w:rsid w:val="006807B8"/>
    <w:rsid w:val="0068083F"/>
    <w:rsid w:val="00680843"/>
    <w:rsid w:val="0068088D"/>
    <w:rsid w:val="0068095C"/>
    <w:rsid w:val="00680961"/>
    <w:rsid w:val="00680AE1"/>
    <w:rsid w:val="00680BAA"/>
    <w:rsid w:val="00680CE0"/>
    <w:rsid w:val="00680D71"/>
    <w:rsid w:val="00680DBC"/>
    <w:rsid w:val="00680E86"/>
    <w:rsid w:val="00680F73"/>
    <w:rsid w:val="00680F92"/>
    <w:rsid w:val="00680FC9"/>
    <w:rsid w:val="00681072"/>
    <w:rsid w:val="0068107F"/>
    <w:rsid w:val="0068111A"/>
    <w:rsid w:val="006811A2"/>
    <w:rsid w:val="006811A4"/>
    <w:rsid w:val="00681249"/>
    <w:rsid w:val="00681360"/>
    <w:rsid w:val="00681372"/>
    <w:rsid w:val="00681396"/>
    <w:rsid w:val="006813A6"/>
    <w:rsid w:val="0068146F"/>
    <w:rsid w:val="006814DC"/>
    <w:rsid w:val="0068166B"/>
    <w:rsid w:val="00681705"/>
    <w:rsid w:val="006817DE"/>
    <w:rsid w:val="00681808"/>
    <w:rsid w:val="0068182D"/>
    <w:rsid w:val="00681838"/>
    <w:rsid w:val="0068183A"/>
    <w:rsid w:val="00681857"/>
    <w:rsid w:val="0068185E"/>
    <w:rsid w:val="00681865"/>
    <w:rsid w:val="00681884"/>
    <w:rsid w:val="006818B0"/>
    <w:rsid w:val="006818C6"/>
    <w:rsid w:val="00681928"/>
    <w:rsid w:val="00681984"/>
    <w:rsid w:val="006819E7"/>
    <w:rsid w:val="00681A0A"/>
    <w:rsid w:val="00681B32"/>
    <w:rsid w:val="00681CEA"/>
    <w:rsid w:val="00681D03"/>
    <w:rsid w:val="00681E52"/>
    <w:rsid w:val="00681E77"/>
    <w:rsid w:val="00681EF7"/>
    <w:rsid w:val="00681F3A"/>
    <w:rsid w:val="00681FDA"/>
    <w:rsid w:val="0068201C"/>
    <w:rsid w:val="006821BA"/>
    <w:rsid w:val="006821CE"/>
    <w:rsid w:val="006821FE"/>
    <w:rsid w:val="0068220B"/>
    <w:rsid w:val="00682342"/>
    <w:rsid w:val="006823C3"/>
    <w:rsid w:val="006824EC"/>
    <w:rsid w:val="00682518"/>
    <w:rsid w:val="006825DC"/>
    <w:rsid w:val="00682628"/>
    <w:rsid w:val="006826C3"/>
    <w:rsid w:val="0068273D"/>
    <w:rsid w:val="0068276B"/>
    <w:rsid w:val="0068277D"/>
    <w:rsid w:val="006827B9"/>
    <w:rsid w:val="006827BE"/>
    <w:rsid w:val="006827E7"/>
    <w:rsid w:val="006827FD"/>
    <w:rsid w:val="0068280D"/>
    <w:rsid w:val="006828C7"/>
    <w:rsid w:val="006828F6"/>
    <w:rsid w:val="00682A5B"/>
    <w:rsid w:val="00682A8F"/>
    <w:rsid w:val="00682AA2"/>
    <w:rsid w:val="00682AAC"/>
    <w:rsid w:val="00682AB0"/>
    <w:rsid w:val="00682ABD"/>
    <w:rsid w:val="00682B2C"/>
    <w:rsid w:val="00682BB9"/>
    <w:rsid w:val="00682BBC"/>
    <w:rsid w:val="00682BE1"/>
    <w:rsid w:val="00682BE2"/>
    <w:rsid w:val="00682C1D"/>
    <w:rsid w:val="00682C43"/>
    <w:rsid w:val="00682C8D"/>
    <w:rsid w:val="00682CD1"/>
    <w:rsid w:val="00682CDA"/>
    <w:rsid w:val="00682DF8"/>
    <w:rsid w:val="00682E3E"/>
    <w:rsid w:val="00682E58"/>
    <w:rsid w:val="00682EB5"/>
    <w:rsid w:val="00682EF1"/>
    <w:rsid w:val="00682F34"/>
    <w:rsid w:val="00682FE8"/>
    <w:rsid w:val="00683009"/>
    <w:rsid w:val="0068309A"/>
    <w:rsid w:val="006830DA"/>
    <w:rsid w:val="00683180"/>
    <w:rsid w:val="006831D0"/>
    <w:rsid w:val="006831D4"/>
    <w:rsid w:val="0068325E"/>
    <w:rsid w:val="00683275"/>
    <w:rsid w:val="0068346E"/>
    <w:rsid w:val="006834A1"/>
    <w:rsid w:val="006834A8"/>
    <w:rsid w:val="006834CB"/>
    <w:rsid w:val="0068361B"/>
    <w:rsid w:val="00683633"/>
    <w:rsid w:val="0068364B"/>
    <w:rsid w:val="00683707"/>
    <w:rsid w:val="00683719"/>
    <w:rsid w:val="00683745"/>
    <w:rsid w:val="00683818"/>
    <w:rsid w:val="0068385F"/>
    <w:rsid w:val="006838C3"/>
    <w:rsid w:val="00683987"/>
    <w:rsid w:val="00683A89"/>
    <w:rsid w:val="00683ABD"/>
    <w:rsid w:val="00683C35"/>
    <w:rsid w:val="00683C97"/>
    <w:rsid w:val="00683DBE"/>
    <w:rsid w:val="00683E0A"/>
    <w:rsid w:val="00683EF2"/>
    <w:rsid w:val="006840D9"/>
    <w:rsid w:val="00684124"/>
    <w:rsid w:val="00684147"/>
    <w:rsid w:val="006841A0"/>
    <w:rsid w:val="00684311"/>
    <w:rsid w:val="00684386"/>
    <w:rsid w:val="00684422"/>
    <w:rsid w:val="00684440"/>
    <w:rsid w:val="0068450D"/>
    <w:rsid w:val="0068459A"/>
    <w:rsid w:val="006845A2"/>
    <w:rsid w:val="006845FB"/>
    <w:rsid w:val="00684633"/>
    <w:rsid w:val="0068468C"/>
    <w:rsid w:val="006846C9"/>
    <w:rsid w:val="0068471A"/>
    <w:rsid w:val="00684730"/>
    <w:rsid w:val="0068485B"/>
    <w:rsid w:val="00684878"/>
    <w:rsid w:val="006848B1"/>
    <w:rsid w:val="00684972"/>
    <w:rsid w:val="006849E9"/>
    <w:rsid w:val="00684A97"/>
    <w:rsid w:val="00684B08"/>
    <w:rsid w:val="00684B36"/>
    <w:rsid w:val="00684C3B"/>
    <w:rsid w:val="00684CE9"/>
    <w:rsid w:val="00684CEB"/>
    <w:rsid w:val="00684D90"/>
    <w:rsid w:val="00684DDA"/>
    <w:rsid w:val="00684E6F"/>
    <w:rsid w:val="00684FED"/>
    <w:rsid w:val="0068512D"/>
    <w:rsid w:val="006851D2"/>
    <w:rsid w:val="00685245"/>
    <w:rsid w:val="00685318"/>
    <w:rsid w:val="00685371"/>
    <w:rsid w:val="006854CA"/>
    <w:rsid w:val="0068553F"/>
    <w:rsid w:val="00685543"/>
    <w:rsid w:val="006855C7"/>
    <w:rsid w:val="00685612"/>
    <w:rsid w:val="0068567B"/>
    <w:rsid w:val="00685690"/>
    <w:rsid w:val="0068574F"/>
    <w:rsid w:val="00685881"/>
    <w:rsid w:val="0068593C"/>
    <w:rsid w:val="0068596A"/>
    <w:rsid w:val="006859B6"/>
    <w:rsid w:val="00685A2F"/>
    <w:rsid w:val="00685BD3"/>
    <w:rsid w:val="00685BDE"/>
    <w:rsid w:val="00685C26"/>
    <w:rsid w:val="00685C41"/>
    <w:rsid w:val="00685C9F"/>
    <w:rsid w:val="00685CE0"/>
    <w:rsid w:val="00685D60"/>
    <w:rsid w:val="00685D8A"/>
    <w:rsid w:val="00685D99"/>
    <w:rsid w:val="00685DC1"/>
    <w:rsid w:val="00685E24"/>
    <w:rsid w:val="00685E44"/>
    <w:rsid w:val="00685F85"/>
    <w:rsid w:val="00685FBD"/>
    <w:rsid w:val="0068612B"/>
    <w:rsid w:val="006861F3"/>
    <w:rsid w:val="006862E6"/>
    <w:rsid w:val="006862F5"/>
    <w:rsid w:val="0068639F"/>
    <w:rsid w:val="00686408"/>
    <w:rsid w:val="00686487"/>
    <w:rsid w:val="006864BE"/>
    <w:rsid w:val="0068652B"/>
    <w:rsid w:val="006865F3"/>
    <w:rsid w:val="006866BF"/>
    <w:rsid w:val="00686722"/>
    <w:rsid w:val="00686740"/>
    <w:rsid w:val="00686766"/>
    <w:rsid w:val="00686849"/>
    <w:rsid w:val="00686871"/>
    <w:rsid w:val="006868A3"/>
    <w:rsid w:val="0068694D"/>
    <w:rsid w:val="00686A2C"/>
    <w:rsid w:val="00686A33"/>
    <w:rsid w:val="00686A4C"/>
    <w:rsid w:val="00686AA4"/>
    <w:rsid w:val="00686AFE"/>
    <w:rsid w:val="00686B5D"/>
    <w:rsid w:val="00686C2D"/>
    <w:rsid w:val="00686CF8"/>
    <w:rsid w:val="00686DF4"/>
    <w:rsid w:val="00686E19"/>
    <w:rsid w:val="00686E63"/>
    <w:rsid w:val="00686E70"/>
    <w:rsid w:val="00686E7A"/>
    <w:rsid w:val="00686EFA"/>
    <w:rsid w:val="00686F10"/>
    <w:rsid w:val="00686F17"/>
    <w:rsid w:val="00686F43"/>
    <w:rsid w:val="00686F80"/>
    <w:rsid w:val="00686F8A"/>
    <w:rsid w:val="00687046"/>
    <w:rsid w:val="0068705E"/>
    <w:rsid w:val="00687156"/>
    <w:rsid w:val="00687173"/>
    <w:rsid w:val="0068719A"/>
    <w:rsid w:val="006871BD"/>
    <w:rsid w:val="00687294"/>
    <w:rsid w:val="006872F8"/>
    <w:rsid w:val="006873C9"/>
    <w:rsid w:val="00687497"/>
    <w:rsid w:val="006874AE"/>
    <w:rsid w:val="006874EC"/>
    <w:rsid w:val="006876BD"/>
    <w:rsid w:val="00687714"/>
    <w:rsid w:val="0068772E"/>
    <w:rsid w:val="0068773A"/>
    <w:rsid w:val="00687751"/>
    <w:rsid w:val="0068775F"/>
    <w:rsid w:val="00687799"/>
    <w:rsid w:val="0068780D"/>
    <w:rsid w:val="006878DF"/>
    <w:rsid w:val="0068793E"/>
    <w:rsid w:val="006879AB"/>
    <w:rsid w:val="00687A25"/>
    <w:rsid w:val="00687A5E"/>
    <w:rsid w:val="00687A69"/>
    <w:rsid w:val="00687A71"/>
    <w:rsid w:val="00687BD0"/>
    <w:rsid w:val="00687C5E"/>
    <w:rsid w:val="00687C70"/>
    <w:rsid w:val="00687D5D"/>
    <w:rsid w:val="00687D92"/>
    <w:rsid w:val="00687E34"/>
    <w:rsid w:val="00687EA8"/>
    <w:rsid w:val="00687F2D"/>
    <w:rsid w:val="00687F5D"/>
    <w:rsid w:val="00687FC4"/>
    <w:rsid w:val="00687FE0"/>
    <w:rsid w:val="006900D9"/>
    <w:rsid w:val="00690106"/>
    <w:rsid w:val="006901FE"/>
    <w:rsid w:val="0069026A"/>
    <w:rsid w:val="00690379"/>
    <w:rsid w:val="006903A4"/>
    <w:rsid w:val="006903EC"/>
    <w:rsid w:val="0069044D"/>
    <w:rsid w:val="00690452"/>
    <w:rsid w:val="0069045D"/>
    <w:rsid w:val="0069053B"/>
    <w:rsid w:val="0069064F"/>
    <w:rsid w:val="00690689"/>
    <w:rsid w:val="0069071F"/>
    <w:rsid w:val="00690744"/>
    <w:rsid w:val="006907A2"/>
    <w:rsid w:val="006907D2"/>
    <w:rsid w:val="006907E2"/>
    <w:rsid w:val="006908D8"/>
    <w:rsid w:val="006908DA"/>
    <w:rsid w:val="0069097B"/>
    <w:rsid w:val="0069097F"/>
    <w:rsid w:val="00690A05"/>
    <w:rsid w:val="00690B33"/>
    <w:rsid w:val="00690BC8"/>
    <w:rsid w:val="00690D9E"/>
    <w:rsid w:val="00690DC4"/>
    <w:rsid w:val="00690E75"/>
    <w:rsid w:val="00690E77"/>
    <w:rsid w:val="00690F4E"/>
    <w:rsid w:val="0069102D"/>
    <w:rsid w:val="0069116C"/>
    <w:rsid w:val="006911B9"/>
    <w:rsid w:val="00691478"/>
    <w:rsid w:val="006914CE"/>
    <w:rsid w:val="0069157B"/>
    <w:rsid w:val="00691610"/>
    <w:rsid w:val="00691632"/>
    <w:rsid w:val="00691642"/>
    <w:rsid w:val="00691681"/>
    <w:rsid w:val="00691683"/>
    <w:rsid w:val="006916B5"/>
    <w:rsid w:val="006916E4"/>
    <w:rsid w:val="0069172A"/>
    <w:rsid w:val="00691747"/>
    <w:rsid w:val="006917AD"/>
    <w:rsid w:val="006917F3"/>
    <w:rsid w:val="00691850"/>
    <w:rsid w:val="0069188E"/>
    <w:rsid w:val="006918B9"/>
    <w:rsid w:val="006918EF"/>
    <w:rsid w:val="00691964"/>
    <w:rsid w:val="00691967"/>
    <w:rsid w:val="006919AA"/>
    <w:rsid w:val="00691A40"/>
    <w:rsid w:val="00691B8F"/>
    <w:rsid w:val="00691BBC"/>
    <w:rsid w:val="00691BF0"/>
    <w:rsid w:val="00691C69"/>
    <w:rsid w:val="00691C6B"/>
    <w:rsid w:val="00691CF0"/>
    <w:rsid w:val="00691D3D"/>
    <w:rsid w:val="00691E5F"/>
    <w:rsid w:val="00691E94"/>
    <w:rsid w:val="00691ED1"/>
    <w:rsid w:val="00691EE9"/>
    <w:rsid w:val="00691EF4"/>
    <w:rsid w:val="00691F0E"/>
    <w:rsid w:val="00691F13"/>
    <w:rsid w:val="00691F45"/>
    <w:rsid w:val="00691FC1"/>
    <w:rsid w:val="00692007"/>
    <w:rsid w:val="0069221E"/>
    <w:rsid w:val="00692246"/>
    <w:rsid w:val="00692275"/>
    <w:rsid w:val="00692330"/>
    <w:rsid w:val="006923D9"/>
    <w:rsid w:val="00692401"/>
    <w:rsid w:val="0069242A"/>
    <w:rsid w:val="0069243C"/>
    <w:rsid w:val="00692443"/>
    <w:rsid w:val="00692496"/>
    <w:rsid w:val="006924C9"/>
    <w:rsid w:val="006924F0"/>
    <w:rsid w:val="0069257E"/>
    <w:rsid w:val="006925AB"/>
    <w:rsid w:val="006925C7"/>
    <w:rsid w:val="006926AB"/>
    <w:rsid w:val="0069275A"/>
    <w:rsid w:val="0069284A"/>
    <w:rsid w:val="0069286F"/>
    <w:rsid w:val="006928B2"/>
    <w:rsid w:val="006929C3"/>
    <w:rsid w:val="006929EB"/>
    <w:rsid w:val="00692A17"/>
    <w:rsid w:val="00692A1C"/>
    <w:rsid w:val="00692B8B"/>
    <w:rsid w:val="00692B8D"/>
    <w:rsid w:val="00692BD3"/>
    <w:rsid w:val="00692C6E"/>
    <w:rsid w:val="00692D5C"/>
    <w:rsid w:val="00692D60"/>
    <w:rsid w:val="00692DDC"/>
    <w:rsid w:val="00692E76"/>
    <w:rsid w:val="00692EDA"/>
    <w:rsid w:val="00692F10"/>
    <w:rsid w:val="00692FC2"/>
    <w:rsid w:val="00692FDC"/>
    <w:rsid w:val="0069307D"/>
    <w:rsid w:val="006930C6"/>
    <w:rsid w:val="006930D0"/>
    <w:rsid w:val="006930EA"/>
    <w:rsid w:val="006931E7"/>
    <w:rsid w:val="00693248"/>
    <w:rsid w:val="0069326B"/>
    <w:rsid w:val="00693354"/>
    <w:rsid w:val="006933ED"/>
    <w:rsid w:val="0069347B"/>
    <w:rsid w:val="006934ED"/>
    <w:rsid w:val="00693561"/>
    <w:rsid w:val="006935BB"/>
    <w:rsid w:val="00693656"/>
    <w:rsid w:val="00693671"/>
    <w:rsid w:val="0069367B"/>
    <w:rsid w:val="00693687"/>
    <w:rsid w:val="006936A9"/>
    <w:rsid w:val="006936BF"/>
    <w:rsid w:val="006936ED"/>
    <w:rsid w:val="00693729"/>
    <w:rsid w:val="00693751"/>
    <w:rsid w:val="00693770"/>
    <w:rsid w:val="006937B5"/>
    <w:rsid w:val="006937E2"/>
    <w:rsid w:val="00693868"/>
    <w:rsid w:val="0069386C"/>
    <w:rsid w:val="0069386D"/>
    <w:rsid w:val="006938A0"/>
    <w:rsid w:val="006938CB"/>
    <w:rsid w:val="006939AF"/>
    <w:rsid w:val="006939F3"/>
    <w:rsid w:val="00693A2D"/>
    <w:rsid w:val="00693AA6"/>
    <w:rsid w:val="00693B16"/>
    <w:rsid w:val="00693B9E"/>
    <w:rsid w:val="00693C1C"/>
    <w:rsid w:val="00693D49"/>
    <w:rsid w:val="00693DBF"/>
    <w:rsid w:val="00693ECD"/>
    <w:rsid w:val="00693F58"/>
    <w:rsid w:val="00693FB3"/>
    <w:rsid w:val="00693FED"/>
    <w:rsid w:val="00694021"/>
    <w:rsid w:val="0069405A"/>
    <w:rsid w:val="0069407F"/>
    <w:rsid w:val="006940B5"/>
    <w:rsid w:val="00694104"/>
    <w:rsid w:val="00694129"/>
    <w:rsid w:val="00694221"/>
    <w:rsid w:val="00694234"/>
    <w:rsid w:val="00694240"/>
    <w:rsid w:val="00694267"/>
    <w:rsid w:val="00694292"/>
    <w:rsid w:val="006942A6"/>
    <w:rsid w:val="00694319"/>
    <w:rsid w:val="00694343"/>
    <w:rsid w:val="006943BF"/>
    <w:rsid w:val="00694403"/>
    <w:rsid w:val="00694443"/>
    <w:rsid w:val="00694590"/>
    <w:rsid w:val="00694698"/>
    <w:rsid w:val="00694751"/>
    <w:rsid w:val="00694792"/>
    <w:rsid w:val="00694846"/>
    <w:rsid w:val="006948C5"/>
    <w:rsid w:val="006948DE"/>
    <w:rsid w:val="00694904"/>
    <w:rsid w:val="006949CF"/>
    <w:rsid w:val="006949D0"/>
    <w:rsid w:val="00694A1A"/>
    <w:rsid w:val="00694A5D"/>
    <w:rsid w:val="00694AA4"/>
    <w:rsid w:val="00694AA7"/>
    <w:rsid w:val="00694AC7"/>
    <w:rsid w:val="00694B0D"/>
    <w:rsid w:val="00694B42"/>
    <w:rsid w:val="00694B82"/>
    <w:rsid w:val="00694CF2"/>
    <w:rsid w:val="00694DF2"/>
    <w:rsid w:val="00694E5D"/>
    <w:rsid w:val="00694E81"/>
    <w:rsid w:val="00694E82"/>
    <w:rsid w:val="00694ED7"/>
    <w:rsid w:val="00694F2E"/>
    <w:rsid w:val="00694F45"/>
    <w:rsid w:val="00695058"/>
    <w:rsid w:val="0069507C"/>
    <w:rsid w:val="00695245"/>
    <w:rsid w:val="006952A1"/>
    <w:rsid w:val="00695362"/>
    <w:rsid w:val="0069538E"/>
    <w:rsid w:val="006953AF"/>
    <w:rsid w:val="006953C0"/>
    <w:rsid w:val="006953F2"/>
    <w:rsid w:val="00695574"/>
    <w:rsid w:val="0069557F"/>
    <w:rsid w:val="006955B0"/>
    <w:rsid w:val="0069561B"/>
    <w:rsid w:val="00695621"/>
    <w:rsid w:val="0069567D"/>
    <w:rsid w:val="006958DC"/>
    <w:rsid w:val="0069590F"/>
    <w:rsid w:val="00695947"/>
    <w:rsid w:val="00695952"/>
    <w:rsid w:val="00695B1F"/>
    <w:rsid w:val="00695B59"/>
    <w:rsid w:val="00695C6C"/>
    <w:rsid w:val="00695CD4"/>
    <w:rsid w:val="00695E15"/>
    <w:rsid w:val="00695E24"/>
    <w:rsid w:val="00695E70"/>
    <w:rsid w:val="00695F50"/>
    <w:rsid w:val="00695F86"/>
    <w:rsid w:val="00695FFF"/>
    <w:rsid w:val="00696018"/>
    <w:rsid w:val="006961E6"/>
    <w:rsid w:val="00696290"/>
    <w:rsid w:val="006962AD"/>
    <w:rsid w:val="00696320"/>
    <w:rsid w:val="00696400"/>
    <w:rsid w:val="00696544"/>
    <w:rsid w:val="00696556"/>
    <w:rsid w:val="006965CF"/>
    <w:rsid w:val="00696625"/>
    <w:rsid w:val="006966A8"/>
    <w:rsid w:val="0069671F"/>
    <w:rsid w:val="00696973"/>
    <w:rsid w:val="006969D7"/>
    <w:rsid w:val="006969D8"/>
    <w:rsid w:val="006969DA"/>
    <w:rsid w:val="006969F7"/>
    <w:rsid w:val="00696A7C"/>
    <w:rsid w:val="00696A81"/>
    <w:rsid w:val="00696C8C"/>
    <w:rsid w:val="00696CF2"/>
    <w:rsid w:val="00696DDD"/>
    <w:rsid w:val="00696E53"/>
    <w:rsid w:val="00696F3B"/>
    <w:rsid w:val="00696FC0"/>
    <w:rsid w:val="0069703D"/>
    <w:rsid w:val="00697081"/>
    <w:rsid w:val="0069712A"/>
    <w:rsid w:val="0069716C"/>
    <w:rsid w:val="006971C5"/>
    <w:rsid w:val="006971EB"/>
    <w:rsid w:val="006971F3"/>
    <w:rsid w:val="00697209"/>
    <w:rsid w:val="0069722F"/>
    <w:rsid w:val="0069727A"/>
    <w:rsid w:val="00697289"/>
    <w:rsid w:val="006973A8"/>
    <w:rsid w:val="0069749F"/>
    <w:rsid w:val="006974E6"/>
    <w:rsid w:val="0069751E"/>
    <w:rsid w:val="00697597"/>
    <w:rsid w:val="00697606"/>
    <w:rsid w:val="0069760E"/>
    <w:rsid w:val="00697647"/>
    <w:rsid w:val="00697652"/>
    <w:rsid w:val="00697695"/>
    <w:rsid w:val="006976F4"/>
    <w:rsid w:val="00697700"/>
    <w:rsid w:val="00697717"/>
    <w:rsid w:val="00697761"/>
    <w:rsid w:val="006977EF"/>
    <w:rsid w:val="0069788E"/>
    <w:rsid w:val="0069789C"/>
    <w:rsid w:val="006978D7"/>
    <w:rsid w:val="00697919"/>
    <w:rsid w:val="0069791B"/>
    <w:rsid w:val="00697979"/>
    <w:rsid w:val="006979FD"/>
    <w:rsid w:val="00697B1E"/>
    <w:rsid w:val="00697B47"/>
    <w:rsid w:val="00697BF3"/>
    <w:rsid w:val="00697CE7"/>
    <w:rsid w:val="00697D02"/>
    <w:rsid w:val="00697D52"/>
    <w:rsid w:val="00697D7B"/>
    <w:rsid w:val="00697E6A"/>
    <w:rsid w:val="00697E8C"/>
    <w:rsid w:val="00697EFF"/>
    <w:rsid w:val="00697FFE"/>
    <w:rsid w:val="006996C2"/>
    <w:rsid w:val="006A000D"/>
    <w:rsid w:val="006A0117"/>
    <w:rsid w:val="006A019C"/>
    <w:rsid w:val="006A019F"/>
    <w:rsid w:val="006A01CD"/>
    <w:rsid w:val="006A01F5"/>
    <w:rsid w:val="006A0202"/>
    <w:rsid w:val="006A02CF"/>
    <w:rsid w:val="006A02DF"/>
    <w:rsid w:val="006A02EB"/>
    <w:rsid w:val="006A02FB"/>
    <w:rsid w:val="006A04EA"/>
    <w:rsid w:val="006A0582"/>
    <w:rsid w:val="006A062E"/>
    <w:rsid w:val="006A06AA"/>
    <w:rsid w:val="006A075B"/>
    <w:rsid w:val="006A07A8"/>
    <w:rsid w:val="006A07CF"/>
    <w:rsid w:val="006A0856"/>
    <w:rsid w:val="006A08BE"/>
    <w:rsid w:val="006A08D3"/>
    <w:rsid w:val="006A0900"/>
    <w:rsid w:val="006A09D4"/>
    <w:rsid w:val="006A0A01"/>
    <w:rsid w:val="006A0A22"/>
    <w:rsid w:val="006A0A37"/>
    <w:rsid w:val="006A0A5C"/>
    <w:rsid w:val="006A0B14"/>
    <w:rsid w:val="006A0B2E"/>
    <w:rsid w:val="006A0C55"/>
    <w:rsid w:val="006A0C6B"/>
    <w:rsid w:val="006A0C9D"/>
    <w:rsid w:val="006A0D18"/>
    <w:rsid w:val="006A0D1B"/>
    <w:rsid w:val="006A0DA9"/>
    <w:rsid w:val="006A0E22"/>
    <w:rsid w:val="006A0E90"/>
    <w:rsid w:val="006A0F35"/>
    <w:rsid w:val="006A0F61"/>
    <w:rsid w:val="006A0FD4"/>
    <w:rsid w:val="006A10D3"/>
    <w:rsid w:val="006A1178"/>
    <w:rsid w:val="006A1347"/>
    <w:rsid w:val="006A13C7"/>
    <w:rsid w:val="006A13E8"/>
    <w:rsid w:val="006A147F"/>
    <w:rsid w:val="006A1573"/>
    <w:rsid w:val="006A15BD"/>
    <w:rsid w:val="006A15E8"/>
    <w:rsid w:val="006A1663"/>
    <w:rsid w:val="006A1677"/>
    <w:rsid w:val="006A16B0"/>
    <w:rsid w:val="006A16BA"/>
    <w:rsid w:val="006A16C5"/>
    <w:rsid w:val="006A178B"/>
    <w:rsid w:val="006A1796"/>
    <w:rsid w:val="006A1798"/>
    <w:rsid w:val="006A1884"/>
    <w:rsid w:val="006A189B"/>
    <w:rsid w:val="006A18C5"/>
    <w:rsid w:val="006A18F6"/>
    <w:rsid w:val="006A1932"/>
    <w:rsid w:val="006A1942"/>
    <w:rsid w:val="006A1BF5"/>
    <w:rsid w:val="006A1C2A"/>
    <w:rsid w:val="006A1C87"/>
    <w:rsid w:val="006A1D34"/>
    <w:rsid w:val="006A1D41"/>
    <w:rsid w:val="006A1D51"/>
    <w:rsid w:val="006A1D6C"/>
    <w:rsid w:val="006A1DCA"/>
    <w:rsid w:val="006A1E23"/>
    <w:rsid w:val="006A1E77"/>
    <w:rsid w:val="006A1EC2"/>
    <w:rsid w:val="006A1EEA"/>
    <w:rsid w:val="006A1EEF"/>
    <w:rsid w:val="006A1FD8"/>
    <w:rsid w:val="006A1FF4"/>
    <w:rsid w:val="006A2047"/>
    <w:rsid w:val="006A20FC"/>
    <w:rsid w:val="006A212C"/>
    <w:rsid w:val="006A21CD"/>
    <w:rsid w:val="006A2219"/>
    <w:rsid w:val="006A22A2"/>
    <w:rsid w:val="006A22BC"/>
    <w:rsid w:val="006A2334"/>
    <w:rsid w:val="006A2382"/>
    <w:rsid w:val="006A24C2"/>
    <w:rsid w:val="006A24E6"/>
    <w:rsid w:val="006A2501"/>
    <w:rsid w:val="006A2578"/>
    <w:rsid w:val="006A25C3"/>
    <w:rsid w:val="006A25F3"/>
    <w:rsid w:val="006A26A7"/>
    <w:rsid w:val="006A2778"/>
    <w:rsid w:val="006A27C1"/>
    <w:rsid w:val="006A2A01"/>
    <w:rsid w:val="006A2AB0"/>
    <w:rsid w:val="006A2B1B"/>
    <w:rsid w:val="006A2B27"/>
    <w:rsid w:val="006A2BF7"/>
    <w:rsid w:val="006A2C21"/>
    <w:rsid w:val="006A2C7B"/>
    <w:rsid w:val="006A2CDD"/>
    <w:rsid w:val="006A2E08"/>
    <w:rsid w:val="006A2E18"/>
    <w:rsid w:val="006A2E46"/>
    <w:rsid w:val="006A2E92"/>
    <w:rsid w:val="006A2EDD"/>
    <w:rsid w:val="006A2F71"/>
    <w:rsid w:val="006A2FA5"/>
    <w:rsid w:val="006A2FE2"/>
    <w:rsid w:val="006A3059"/>
    <w:rsid w:val="006A3064"/>
    <w:rsid w:val="006A3089"/>
    <w:rsid w:val="006A30D1"/>
    <w:rsid w:val="006A311A"/>
    <w:rsid w:val="006A31BD"/>
    <w:rsid w:val="006A3201"/>
    <w:rsid w:val="006A3211"/>
    <w:rsid w:val="006A321F"/>
    <w:rsid w:val="006A325D"/>
    <w:rsid w:val="006A32B7"/>
    <w:rsid w:val="006A33C2"/>
    <w:rsid w:val="006A3486"/>
    <w:rsid w:val="006A34BD"/>
    <w:rsid w:val="006A34E2"/>
    <w:rsid w:val="006A352A"/>
    <w:rsid w:val="006A354F"/>
    <w:rsid w:val="006A3551"/>
    <w:rsid w:val="006A3565"/>
    <w:rsid w:val="006A35E9"/>
    <w:rsid w:val="006A3645"/>
    <w:rsid w:val="006A37AB"/>
    <w:rsid w:val="006A3806"/>
    <w:rsid w:val="006A3847"/>
    <w:rsid w:val="006A389B"/>
    <w:rsid w:val="006A38B6"/>
    <w:rsid w:val="006A3909"/>
    <w:rsid w:val="006A3A46"/>
    <w:rsid w:val="006A3ABB"/>
    <w:rsid w:val="006A3B20"/>
    <w:rsid w:val="006A3BAF"/>
    <w:rsid w:val="006A3BBE"/>
    <w:rsid w:val="006A3BE8"/>
    <w:rsid w:val="006A3C0E"/>
    <w:rsid w:val="006A3C2D"/>
    <w:rsid w:val="006A3C47"/>
    <w:rsid w:val="006A3C5D"/>
    <w:rsid w:val="006A3CE3"/>
    <w:rsid w:val="006A3D19"/>
    <w:rsid w:val="006A3ECF"/>
    <w:rsid w:val="006A3FBB"/>
    <w:rsid w:val="006A3FD8"/>
    <w:rsid w:val="006A409D"/>
    <w:rsid w:val="006A40A7"/>
    <w:rsid w:val="006A40C3"/>
    <w:rsid w:val="006A411A"/>
    <w:rsid w:val="006A4166"/>
    <w:rsid w:val="006A416D"/>
    <w:rsid w:val="006A417F"/>
    <w:rsid w:val="006A41E0"/>
    <w:rsid w:val="006A429E"/>
    <w:rsid w:val="006A43A6"/>
    <w:rsid w:val="006A447B"/>
    <w:rsid w:val="006A4529"/>
    <w:rsid w:val="006A4542"/>
    <w:rsid w:val="006A45F7"/>
    <w:rsid w:val="006A46D5"/>
    <w:rsid w:val="006A474C"/>
    <w:rsid w:val="006A474E"/>
    <w:rsid w:val="006A475A"/>
    <w:rsid w:val="006A4820"/>
    <w:rsid w:val="006A48BF"/>
    <w:rsid w:val="006A490D"/>
    <w:rsid w:val="006A4933"/>
    <w:rsid w:val="006A4942"/>
    <w:rsid w:val="006A499A"/>
    <w:rsid w:val="006A49E0"/>
    <w:rsid w:val="006A4A99"/>
    <w:rsid w:val="006A4CBA"/>
    <w:rsid w:val="006A4D40"/>
    <w:rsid w:val="006A4D56"/>
    <w:rsid w:val="006A4D5F"/>
    <w:rsid w:val="006A4DFE"/>
    <w:rsid w:val="006A4E39"/>
    <w:rsid w:val="006A4E7A"/>
    <w:rsid w:val="006A4E87"/>
    <w:rsid w:val="006A4E96"/>
    <w:rsid w:val="006A4F0B"/>
    <w:rsid w:val="006A501E"/>
    <w:rsid w:val="006A502C"/>
    <w:rsid w:val="006A50B0"/>
    <w:rsid w:val="006A5137"/>
    <w:rsid w:val="006A525E"/>
    <w:rsid w:val="006A5376"/>
    <w:rsid w:val="006A5399"/>
    <w:rsid w:val="006A5472"/>
    <w:rsid w:val="006A5521"/>
    <w:rsid w:val="006A558B"/>
    <w:rsid w:val="006A5642"/>
    <w:rsid w:val="006A569A"/>
    <w:rsid w:val="006A5713"/>
    <w:rsid w:val="006A5715"/>
    <w:rsid w:val="006A5761"/>
    <w:rsid w:val="006A57F6"/>
    <w:rsid w:val="006A58B6"/>
    <w:rsid w:val="006A58EA"/>
    <w:rsid w:val="006A5918"/>
    <w:rsid w:val="006A59F6"/>
    <w:rsid w:val="006A5A46"/>
    <w:rsid w:val="006A5AA2"/>
    <w:rsid w:val="006A5AA7"/>
    <w:rsid w:val="006A5ADB"/>
    <w:rsid w:val="006A5AEE"/>
    <w:rsid w:val="006A5BE0"/>
    <w:rsid w:val="006A5BEB"/>
    <w:rsid w:val="006A5C1D"/>
    <w:rsid w:val="006A5C7C"/>
    <w:rsid w:val="006A5D2B"/>
    <w:rsid w:val="006A5EB2"/>
    <w:rsid w:val="006A5F68"/>
    <w:rsid w:val="006A5FA7"/>
    <w:rsid w:val="006A5FDB"/>
    <w:rsid w:val="006A6152"/>
    <w:rsid w:val="006A618F"/>
    <w:rsid w:val="006A6196"/>
    <w:rsid w:val="006A61DE"/>
    <w:rsid w:val="006A61F9"/>
    <w:rsid w:val="006A62E0"/>
    <w:rsid w:val="006A6324"/>
    <w:rsid w:val="006A63AE"/>
    <w:rsid w:val="006A63FD"/>
    <w:rsid w:val="006A669A"/>
    <w:rsid w:val="006A66A2"/>
    <w:rsid w:val="006A66E6"/>
    <w:rsid w:val="006A6781"/>
    <w:rsid w:val="006A67A5"/>
    <w:rsid w:val="006A693E"/>
    <w:rsid w:val="006A69AF"/>
    <w:rsid w:val="006A6A3A"/>
    <w:rsid w:val="006A6AD3"/>
    <w:rsid w:val="006A6B26"/>
    <w:rsid w:val="006A6BE0"/>
    <w:rsid w:val="006A6C98"/>
    <w:rsid w:val="006A6C9D"/>
    <w:rsid w:val="006A6CB6"/>
    <w:rsid w:val="006A6CDF"/>
    <w:rsid w:val="006A6D1E"/>
    <w:rsid w:val="006A6D68"/>
    <w:rsid w:val="006A6DB7"/>
    <w:rsid w:val="006A6E44"/>
    <w:rsid w:val="006A6EBB"/>
    <w:rsid w:val="006A6FA4"/>
    <w:rsid w:val="006A7038"/>
    <w:rsid w:val="006A70D4"/>
    <w:rsid w:val="006A714D"/>
    <w:rsid w:val="006A71C5"/>
    <w:rsid w:val="006A71E3"/>
    <w:rsid w:val="006A721C"/>
    <w:rsid w:val="006A726B"/>
    <w:rsid w:val="006A730D"/>
    <w:rsid w:val="006A7354"/>
    <w:rsid w:val="006A7425"/>
    <w:rsid w:val="006A7589"/>
    <w:rsid w:val="006A763E"/>
    <w:rsid w:val="006A7656"/>
    <w:rsid w:val="006A7667"/>
    <w:rsid w:val="006A7668"/>
    <w:rsid w:val="006A768B"/>
    <w:rsid w:val="006A7779"/>
    <w:rsid w:val="006A7788"/>
    <w:rsid w:val="006A77C0"/>
    <w:rsid w:val="006A784A"/>
    <w:rsid w:val="006A78A3"/>
    <w:rsid w:val="006A797C"/>
    <w:rsid w:val="006A7A41"/>
    <w:rsid w:val="006A7B35"/>
    <w:rsid w:val="006A7B77"/>
    <w:rsid w:val="006A7BAA"/>
    <w:rsid w:val="006A7BE2"/>
    <w:rsid w:val="006A7D1D"/>
    <w:rsid w:val="006A7D26"/>
    <w:rsid w:val="006A7E08"/>
    <w:rsid w:val="006A7E2E"/>
    <w:rsid w:val="006A7E85"/>
    <w:rsid w:val="006A7E93"/>
    <w:rsid w:val="006A7F65"/>
    <w:rsid w:val="006A7F70"/>
    <w:rsid w:val="006A7F74"/>
    <w:rsid w:val="006B0005"/>
    <w:rsid w:val="006B0155"/>
    <w:rsid w:val="006B0238"/>
    <w:rsid w:val="006B026B"/>
    <w:rsid w:val="006B0278"/>
    <w:rsid w:val="006B0305"/>
    <w:rsid w:val="006B036C"/>
    <w:rsid w:val="006B0386"/>
    <w:rsid w:val="006B03E8"/>
    <w:rsid w:val="006B040E"/>
    <w:rsid w:val="006B040F"/>
    <w:rsid w:val="006B0436"/>
    <w:rsid w:val="006B0484"/>
    <w:rsid w:val="006B054D"/>
    <w:rsid w:val="006B059B"/>
    <w:rsid w:val="006B05DF"/>
    <w:rsid w:val="006B07CF"/>
    <w:rsid w:val="006B0809"/>
    <w:rsid w:val="006B0847"/>
    <w:rsid w:val="006B091E"/>
    <w:rsid w:val="006B099C"/>
    <w:rsid w:val="006B0A30"/>
    <w:rsid w:val="006B0AAB"/>
    <w:rsid w:val="006B0B0C"/>
    <w:rsid w:val="006B0B3A"/>
    <w:rsid w:val="006B0BF7"/>
    <w:rsid w:val="006B0C75"/>
    <w:rsid w:val="006B0C79"/>
    <w:rsid w:val="006B0C88"/>
    <w:rsid w:val="006B0C9E"/>
    <w:rsid w:val="006B0CA4"/>
    <w:rsid w:val="006B0CF8"/>
    <w:rsid w:val="006B0D74"/>
    <w:rsid w:val="006B0F6B"/>
    <w:rsid w:val="006B0FA5"/>
    <w:rsid w:val="006B0FDF"/>
    <w:rsid w:val="006B11B2"/>
    <w:rsid w:val="006B11E6"/>
    <w:rsid w:val="006B120C"/>
    <w:rsid w:val="006B126B"/>
    <w:rsid w:val="006B1312"/>
    <w:rsid w:val="006B1322"/>
    <w:rsid w:val="006B1327"/>
    <w:rsid w:val="006B1384"/>
    <w:rsid w:val="006B1528"/>
    <w:rsid w:val="006B15CB"/>
    <w:rsid w:val="006B160D"/>
    <w:rsid w:val="006B1735"/>
    <w:rsid w:val="006B17E0"/>
    <w:rsid w:val="006B17FA"/>
    <w:rsid w:val="006B1895"/>
    <w:rsid w:val="006B18CB"/>
    <w:rsid w:val="006B19C2"/>
    <w:rsid w:val="006B1A50"/>
    <w:rsid w:val="006B1AC0"/>
    <w:rsid w:val="006B1B25"/>
    <w:rsid w:val="006B1B91"/>
    <w:rsid w:val="006B1B9B"/>
    <w:rsid w:val="006B1CD5"/>
    <w:rsid w:val="006B1CF7"/>
    <w:rsid w:val="006B1D85"/>
    <w:rsid w:val="006B1E31"/>
    <w:rsid w:val="006B1E75"/>
    <w:rsid w:val="006B1ED5"/>
    <w:rsid w:val="006B1F0A"/>
    <w:rsid w:val="006B1F4B"/>
    <w:rsid w:val="006B1FD0"/>
    <w:rsid w:val="006B2049"/>
    <w:rsid w:val="006B2054"/>
    <w:rsid w:val="006B2143"/>
    <w:rsid w:val="006B21C2"/>
    <w:rsid w:val="006B2274"/>
    <w:rsid w:val="006B23FE"/>
    <w:rsid w:val="006B249C"/>
    <w:rsid w:val="006B24AF"/>
    <w:rsid w:val="006B25D7"/>
    <w:rsid w:val="006B261B"/>
    <w:rsid w:val="006B2629"/>
    <w:rsid w:val="006B26E5"/>
    <w:rsid w:val="006B2712"/>
    <w:rsid w:val="006B2718"/>
    <w:rsid w:val="006B27BF"/>
    <w:rsid w:val="006B27D3"/>
    <w:rsid w:val="006B286E"/>
    <w:rsid w:val="006B28C0"/>
    <w:rsid w:val="006B293F"/>
    <w:rsid w:val="006B2A57"/>
    <w:rsid w:val="006B2C14"/>
    <w:rsid w:val="006B2CCE"/>
    <w:rsid w:val="006B2D93"/>
    <w:rsid w:val="006B2E10"/>
    <w:rsid w:val="006B2E7F"/>
    <w:rsid w:val="006B2E9B"/>
    <w:rsid w:val="006B2FEC"/>
    <w:rsid w:val="006B2FFE"/>
    <w:rsid w:val="006B3044"/>
    <w:rsid w:val="006B306C"/>
    <w:rsid w:val="006B30CB"/>
    <w:rsid w:val="006B3124"/>
    <w:rsid w:val="006B3161"/>
    <w:rsid w:val="006B325B"/>
    <w:rsid w:val="006B329C"/>
    <w:rsid w:val="006B32BC"/>
    <w:rsid w:val="006B32FB"/>
    <w:rsid w:val="006B3381"/>
    <w:rsid w:val="006B3383"/>
    <w:rsid w:val="006B3388"/>
    <w:rsid w:val="006B33D9"/>
    <w:rsid w:val="006B33E8"/>
    <w:rsid w:val="006B34CF"/>
    <w:rsid w:val="006B352D"/>
    <w:rsid w:val="006B3564"/>
    <w:rsid w:val="006B357D"/>
    <w:rsid w:val="006B364E"/>
    <w:rsid w:val="006B3652"/>
    <w:rsid w:val="006B36A7"/>
    <w:rsid w:val="006B3764"/>
    <w:rsid w:val="006B37A2"/>
    <w:rsid w:val="006B37A4"/>
    <w:rsid w:val="006B3A6F"/>
    <w:rsid w:val="006B3CB2"/>
    <w:rsid w:val="006B3D1D"/>
    <w:rsid w:val="006B3D72"/>
    <w:rsid w:val="006B3D99"/>
    <w:rsid w:val="006B3FFA"/>
    <w:rsid w:val="006B4006"/>
    <w:rsid w:val="006B4081"/>
    <w:rsid w:val="006B41A5"/>
    <w:rsid w:val="006B4233"/>
    <w:rsid w:val="006B42CC"/>
    <w:rsid w:val="006B42E1"/>
    <w:rsid w:val="006B431B"/>
    <w:rsid w:val="006B43AF"/>
    <w:rsid w:val="006B442F"/>
    <w:rsid w:val="006B4452"/>
    <w:rsid w:val="006B446C"/>
    <w:rsid w:val="006B44C0"/>
    <w:rsid w:val="006B4613"/>
    <w:rsid w:val="006B462C"/>
    <w:rsid w:val="006B46D2"/>
    <w:rsid w:val="006B471A"/>
    <w:rsid w:val="006B4747"/>
    <w:rsid w:val="006B4767"/>
    <w:rsid w:val="006B48FC"/>
    <w:rsid w:val="006B4915"/>
    <w:rsid w:val="006B4924"/>
    <w:rsid w:val="006B49F8"/>
    <w:rsid w:val="006B4B2C"/>
    <w:rsid w:val="006B4B73"/>
    <w:rsid w:val="006B4BC9"/>
    <w:rsid w:val="006B4C3E"/>
    <w:rsid w:val="006B4C71"/>
    <w:rsid w:val="006B4CAB"/>
    <w:rsid w:val="006B4CB6"/>
    <w:rsid w:val="006B4CBE"/>
    <w:rsid w:val="006B4CF3"/>
    <w:rsid w:val="006B4D09"/>
    <w:rsid w:val="006B4D8B"/>
    <w:rsid w:val="006B4F0B"/>
    <w:rsid w:val="006B4FBC"/>
    <w:rsid w:val="006B5082"/>
    <w:rsid w:val="006B50E5"/>
    <w:rsid w:val="006B50FB"/>
    <w:rsid w:val="006B511E"/>
    <w:rsid w:val="006B5158"/>
    <w:rsid w:val="006B51B4"/>
    <w:rsid w:val="006B51E7"/>
    <w:rsid w:val="006B51EE"/>
    <w:rsid w:val="006B5241"/>
    <w:rsid w:val="006B52BA"/>
    <w:rsid w:val="006B5333"/>
    <w:rsid w:val="006B5373"/>
    <w:rsid w:val="006B53A9"/>
    <w:rsid w:val="006B544D"/>
    <w:rsid w:val="006B5507"/>
    <w:rsid w:val="006B5564"/>
    <w:rsid w:val="006B5565"/>
    <w:rsid w:val="006B5591"/>
    <w:rsid w:val="006B55A1"/>
    <w:rsid w:val="006B55AF"/>
    <w:rsid w:val="006B55C2"/>
    <w:rsid w:val="006B56A2"/>
    <w:rsid w:val="006B56B8"/>
    <w:rsid w:val="006B5710"/>
    <w:rsid w:val="006B574B"/>
    <w:rsid w:val="006B57F6"/>
    <w:rsid w:val="006B581F"/>
    <w:rsid w:val="006B582C"/>
    <w:rsid w:val="006B584C"/>
    <w:rsid w:val="006B5881"/>
    <w:rsid w:val="006B58D5"/>
    <w:rsid w:val="006B598C"/>
    <w:rsid w:val="006B5A2B"/>
    <w:rsid w:val="006B5AC1"/>
    <w:rsid w:val="006B5AE9"/>
    <w:rsid w:val="006B5B63"/>
    <w:rsid w:val="006B5BCB"/>
    <w:rsid w:val="006B5C43"/>
    <w:rsid w:val="006B5CD1"/>
    <w:rsid w:val="006B5D97"/>
    <w:rsid w:val="006B5DF9"/>
    <w:rsid w:val="006B5EC2"/>
    <w:rsid w:val="006B5EF5"/>
    <w:rsid w:val="006B5F88"/>
    <w:rsid w:val="006B6005"/>
    <w:rsid w:val="006B6122"/>
    <w:rsid w:val="006B6158"/>
    <w:rsid w:val="006B61D4"/>
    <w:rsid w:val="006B6231"/>
    <w:rsid w:val="006B6269"/>
    <w:rsid w:val="006B6292"/>
    <w:rsid w:val="006B62ED"/>
    <w:rsid w:val="006B6322"/>
    <w:rsid w:val="006B6399"/>
    <w:rsid w:val="006B63AF"/>
    <w:rsid w:val="006B6428"/>
    <w:rsid w:val="006B6464"/>
    <w:rsid w:val="006B64BB"/>
    <w:rsid w:val="006B6648"/>
    <w:rsid w:val="006B665A"/>
    <w:rsid w:val="006B6683"/>
    <w:rsid w:val="006B669B"/>
    <w:rsid w:val="006B66B7"/>
    <w:rsid w:val="006B66E0"/>
    <w:rsid w:val="006B6765"/>
    <w:rsid w:val="006B688E"/>
    <w:rsid w:val="006B691C"/>
    <w:rsid w:val="006B699B"/>
    <w:rsid w:val="006B69D6"/>
    <w:rsid w:val="006B69F0"/>
    <w:rsid w:val="006B6C1D"/>
    <w:rsid w:val="006B6C9E"/>
    <w:rsid w:val="006B6ED9"/>
    <w:rsid w:val="006B6F06"/>
    <w:rsid w:val="006B6F08"/>
    <w:rsid w:val="006B6F27"/>
    <w:rsid w:val="006B7051"/>
    <w:rsid w:val="006B7124"/>
    <w:rsid w:val="006B7130"/>
    <w:rsid w:val="006B7179"/>
    <w:rsid w:val="006B7186"/>
    <w:rsid w:val="006B71D7"/>
    <w:rsid w:val="006B7325"/>
    <w:rsid w:val="006B7366"/>
    <w:rsid w:val="006B73A5"/>
    <w:rsid w:val="006B73E7"/>
    <w:rsid w:val="006B745D"/>
    <w:rsid w:val="006B7507"/>
    <w:rsid w:val="006B7531"/>
    <w:rsid w:val="006B7547"/>
    <w:rsid w:val="006B759D"/>
    <w:rsid w:val="006B75D5"/>
    <w:rsid w:val="006B7717"/>
    <w:rsid w:val="006B771C"/>
    <w:rsid w:val="006B7724"/>
    <w:rsid w:val="006B77BB"/>
    <w:rsid w:val="006B785B"/>
    <w:rsid w:val="006B78D4"/>
    <w:rsid w:val="006B7962"/>
    <w:rsid w:val="006B79D3"/>
    <w:rsid w:val="006B79E2"/>
    <w:rsid w:val="006B7A23"/>
    <w:rsid w:val="006B7A8F"/>
    <w:rsid w:val="006B7B06"/>
    <w:rsid w:val="006B7B48"/>
    <w:rsid w:val="006B7BAB"/>
    <w:rsid w:val="006B7C32"/>
    <w:rsid w:val="006B7C36"/>
    <w:rsid w:val="006B7C86"/>
    <w:rsid w:val="006B7CBA"/>
    <w:rsid w:val="006B7CCD"/>
    <w:rsid w:val="006B7E1B"/>
    <w:rsid w:val="006B7E3E"/>
    <w:rsid w:val="006B7E4F"/>
    <w:rsid w:val="006B7F0E"/>
    <w:rsid w:val="006C0018"/>
    <w:rsid w:val="006C0075"/>
    <w:rsid w:val="006C008C"/>
    <w:rsid w:val="006C00D5"/>
    <w:rsid w:val="006C01BB"/>
    <w:rsid w:val="006C027B"/>
    <w:rsid w:val="006C02A7"/>
    <w:rsid w:val="006C02FF"/>
    <w:rsid w:val="006C0315"/>
    <w:rsid w:val="006C0467"/>
    <w:rsid w:val="006C0494"/>
    <w:rsid w:val="006C04FB"/>
    <w:rsid w:val="006C05D8"/>
    <w:rsid w:val="006C063E"/>
    <w:rsid w:val="006C0658"/>
    <w:rsid w:val="006C06CA"/>
    <w:rsid w:val="006C078F"/>
    <w:rsid w:val="006C07E5"/>
    <w:rsid w:val="006C0889"/>
    <w:rsid w:val="006C08AD"/>
    <w:rsid w:val="006C0952"/>
    <w:rsid w:val="006C099E"/>
    <w:rsid w:val="006C0A27"/>
    <w:rsid w:val="006C0A66"/>
    <w:rsid w:val="006C0A7E"/>
    <w:rsid w:val="006C0ADE"/>
    <w:rsid w:val="006C0B4C"/>
    <w:rsid w:val="006C0BC2"/>
    <w:rsid w:val="006C0BD9"/>
    <w:rsid w:val="006C0E38"/>
    <w:rsid w:val="006C0E42"/>
    <w:rsid w:val="006C0E54"/>
    <w:rsid w:val="006C0EB3"/>
    <w:rsid w:val="006C0EB8"/>
    <w:rsid w:val="006C0F34"/>
    <w:rsid w:val="006C0F77"/>
    <w:rsid w:val="006C0F88"/>
    <w:rsid w:val="006C0F9C"/>
    <w:rsid w:val="006C1035"/>
    <w:rsid w:val="006C1064"/>
    <w:rsid w:val="006C11EC"/>
    <w:rsid w:val="006C11FA"/>
    <w:rsid w:val="006C120A"/>
    <w:rsid w:val="006C123F"/>
    <w:rsid w:val="006C125E"/>
    <w:rsid w:val="006C12A5"/>
    <w:rsid w:val="006C132D"/>
    <w:rsid w:val="006C136F"/>
    <w:rsid w:val="006C14CE"/>
    <w:rsid w:val="006C15BD"/>
    <w:rsid w:val="006C16AD"/>
    <w:rsid w:val="006C172F"/>
    <w:rsid w:val="006C188B"/>
    <w:rsid w:val="006C1896"/>
    <w:rsid w:val="006C18AA"/>
    <w:rsid w:val="006C1950"/>
    <w:rsid w:val="006C1962"/>
    <w:rsid w:val="006C19B4"/>
    <w:rsid w:val="006C19EB"/>
    <w:rsid w:val="006C1A27"/>
    <w:rsid w:val="006C1B2B"/>
    <w:rsid w:val="006C1C75"/>
    <w:rsid w:val="006C1CAF"/>
    <w:rsid w:val="006C1CDC"/>
    <w:rsid w:val="006C1CF0"/>
    <w:rsid w:val="006C1D22"/>
    <w:rsid w:val="006C1DB7"/>
    <w:rsid w:val="006C1DE8"/>
    <w:rsid w:val="006C1F2F"/>
    <w:rsid w:val="006C1F46"/>
    <w:rsid w:val="006C1F8F"/>
    <w:rsid w:val="006C1F96"/>
    <w:rsid w:val="006C1FB7"/>
    <w:rsid w:val="006C1FD0"/>
    <w:rsid w:val="006C1FE8"/>
    <w:rsid w:val="006C2058"/>
    <w:rsid w:val="006C2063"/>
    <w:rsid w:val="006C2125"/>
    <w:rsid w:val="006C21A8"/>
    <w:rsid w:val="006C21DD"/>
    <w:rsid w:val="006C21ED"/>
    <w:rsid w:val="006C2241"/>
    <w:rsid w:val="006C228D"/>
    <w:rsid w:val="006C2412"/>
    <w:rsid w:val="006C24AC"/>
    <w:rsid w:val="006C24F9"/>
    <w:rsid w:val="006C2540"/>
    <w:rsid w:val="006C25BF"/>
    <w:rsid w:val="006C25D0"/>
    <w:rsid w:val="006C25EE"/>
    <w:rsid w:val="006C2657"/>
    <w:rsid w:val="006C2682"/>
    <w:rsid w:val="006C27DD"/>
    <w:rsid w:val="006C2888"/>
    <w:rsid w:val="006C2947"/>
    <w:rsid w:val="006C2A6D"/>
    <w:rsid w:val="006C2A81"/>
    <w:rsid w:val="006C2B07"/>
    <w:rsid w:val="006C2B2F"/>
    <w:rsid w:val="006C2B32"/>
    <w:rsid w:val="006C2BF9"/>
    <w:rsid w:val="006C2C41"/>
    <w:rsid w:val="006C2C4B"/>
    <w:rsid w:val="006C2DC0"/>
    <w:rsid w:val="006C2E27"/>
    <w:rsid w:val="006C2EDC"/>
    <w:rsid w:val="006C2F32"/>
    <w:rsid w:val="006C2F46"/>
    <w:rsid w:val="006C2F83"/>
    <w:rsid w:val="006C2F92"/>
    <w:rsid w:val="006C2FBC"/>
    <w:rsid w:val="006C3029"/>
    <w:rsid w:val="006C302C"/>
    <w:rsid w:val="006C3086"/>
    <w:rsid w:val="006C30A4"/>
    <w:rsid w:val="006C3130"/>
    <w:rsid w:val="006C31B2"/>
    <w:rsid w:val="006C31EE"/>
    <w:rsid w:val="006C3271"/>
    <w:rsid w:val="006C3384"/>
    <w:rsid w:val="006C3453"/>
    <w:rsid w:val="006C34EB"/>
    <w:rsid w:val="006C3524"/>
    <w:rsid w:val="006C365C"/>
    <w:rsid w:val="006C370E"/>
    <w:rsid w:val="006C3728"/>
    <w:rsid w:val="006C38A8"/>
    <w:rsid w:val="006C3935"/>
    <w:rsid w:val="006C3983"/>
    <w:rsid w:val="006C3A48"/>
    <w:rsid w:val="006C3AD8"/>
    <w:rsid w:val="006C3B48"/>
    <w:rsid w:val="006C3BA6"/>
    <w:rsid w:val="006C3C32"/>
    <w:rsid w:val="006C3C57"/>
    <w:rsid w:val="006C3CBE"/>
    <w:rsid w:val="006C3E10"/>
    <w:rsid w:val="006C3E1A"/>
    <w:rsid w:val="006C3E27"/>
    <w:rsid w:val="006C3F71"/>
    <w:rsid w:val="006C3F93"/>
    <w:rsid w:val="006C3F9B"/>
    <w:rsid w:val="006C4077"/>
    <w:rsid w:val="006C40B6"/>
    <w:rsid w:val="006C40CF"/>
    <w:rsid w:val="006C4154"/>
    <w:rsid w:val="006C419A"/>
    <w:rsid w:val="006C41C1"/>
    <w:rsid w:val="006C41CD"/>
    <w:rsid w:val="006C41E5"/>
    <w:rsid w:val="006C42BE"/>
    <w:rsid w:val="006C4366"/>
    <w:rsid w:val="006C4381"/>
    <w:rsid w:val="006C439D"/>
    <w:rsid w:val="006C444F"/>
    <w:rsid w:val="006C44BE"/>
    <w:rsid w:val="006C452C"/>
    <w:rsid w:val="006C45A5"/>
    <w:rsid w:val="006C463F"/>
    <w:rsid w:val="006C46BB"/>
    <w:rsid w:val="006C471A"/>
    <w:rsid w:val="006C479B"/>
    <w:rsid w:val="006C4840"/>
    <w:rsid w:val="006C488D"/>
    <w:rsid w:val="006C48D2"/>
    <w:rsid w:val="006C491E"/>
    <w:rsid w:val="006C4A22"/>
    <w:rsid w:val="006C4A64"/>
    <w:rsid w:val="006C4A7D"/>
    <w:rsid w:val="006C4A8F"/>
    <w:rsid w:val="006C4B10"/>
    <w:rsid w:val="006C4BAC"/>
    <w:rsid w:val="006C4BB7"/>
    <w:rsid w:val="006C4BFB"/>
    <w:rsid w:val="006C4C6F"/>
    <w:rsid w:val="006C4C76"/>
    <w:rsid w:val="006C4CB2"/>
    <w:rsid w:val="006C4CE0"/>
    <w:rsid w:val="006C4CFA"/>
    <w:rsid w:val="006C4D13"/>
    <w:rsid w:val="006C4D38"/>
    <w:rsid w:val="006C4E8A"/>
    <w:rsid w:val="006C4E8C"/>
    <w:rsid w:val="006C4F15"/>
    <w:rsid w:val="006C4F67"/>
    <w:rsid w:val="006C4FA8"/>
    <w:rsid w:val="006C5016"/>
    <w:rsid w:val="006C5021"/>
    <w:rsid w:val="006C506D"/>
    <w:rsid w:val="006C5274"/>
    <w:rsid w:val="006C5296"/>
    <w:rsid w:val="006C52FF"/>
    <w:rsid w:val="006C5358"/>
    <w:rsid w:val="006C5372"/>
    <w:rsid w:val="006C537D"/>
    <w:rsid w:val="006C5446"/>
    <w:rsid w:val="006C54B0"/>
    <w:rsid w:val="006C551D"/>
    <w:rsid w:val="006C5551"/>
    <w:rsid w:val="006C561B"/>
    <w:rsid w:val="006C5664"/>
    <w:rsid w:val="006C567A"/>
    <w:rsid w:val="006C567B"/>
    <w:rsid w:val="006C5861"/>
    <w:rsid w:val="006C5910"/>
    <w:rsid w:val="006C592E"/>
    <w:rsid w:val="006C599D"/>
    <w:rsid w:val="006C59D9"/>
    <w:rsid w:val="006C5A48"/>
    <w:rsid w:val="006C5A82"/>
    <w:rsid w:val="006C5A89"/>
    <w:rsid w:val="006C5B9C"/>
    <w:rsid w:val="006C5CB6"/>
    <w:rsid w:val="006C5D96"/>
    <w:rsid w:val="006C5DD2"/>
    <w:rsid w:val="006C5EA4"/>
    <w:rsid w:val="006C5F54"/>
    <w:rsid w:val="006C5FE2"/>
    <w:rsid w:val="006C5FF9"/>
    <w:rsid w:val="006C60EC"/>
    <w:rsid w:val="006C60F1"/>
    <w:rsid w:val="006C60F3"/>
    <w:rsid w:val="006C6146"/>
    <w:rsid w:val="006C61F5"/>
    <w:rsid w:val="006C639B"/>
    <w:rsid w:val="006C645C"/>
    <w:rsid w:val="006C64CB"/>
    <w:rsid w:val="006C6593"/>
    <w:rsid w:val="006C65CC"/>
    <w:rsid w:val="006C65EE"/>
    <w:rsid w:val="006C6646"/>
    <w:rsid w:val="006C66D0"/>
    <w:rsid w:val="006C6716"/>
    <w:rsid w:val="006C673C"/>
    <w:rsid w:val="006C67B3"/>
    <w:rsid w:val="006C67BA"/>
    <w:rsid w:val="006C67E1"/>
    <w:rsid w:val="006C690B"/>
    <w:rsid w:val="006C69A5"/>
    <w:rsid w:val="006C69DD"/>
    <w:rsid w:val="006C6AC9"/>
    <w:rsid w:val="006C6AF8"/>
    <w:rsid w:val="006C6B93"/>
    <w:rsid w:val="006C6BC0"/>
    <w:rsid w:val="006C6CEA"/>
    <w:rsid w:val="006C6E25"/>
    <w:rsid w:val="006C6E83"/>
    <w:rsid w:val="006C705B"/>
    <w:rsid w:val="006C7122"/>
    <w:rsid w:val="006C71FA"/>
    <w:rsid w:val="006C723A"/>
    <w:rsid w:val="006C7285"/>
    <w:rsid w:val="006C7286"/>
    <w:rsid w:val="006C7314"/>
    <w:rsid w:val="006C7317"/>
    <w:rsid w:val="006C7342"/>
    <w:rsid w:val="006C737F"/>
    <w:rsid w:val="006C7380"/>
    <w:rsid w:val="006C73A6"/>
    <w:rsid w:val="006C73FF"/>
    <w:rsid w:val="006C749D"/>
    <w:rsid w:val="006C74FD"/>
    <w:rsid w:val="006C75B9"/>
    <w:rsid w:val="006C76B0"/>
    <w:rsid w:val="006C771E"/>
    <w:rsid w:val="006C7931"/>
    <w:rsid w:val="006C79CE"/>
    <w:rsid w:val="006C7A2C"/>
    <w:rsid w:val="006C7A6C"/>
    <w:rsid w:val="006C7A7A"/>
    <w:rsid w:val="006C7AE0"/>
    <w:rsid w:val="006C7BF5"/>
    <w:rsid w:val="006C7C59"/>
    <w:rsid w:val="006C7C62"/>
    <w:rsid w:val="006C7CC2"/>
    <w:rsid w:val="006C7D28"/>
    <w:rsid w:val="006C7DAC"/>
    <w:rsid w:val="006C7DE3"/>
    <w:rsid w:val="006C7E11"/>
    <w:rsid w:val="006C7EC9"/>
    <w:rsid w:val="006C7F2E"/>
    <w:rsid w:val="006C7F81"/>
    <w:rsid w:val="006C7FF3"/>
    <w:rsid w:val="006D00DE"/>
    <w:rsid w:val="006D01F8"/>
    <w:rsid w:val="006D0260"/>
    <w:rsid w:val="006D02B7"/>
    <w:rsid w:val="006D03A3"/>
    <w:rsid w:val="006D0456"/>
    <w:rsid w:val="006D04B5"/>
    <w:rsid w:val="006D05B5"/>
    <w:rsid w:val="006D05BD"/>
    <w:rsid w:val="006D0614"/>
    <w:rsid w:val="006D0655"/>
    <w:rsid w:val="006D06A0"/>
    <w:rsid w:val="006D06B0"/>
    <w:rsid w:val="006D07EB"/>
    <w:rsid w:val="006D0800"/>
    <w:rsid w:val="006D082D"/>
    <w:rsid w:val="006D089C"/>
    <w:rsid w:val="006D08C0"/>
    <w:rsid w:val="006D08CA"/>
    <w:rsid w:val="006D08DD"/>
    <w:rsid w:val="006D0985"/>
    <w:rsid w:val="006D099A"/>
    <w:rsid w:val="006D09A0"/>
    <w:rsid w:val="006D09D6"/>
    <w:rsid w:val="006D0AC0"/>
    <w:rsid w:val="006D0AD0"/>
    <w:rsid w:val="006D0C48"/>
    <w:rsid w:val="006D0CDC"/>
    <w:rsid w:val="006D0D1B"/>
    <w:rsid w:val="006D0D74"/>
    <w:rsid w:val="006D0D8C"/>
    <w:rsid w:val="006D0E36"/>
    <w:rsid w:val="006D0E37"/>
    <w:rsid w:val="006D0E7E"/>
    <w:rsid w:val="006D0EEA"/>
    <w:rsid w:val="006D1005"/>
    <w:rsid w:val="006D10F2"/>
    <w:rsid w:val="006D10F5"/>
    <w:rsid w:val="006D11BB"/>
    <w:rsid w:val="006D11CE"/>
    <w:rsid w:val="006D11D5"/>
    <w:rsid w:val="006D1302"/>
    <w:rsid w:val="006D1399"/>
    <w:rsid w:val="006D13EB"/>
    <w:rsid w:val="006D1457"/>
    <w:rsid w:val="006D156A"/>
    <w:rsid w:val="006D1758"/>
    <w:rsid w:val="006D183E"/>
    <w:rsid w:val="006D187F"/>
    <w:rsid w:val="006D1AAC"/>
    <w:rsid w:val="006D1B9F"/>
    <w:rsid w:val="006D1BE7"/>
    <w:rsid w:val="006D1C78"/>
    <w:rsid w:val="006D1D1A"/>
    <w:rsid w:val="006D1D80"/>
    <w:rsid w:val="006D1DA8"/>
    <w:rsid w:val="006D1DF4"/>
    <w:rsid w:val="006D1E70"/>
    <w:rsid w:val="006D1E94"/>
    <w:rsid w:val="006D1FC1"/>
    <w:rsid w:val="006D2067"/>
    <w:rsid w:val="006D2068"/>
    <w:rsid w:val="006D2116"/>
    <w:rsid w:val="006D216F"/>
    <w:rsid w:val="006D2233"/>
    <w:rsid w:val="006D2283"/>
    <w:rsid w:val="006D229E"/>
    <w:rsid w:val="006D24C1"/>
    <w:rsid w:val="006D250C"/>
    <w:rsid w:val="006D252F"/>
    <w:rsid w:val="006D26D3"/>
    <w:rsid w:val="006D288B"/>
    <w:rsid w:val="006D28F2"/>
    <w:rsid w:val="006D2A29"/>
    <w:rsid w:val="006D2AE7"/>
    <w:rsid w:val="006D2AEB"/>
    <w:rsid w:val="006D2B62"/>
    <w:rsid w:val="006D2BC5"/>
    <w:rsid w:val="006D2CCB"/>
    <w:rsid w:val="006D2DE5"/>
    <w:rsid w:val="006D2EEA"/>
    <w:rsid w:val="006D2EFC"/>
    <w:rsid w:val="006D3074"/>
    <w:rsid w:val="006D30E8"/>
    <w:rsid w:val="006D30F8"/>
    <w:rsid w:val="006D3264"/>
    <w:rsid w:val="006D32A3"/>
    <w:rsid w:val="006D333D"/>
    <w:rsid w:val="006D33A3"/>
    <w:rsid w:val="006D33EE"/>
    <w:rsid w:val="006D343A"/>
    <w:rsid w:val="006D3449"/>
    <w:rsid w:val="006D3485"/>
    <w:rsid w:val="006D351A"/>
    <w:rsid w:val="006D3553"/>
    <w:rsid w:val="006D35CB"/>
    <w:rsid w:val="006D3677"/>
    <w:rsid w:val="006D36D9"/>
    <w:rsid w:val="006D36F6"/>
    <w:rsid w:val="006D37B2"/>
    <w:rsid w:val="006D37C2"/>
    <w:rsid w:val="006D3893"/>
    <w:rsid w:val="006D38BB"/>
    <w:rsid w:val="006D38CB"/>
    <w:rsid w:val="006D38DB"/>
    <w:rsid w:val="006D38F5"/>
    <w:rsid w:val="006D38FD"/>
    <w:rsid w:val="006D394A"/>
    <w:rsid w:val="006D398A"/>
    <w:rsid w:val="006D3B00"/>
    <w:rsid w:val="006D3C71"/>
    <w:rsid w:val="006D3D20"/>
    <w:rsid w:val="006D3D77"/>
    <w:rsid w:val="006D3E58"/>
    <w:rsid w:val="006D3EEB"/>
    <w:rsid w:val="006D3EF5"/>
    <w:rsid w:val="006D3EFA"/>
    <w:rsid w:val="006D3F5C"/>
    <w:rsid w:val="006D3FAE"/>
    <w:rsid w:val="006D3FFF"/>
    <w:rsid w:val="006D40D0"/>
    <w:rsid w:val="006D411C"/>
    <w:rsid w:val="006D4210"/>
    <w:rsid w:val="006D42D6"/>
    <w:rsid w:val="006D42DF"/>
    <w:rsid w:val="006D4300"/>
    <w:rsid w:val="006D4418"/>
    <w:rsid w:val="006D4471"/>
    <w:rsid w:val="006D44BD"/>
    <w:rsid w:val="006D44F9"/>
    <w:rsid w:val="006D4580"/>
    <w:rsid w:val="006D45AA"/>
    <w:rsid w:val="006D4615"/>
    <w:rsid w:val="006D46A2"/>
    <w:rsid w:val="006D4797"/>
    <w:rsid w:val="006D47AB"/>
    <w:rsid w:val="006D4834"/>
    <w:rsid w:val="006D4874"/>
    <w:rsid w:val="006D492F"/>
    <w:rsid w:val="006D4A81"/>
    <w:rsid w:val="006D4AA5"/>
    <w:rsid w:val="006D4AB7"/>
    <w:rsid w:val="006D4BBF"/>
    <w:rsid w:val="006D4C15"/>
    <w:rsid w:val="006D4C49"/>
    <w:rsid w:val="006D4C6F"/>
    <w:rsid w:val="006D4CB0"/>
    <w:rsid w:val="006D4CF2"/>
    <w:rsid w:val="006D4D5E"/>
    <w:rsid w:val="006D4D66"/>
    <w:rsid w:val="006D4DB5"/>
    <w:rsid w:val="006D4E75"/>
    <w:rsid w:val="006D4E9C"/>
    <w:rsid w:val="006D4EB5"/>
    <w:rsid w:val="006D4F1E"/>
    <w:rsid w:val="006D4FD9"/>
    <w:rsid w:val="006D50B1"/>
    <w:rsid w:val="006D523D"/>
    <w:rsid w:val="006D52AF"/>
    <w:rsid w:val="006D52D2"/>
    <w:rsid w:val="006D5306"/>
    <w:rsid w:val="006D5326"/>
    <w:rsid w:val="006D5330"/>
    <w:rsid w:val="006D5335"/>
    <w:rsid w:val="006D53CB"/>
    <w:rsid w:val="006D53F1"/>
    <w:rsid w:val="006D543F"/>
    <w:rsid w:val="006D5453"/>
    <w:rsid w:val="006D5512"/>
    <w:rsid w:val="006D5558"/>
    <w:rsid w:val="006D5590"/>
    <w:rsid w:val="006D55C0"/>
    <w:rsid w:val="006D55F2"/>
    <w:rsid w:val="006D5629"/>
    <w:rsid w:val="006D56FF"/>
    <w:rsid w:val="006D5799"/>
    <w:rsid w:val="006D57B1"/>
    <w:rsid w:val="006D57BC"/>
    <w:rsid w:val="006D590B"/>
    <w:rsid w:val="006D592B"/>
    <w:rsid w:val="006D597D"/>
    <w:rsid w:val="006D59C5"/>
    <w:rsid w:val="006D5AC1"/>
    <w:rsid w:val="006D5B0C"/>
    <w:rsid w:val="006D5C48"/>
    <w:rsid w:val="006D5D2E"/>
    <w:rsid w:val="006D5D56"/>
    <w:rsid w:val="006D5D73"/>
    <w:rsid w:val="006D5DD4"/>
    <w:rsid w:val="006D5E5B"/>
    <w:rsid w:val="006D5EC6"/>
    <w:rsid w:val="006D6035"/>
    <w:rsid w:val="006D60CB"/>
    <w:rsid w:val="006D60D3"/>
    <w:rsid w:val="006D6127"/>
    <w:rsid w:val="006D6300"/>
    <w:rsid w:val="006D63FC"/>
    <w:rsid w:val="006D642C"/>
    <w:rsid w:val="006D646B"/>
    <w:rsid w:val="006D6498"/>
    <w:rsid w:val="006D64EB"/>
    <w:rsid w:val="006D64F0"/>
    <w:rsid w:val="006D6583"/>
    <w:rsid w:val="006D6597"/>
    <w:rsid w:val="006D65BA"/>
    <w:rsid w:val="006D6647"/>
    <w:rsid w:val="006D66C5"/>
    <w:rsid w:val="006D66E1"/>
    <w:rsid w:val="006D6723"/>
    <w:rsid w:val="006D67A8"/>
    <w:rsid w:val="006D67E5"/>
    <w:rsid w:val="006D67EE"/>
    <w:rsid w:val="006D6861"/>
    <w:rsid w:val="006D68B8"/>
    <w:rsid w:val="006D6942"/>
    <w:rsid w:val="006D69C3"/>
    <w:rsid w:val="006D6A17"/>
    <w:rsid w:val="006D6A25"/>
    <w:rsid w:val="006D6A29"/>
    <w:rsid w:val="006D6AE2"/>
    <w:rsid w:val="006D6BA8"/>
    <w:rsid w:val="006D6CCB"/>
    <w:rsid w:val="006D6D5E"/>
    <w:rsid w:val="006D6E8D"/>
    <w:rsid w:val="006D7020"/>
    <w:rsid w:val="006D7034"/>
    <w:rsid w:val="006D7057"/>
    <w:rsid w:val="006D707D"/>
    <w:rsid w:val="006D7167"/>
    <w:rsid w:val="006D71FB"/>
    <w:rsid w:val="006D7214"/>
    <w:rsid w:val="006D722A"/>
    <w:rsid w:val="006D72B3"/>
    <w:rsid w:val="006D72CE"/>
    <w:rsid w:val="006D732D"/>
    <w:rsid w:val="006D7335"/>
    <w:rsid w:val="006D737A"/>
    <w:rsid w:val="006D740F"/>
    <w:rsid w:val="006D7444"/>
    <w:rsid w:val="006D7482"/>
    <w:rsid w:val="006D7506"/>
    <w:rsid w:val="006D755F"/>
    <w:rsid w:val="006D75C5"/>
    <w:rsid w:val="006D7688"/>
    <w:rsid w:val="006D76A5"/>
    <w:rsid w:val="006D7744"/>
    <w:rsid w:val="006D77B4"/>
    <w:rsid w:val="006D782A"/>
    <w:rsid w:val="006D78F8"/>
    <w:rsid w:val="006D7932"/>
    <w:rsid w:val="006D79FD"/>
    <w:rsid w:val="006D7A02"/>
    <w:rsid w:val="006D7A4F"/>
    <w:rsid w:val="006D7AA5"/>
    <w:rsid w:val="006D7B26"/>
    <w:rsid w:val="006D7BD9"/>
    <w:rsid w:val="006D7BE3"/>
    <w:rsid w:val="006D7BE8"/>
    <w:rsid w:val="006D7BF3"/>
    <w:rsid w:val="006D7C0E"/>
    <w:rsid w:val="006D7C1D"/>
    <w:rsid w:val="006D7C7D"/>
    <w:rsid w:val="006D7CAE"/>
    <w:rsid w:val="006D7D59"/>
    <w:rsid w:val="006D7DEF"/>
    <w:rsid w:val="006D7E27"/>
    <w:rsid w:val="006D7E34"/>
    <w:rsid w:val="006D7E5E"/>
    <w:rsid w:val="006D7EE0"/>
    <w:rsid w:val="006D7F00"/>
    <w:rsid w:val="006D7FC5"/>
    <w:rsid w:val="006D7FE2"/>
    <w:rsid w:val="006E004D"/>
    <w:rsid w:val="006E0098"/>
    <w:rsid w:val="006E0105"/>
    <w:rsid w:val="006E0150"/>
    <w:rsid w:val="006E01BA"/>
    <w:rsid w:val="006E0298"/>
    <w:rsid w:val="006E02FF"/>
    <w:rsid w:val="006E033C"/>
    <w:rsid w:val="006E034E"/>
    <w:rsid w:val="006E03AC"/>
    <w:rsid w:val="006E03FF"/>
    <w:rsid w:val="006E04F9"/>
    <w:rsid w:val="006E050E"/>
    <w:rsid w:val="006E0667"/>
    <w:rsid w:val="006E068B"/>
    <w:rsid w:val="006E0729"/>
    <w:rsid w:val="006E07B6"/>
    <w:rsid w:val="006E07F9"/>
    <w:rsid w:val="006E086F"/>
    <w:rsid w:val="006E0892"/>
    <w:rsid w:val="006E08C2"/>
    <w:rsid w:val="006E090A"/>
    <w:rsid w:val="006E094B"/>
    <w:rsid w:val="006E0AE4"/>
    <w:rsid w:val="006E0AF3"/>
    <w:rsid w:val="006E0B3E"/>
    <w:rsid w:val="006E0B49"/>
    <w:rsid w:val="006E0C90"/>
    <w:rsid w:val="006E0CB3"/>
    <w:rsid w:val="006E0D2C"/>
    <w:rsid w:val="006E0D2E"/>
    <w:rsid w:val="006E0D80"/>
    <w:rsid w:val="006E0DCE"/>
    <w:rsid w:val="006E0E0A"/>
    <w:rsid w:val="006E0E5F"/>
    <w:rsid w:val="006E0F62"/>
    <w:rsid w:val="006E0F85"/>
    <w:rsid w:val="006E100B"/>
    <w:rsid w:val="006E10B2"/>
    <w:rsid w:val="006E10E0"/>
    <w:rsid w:val="006E1105"/>
    <w:rsid w:val="006E112C"/>
    <w:rsid w:val="006E1163"/>
    <w:rsid w:val="006E1362"/>
    <w:rsid w:val="006E149D"/>
    <w:rsid w:val="006E153D"/>
    <w:rsid w:val="006E15A7"/>
    <w:rsid w:val="006E160C"/>
    <w:rsid w:val="006E16A3"/>
    <w:rsid w:val="006E16C7"/>
    <w:rsid w:val="006E16FB"/>
    <w:rsid w:val="006E17F1"/>
    <w:rsid w:val="006E186D"/>
    <w:rsid w:val="006E18D4"/>
    <w:rsid w:val="006E191D"/>
    <w:rsid w:val="006E1967"/>
    <w:rsid w:val="006E1987"/>
    <w:rsid w:val="006E198B"/>
    <w:rsid w:val="006E19E3"/>
    <w:rsid w:val="006E1A0A"/>
    <w:rsid w:val="006E1AF8"/>
    <w:rsid w:val="006E1B3B"/>
    <w:rsid w:val="006E1B80"/>
    <w:rsid w:val="006E1BAA"/>
    <w:rsid w:val="006E1BFE"/>
    <w:rsid w:val="006E1C19"/>
    <w:rsid w:val="006E1C60"/>
    <w:rsid w:val="006E1D26"/>
    <w:rsid w:val="006E1D47"/>
    <w:rsid w:val="006E1D69"/>
    <w:rsid w:val="006E1E46"/>
    <w:rsid w:val="006E1F23"/>
    <w:rsid w:val="006E1F82"/>
    <w:rsid w:val="006E2001"/>
    <w:rsid w:val="006E20BB"/>
    <w:rsid w:val="006E20C8"/>
    <w:rsid w:val="006E2100"/>
    <w:rsid w:val="006E2110"/>
    <w:rsid w:val="006E2222"/>
    <w:rsid w:val="006E22E6"/>
    <w:rsid w:val="006E235E"/>
    <w:rsid w:val="006E23F0"/>
    <w:rsid w:val="006E241C"/>
    <w:rsid w:val="006E2488"/>
    <w:rsid w:val="006E24A8"/>
    <w:rsid w:val="006E24B0"/>
    <w:rsid w:val="006E2587"/>
    <w:rsid w:val="006E260D"/>
    <w:rsid w:val="006E261B"/>
    <w:rsid w:val="006E2679"/>
    <w:rsid w:val="006E26BB"/>
    <w:rsid w:val="006E2827"/>
    <w:rsid w:val="006E285B"/>
    <w:rsid w:val="006E293A"/>
    <w:rsid w:val="006E29C6"/>
    <w:rsid w:val="006E2A58"/>
    <w:rsid w:val="006E2AC8"/>
    <w:rsid w:val="006E2B0D"/>
    <w:rsid w:val="006E2B3E"/>
    <w:rsid w:val="006E2B8C"/>
    <w:rsid w:val="006E2C1A"/>
    <w:rsid w:val="006E2CBF"/>
    <w:rsid w:val="006E2DB6"/>
    <w:rsid w:val="006E2E39"/>
    <w:rsid w:val="006E2E76"/>
    <w:rsid w:val="006E2E77"/>
    <w:rsid w:val="006E2EB1"/>
    <w:rsid w:val="006E2EEE"/>
    <w:rsid w:val="006E2F7E"/>
    <w:rsid w:val="006E2FCA"/>
    <w:rsid w:val="006E309F"/>
    <w:rsid w:val="006E3107"/>
    <w:rsid w:val="006E3181"/>
    <w:rsid w:val="006E31AB"/>
    <w:rsid w:val="006E31F8"/>
    <w:rsid w:val="006E32FB"/>
    <w:rsid w:val="006E33B9"/>
    <w:rsid w:val="006E33EF"/>
    <w:rsid w:val="006E3451"/>
    <w:rsid w:val="006E3466"/>
    <w:rsid w:val="006E350A"/>
    <w:rsid w:val="006E3579"/>
    <w:rsid w:val="006E35A7"/>
    <w:rsid w:val="006E369D"/>
    <w:rsid w:val="006E36F2"/>
    <w:rsid w:val="006E36FF"/>
    <w:rsid w:val="006E3751"/>
    <w:rsid w:val="006E3850"/>
    <w:rsid w:val="006E3853"/>
    <w:rsid w:val="006E38F4"/>
    <w:rsid w:val="006E3939"/>
    <w:rsid w:val="006E3952"/>
    <w:rsid w:val="006E3B18"/>
    <w:rsid w:val="006E3B6C"/>
    <w:rsid w:val="006E3C96"/>
    <w:rsid w:val="006E3D18"/>
    <w:rsid w:val="006E3D3F"/>
    <w:rsid w:val="006E3D7C"/>
    <w:rsid w:val="006E3DF1"/>
    <w:rsid w:val="006E3DFD"/>
    <w:rsid w:val="006E3E56"/>
    <w:rsid w:val="006E3E92"/>
    <w:rsid w:val="006E3F12"/>
    <w:rsid w:val="006E3FAF"/>
    <w:rsid w:val="006E402C"/>
    <w:rsid w:val="006E4073"/>
    <w:rsid w:val="006E4092"/>
    <w:rsid w:val="006E40FC"/>
    <w:rsid w:val="006E41BF"/>
    <w:rsid w:val="006E433F"/>
    <w:rsid w:val="006E4386"/>
    <w:rsid w:val="006E43B6"/>
    <w:rsid w:val="006E454C"/>
    <w:rsid w:val="006E4574"/>
    <w:rsid w:val="006E45F2"/>
    <w:rsid w:val="006E46DA"/>
    <w:rsid w:val="006E46FA"/>
    <w:rsid w:val="006E47ED"/>
    <w:rsid w:val="006E4850"/>
    <w:rsid w:val="006E4872"/>
    <w:rsid w:val="006E493D"/>
    <w:rsid w:val="006E49AE"/>
    <w:rsid w:val="006E4A1B"/>
    <w:rsid w:val="006E4A69"/>
    <w:rsid w:val="006E4A76"/>
    <w:rsid w:val="006E4AF3"/>
    <w:rsid w:val="006E4B8B"/>
    <w:rsid w:val="006E4BA5"/>
    <w:rsid w:val="006E4BEE"/>
    <w:rsid w:val="006E4C06"/>
    <w:rsid w:val="006E4C8A"/>
    <w:rsid w:val="006E4D2A"/>
    <w:rsid w:val="006E4D98"/>
    <w:rsid w:val="006E4D9A"/>
    <w:rsid w:val="006E4DCF"/>
    <w:rsid w:val="006E4E39"/>
    <w:rsid w:val="006E4FB6"/>
    <w:rsid w:val="006E5032"/>
    <w:rsid w:val="006E5149"/>
    <w:rsid w:val="006E5157"/>
    <w:rsid w:val="006E515D"/>
    <w:rsid w:val="006E520B"/>
    <w:rsid w:val="006E5210"/>
    <w:rsid w:val="006E5228"/>
    <w:rsid w:val="006E5280"/>
    <w:rsid w:val="006E537E"/>
    <w:rsid w:val="006E5513"/>
    <w:rsid w:val="006E562D"/>
    <w:rsid w:val="006E5709"/>
    <w:rsid w:val="006E57D1"/>
    <w:rsid w:val="006E57F7"/>
    <w:rsid w:val="006E583E"/>
    <w:rsid w:val="006E591F"/>
    <w:rsid w:val="006E593E"/>
    <w:rsid w:val="006E596C"/>
    <w:rsid w:val="006E5970"/>
    <w:rsid w:val="006E599A"/>
    <w:rsid w:val="006E5AEE"/>
    <w:rsid w:val="006E5BF5"/>
    <w:rsid w:val="006E5D30"/>
    <w:rsid w:val="006E5D32"/>
    <w:rsid w:val="006E5DFD"/>
    <w:rsid w:val="006E5E7F"/>
    <w:rsid w:val="006E5EE4"/>
    <w:rsid w:val="006E5F45"/>
    <w:rsid w:val="006E5FAF"/>
    <w:rsid w:val="006E61E4"/>
    <w:rsid w:val="006E61EA"/>
    <w:rsid w:val="006E6234"/>
    <w:rsid w:val="006E6235"/>
    <w:rsid w:val="006E6260"/>
    <w:rsid w:val="006E6293"/>
    <w:rsid w:val="006E63BB"/>
    <w:rsid w:val="006E63CD"/>
    <w:rsid w:val="006E6478"/>
    <w:rsid w:val="006E6498"/>
    <w:rsid w:val="006E64C4"/>
    <w:rsid w:val="006E657A"/>
    <w:rsid w:val="006E66E0"/>
    <w:rsid w:val="006E674F"/>
    <w:rsid w:val="006E677C"/>
    <w:rsid w:val="006E6833"/>
    <w:rsid w:val="006E683C"/>
    <w:rsid w:val="006E6845"/>
    <w:rsid w:val="006E68BB"/>
    <w:rsid w:val="006E6A2F"/>
    <w:rsid w:val="006E6B15"/>
    <w:rsid w:val="006E6BD9"/>
    <w:rsid w:val="006E6BEA"/>
    <w:rsid w:val="006E6C51"/>
    <w:rsid w:val="006E6CE2"/>
    <w:rsid w:val="006E6CF7"/>
    <w:rsid w:val="006E6D46"/>
    <w:rsid w:val="006E6E27"/>
    <w:rsid w:val="006E6FB1"/>
    <w:rsid w:val="006E7039"/>
    <w:rsid w:val="006E7097"/>
    <w:rsid w:val="006E7103"/>
    <w:rsid w:val="006E716A"/>
    <w:rsid w:val="006E7258"/>
    <w:rsid w:val="006E7289"/>
    <w:rsid w:val="006E72CC"/>
    <w:rsid w:val="006E73C6"/>
    <w:rsid w:val="006E740B"/>
    <w:rsid w:val="006E75FF"/>
    <w:rsid w:val="006E76BF"/>
    <w:rsid w:val="006E7706"/>
    <w:rsid w:val="006E7785"/>
    <w:rsid w:val="006E77AF"/>
    <w:rsid w:val="006E77FA"/>
    <w:rsid w:val="006E78B7"/>
    <w:rsid w:val="006E7955"/>
    <w:rsid w:val="006E797B"/>
    <w:rsid w:val="006E798B"/>
    <w:rsid w:val="006E7AEF"/>
    <w:rsid w:val="006E7B99"/>
    <w:rsid w:val="006E7C0B"/>
    <w:rsid w:val="006E7C4A"/>
    <w:rsid w:val="006E7C58"/>
    <w:rsid w:val="006E7CC2"/>
    <w:rsid w:val="006E7D01"/>
    <w:rsid w:val="006E7D0F"/>
    <w:rsid w:val="006E7D63"/>
    <w:rsid w:val="006E7DA7"/>
    <w:rsid w:val="006E7DB6"/>
    <w:rsid w:val="006E7DCF"/>
    <w:rsid w:val="006E7E3D"/>
    <w:rsid w:val="006E7EA4"/>
    <w:rsid w:val="006E7F51"/>
    <w:rsid w:val="006E7F98"/>
    <w:rsid w:val="006F0014"/>
    <w:rsid w:val="006F0018"/>
    <w:rsid w:val="006F009B"/>
    <w:rsid w:val="006F0135"/>
    <w:rsid w:val="006F0186"/>
    <w:rsid w:val="006F019D"/>
    <w:rsid w:val="006F023C"/>
    <w:rsid w:val="006F027B"/>
    <w:rsid w:val="006F03C5"/>
    <w:rsid w:val="006F04B2"/>
    <w:rsid w:val="006F0526"/>
    <w:rsid w:val="006F052E"/>
    <w:rsid w:val="006F0566"/>
    <w:rsid w:val="006F059C"/>
    <w:rsid w:val="006F0626"/>
    <w:rsid w:val="006F0666"/>
    <w:rsid w:val="006F071B"/>
    <w:rsid w:val="006F0733"/>
    <w:rsid w:val="006F073D"/>
    <w:rsid w:val="006F0839"/>
    <w:rsid w:val="006F083F"/>
    <w:rsid w:val="006F090A"/>
    <w:rsid w:val="006F09D6"/>
    <w:rsid w:val="006F09F0"/>
    <w:rsid w:val="006F0B77"/>
    <w:rsid w:val="006F0BCB"/>
    <w:rsid w:val="006F0C7D"/>
    <w:rsid w:val="006F0D06"/>
    <w:rsid w:val="006F0D44"/>
    <w:rsid w:val="006F0E54"/>
    <w:rsid w:val="006F0F0E"/>
    <w:rsid w:val="006F0F1D"/>
    <w:rsid w:val="006F0F21"/>
    <w:rsid w:val="006F0F4F"/>
    <w:rsid w:val="006F106B"/>
    <w:rsid w:val="006F10A2"/>
    <w:rsid w:val="006F1158"/>
    <w:rsid w:val="006F11F4"/>
    <w:rsid w:val="006F1252"/>
    <w:rsid w:val="006F12C5"/>
    <w:rsid w:val="006F13CF"/>
    <w:rsid w:val="006F13D1"/>
    <w:rsid w:val="006F1419"/>
    <w:rsid w:val="006F1435"/>
    <w:rsid w:val="006F1437"/>
    <w:rsid w:val="006F144D"/>
    <w:rsid w:val="006F1466"/>
    <w:rsid w:val="006F1614"/>
    <w:rsid w:val="006F1618"/>
    <w:rsid w:val="006F1641"/>
    <w:rsid w:val="006F1656"/>
    <w:rsid w:val="006F1689"/>
    <w:rsid w:val="006F1821"/>
    <w:rsid w:val="006F1845"/>
    <w:rsid w:val="006F18FE"/>
    <w:rsid w:val="006F19AD"/>
    <w:rsid w:val="006F1A06"/>
    <w:rsid w:val="006F1AE5"/>
    <w:rsid w:val="006F1B1A"/>
    <w:rsid w:val="006F1C01"/>
    <w:rsid w:val="006F1D2E"/>
    <w:rsid w:val="006F1D94"/>
    <w:rsid w:val="006F1DBD"/>
    <w:rsid w:val="006F1DC9"/>
    <w:rsid w:val="006F1E2A"/>
    <w:rsid w:val="006F1E3C"/>
    <w:rsid w:val="006F1EF0"/>
    <w:rsid w:val="006F1F0A"/>
    <w:rsid w:val="006F1F5C"/>
    <w:rsid w:val="006F1F64"/>
    <w:rsid w:val="006F1F8B"/>
    <w:rsid w:val="006F1FA9"/>
    <w:rsid w:val="006F201C"/>
    <w:rsid w:val="006F2091"/>
    <w:rsid w:val="006F213B"/>
    <w:rsid w:val="006F2180"/>
    <w:rsid w:val="006F2193"/>
    <w:rsid w:val="006F219E"/>
    <w:rsid w:val="006F221D"/>
    <w:rsid w:val="006F2286"/>
    <w:rsid w:val="006F22AC"/>
    <w:rsid w:val="006F22BA"/>
    <w:rsid w:val="006F22BB"/>
    <w:rsid w:val="006F230B"/>
    <w:rsid w:val="006F2374"/>
    <w:rsid w:val="006F23DB"/>
    <w:rsid w:val="006F2513"/>
    <w:rsid w:val="006F252A"/>
    <w:rsid w:val="006F256A"/>
    <w:rsid w:val="006F259C"/>
    <w:rsid w:val="006F25A5"/>
    <w:rsid w:val="006F25D5"/>
    <w:rsid w:val="006F262F"/>
    <w:rsid w:val="006F26B2"/>
    <w:rsid w:val="006F26D2"/>
    <w:rsid w:val="006F2815"/>
    <w:rsid w:val="006F2832"/>
    <w:rsid w:val="006F28F4"/>
    <w:rsid w:val="006F2A2A"/>
    <w:rsid w:val="006F2A61"/>
    <w:rsid w:val="006F2ADE"/>
    <w:rsid w:val="006F2AE7"/>
    <w:rsid w:val="006F2BB5"/>
    <w:rsid w:val="006F2BFB"/>
    <w:rsid w:val="006F2C10"/>
    <w:rsid w:val="006F2C30"/>
    <w:rsid w:val="006F2D59"/>
    <w:rsid w:val="006F2DC4"/>
    <w:rsid w:val="006F2E10"/>
    <w:rsid w:val="006F2E27"/>
    <w:rsid w:val="006F2F17"/>
    <w:rsid w:val="006F2F79"/>
    <w:rsid w:val="006F3105"/>
    <w:rsid w:val="006F3144"/>
    <w:rsid w:val="006F3169"/>
    <w:rsid w:val="006F31ED"/>
    <w:rsid w:val="006F320F"/>
    <w:rsid w:val="006F32D6"/>
    <w:rsid w:val="006F32DE"/>
    <w:rsid w:val="006F34C2"/>
    <w:rsid w:val="006F356D"/>
    <w:rsid w:val="006F35A5"/>
    <w:rsid w:val="006F35DC"/>
    <w:rsid w:val="006F3617"/>
    <w:rsid w:val="006F367D"/>
    <w:rsid w:val="006F37C9"/>
    <w:rsid w:val="006F37CD"/>
    <w:rsid w:val="006F3901"/>
    <w:rsid w:val="006F3908"/>
    <w:rsid w:val="006F391D"/>
    <w:rsid w:val="006F3A58"/>
    <w:rsid w:val="006F3A73"/>
    <w:rsid w:val="006F3B4C"/>
    <w:rsid w:val="006F3BC3"/>
    <w:rsid w:val="006F3C45"/>
    <w:rsid w:val="006F3D50"/>
    <w:rsid w:val="006F3DC4"/>
    <w:rsid w:val="006F3E5A"/>
    <w:rsid w:val="006F3F5D"/>
    <w:rsid w:val="006F3F70"/>
    <w:rsid w:val="006F3FA7"/>
    <w:rsid w:val="006F3FB6"/>
    <w:rsid w:val="006F4044"/>
    <w:rsid w:val="006F412E"/>
    <w:rsid w:val="006F4138"/>
    <w:rsid w:val="006F4187"/>
    <w:rsid w:val="006F418F"/>
    <w:rsid w:val="006F42F2"/>
    <w:rsid w:val="006F43A9"/>
    <w:rsid w:val="006F43D7"/>
    <w:rsid w:val="006F43DB"/>
    <w:rsid w:val="006F4434"/>
    <w:rsid w:val="006F447A"/>
    <w:rsid w:val="006F44AD"/>
    <w:rsid w:val="006F44BB"/>
    <w:rsid w:val="006F44DE"/>
    <w:rsid w:val="006F45C0"/>
    <w:rsid w:val="006F46A3"/>
    <w:rsid w:val="006F46C5"/>
    <w:rsid w:val="006F46D7"/>
    <w:rsid w:val="006F471F"/>
    <w:rsid w:val="006F47D4"/>
    <w:rsid w:val="006F48E5"/>
    <w:rsid w:val="006F498F"/>
    <w:rsid w:val="006F4A6A"/>
    <w:rsid w:val="006F4B39"/>
    <w:rsid w:val="006F4C62"/>
    <w:rsid w:val="006F4C91"/>
    <w:rsid w:val="006F4DE7"/>
    <w:rsid w:val="006F4E34"/>
    <w:rsid w:val="006F4E51"/>
    <w:rsid w:val="006F4EBE"/>
    <w:rsid w:val="006F4FE4"/>
    <w:rsid w:val="006F507F"/>
    <w:rsid w:val="006F50F2"/>
    <w:rsid w:val="006F5187"/>
    <w:rsid w:val="006F51C9"/>
    <w:rsid w:val="006F52A2"/>
    <w:rsid w:val="006F52C8"/>
    <w:rsid w:val="006F52D5"/>
    <w:rsid w:val="006F5323"/>
    <w:rsid w:val="006F53AE"/>
    <w:rsid w:val="006F53F4"/>
    <w:rsid w:val="006F5436"/>
    <w:rsid w:val="006F547F"/>
    <w:rsid w:val="006F5513"/>
    <w:rsid w:val="006F559D"/>
    <w:rsid w:val="006F5616"/>
    <w:rsid w:val="006F561D"/>
    <w:rsid w:val="006F562E"/>
    <w:rsid w:val="006F5794"/>
    <w:rsid w:val="006F57DB"/>
    <w:rsid w:val="006F5822"/>
    <w:rsid w:val="006F58D0"/>
    <w:rsid w:val="006F5909"/>
    <w:rsid w:val="006F594E"/>
    <w:rsid w:val="006F59A1"/>
    <w:rsid w:val="006F5A24"/>
    <w:rsid w:val="006F5B60"/>
    <w:rsid w:val="006F5B69"/>
    <w:rsid w:val="006F5BD0"/>
    <w:rsid w:val="006F5C93"/>
    <w:rsid w:val="006F5DAA"/>
    <w:rsid w:val="006F5DCF"/>
    <w:rsid w:val="006F5E88"/>
    <w:rsid w:val="006F5EC5"/>
    <w:rsid w:val="006F5F34"/>
    <w:rsid w:val="006F5FDB"/>
    <w:rsid w:val="006F61D4"/>
    <w:rsid w:val="006F623D"/>
    <w:rsid w:val="006F6255"/>
    <w:rsid w:val="006F6311"/>
    <w:rsid w:val="006F63B4"/>
    <w:rsid w:val="006F63BD"/>
    <w:rsid w:val="006F640F"/>
    <w:rsid w:val="006F650C"/>
    <w:rsid w:val="006F6536"/>
    <w:rsid w:val="006F658E"/>
    <w:rsid w:val="006F65CB"/>
    <w:rsid w:val="006F66B5"/>
    <w:rsid w:val="006F6755"/>
    <w:rsid w:val="006F6783"/>
    <w:rsid w:val="006F686D"/>
    <w:rsid w:val="006F68C5"/>
    <w:rsid w:val="006F692E"/>
    <w:rsid w:val="006F6955"/>
    <w:rsid w:val="006F69DB"/>
    <w:rsid w:val="006F69E6"/>
    <w:rsid w:val="006F6A2F"/>
    <w:rsid w:val="006F6B8E"/>
    <w:rsid w:val="006F6BA5"/>
    <w:rsid w:val="006F6C03"/>
    <w:rsid w:val="006F6C09"/>
    <w:rsid w:val="006F6CF6"/>
    <w:rsid w:val="006F6D44"/>
    <w:rsid w:val="006F6E2E"/>
    <w:rsid w:val="006F6E65"/>
    <w:rsid w:val="006F6EFE"/>
    <w:rsid w:val="006F7073"/>
    <w:rsid w:val="006F7077"/>
    <w:rsid w:val="006F7148"/>
    <w:rsid w:val="006F717B"/>
    <w:rsid w:val="006F71B6"/>
    <w:rsid w:val="006F72E0"/>
    <w:rsid w:val="006F73C4"/>
    <w:rsid w:val="006F73D3"/>
    <w:rsid w:val="006F73F5"/>
    <w:rsid w:val="006F740A"/>
    <w:rsid w:val="006F760F"/>
    <w:rsid w:val="006F7637"/>
    <w:rsid w:val="006F766F"/>
    <w:rsid w:val="006F7728"/>
    <w:rsid w:val="006F7732"/>
    <w:rsid w:val="006F777A"/>
    <w:rsid w:val="006F7798"/>
    <w:rsid w:val="006F77F3"/>
    <w:rsid w:val="006F7818"/>
    <w:rsid w:val="006F786A"/>
    <w:rsid w:val="006F78B3"/>
    <w:rsid w:val="006F7A78"/>
    <w:rsid w:val="006F7ADA"/>
    <w:rsid w:val="006F7BC5"/>
    <w:rsid w:val="006F7D3B"/>
    <w:rsid w:val="006F7D84"/>
    <w:rsid w:val="006F7DA8"/>
    <w:rsid w:val="006F7DD4"/>
    <w:rsid w:val="006F7E07"/>
    <w:rsid w:val="006F7EA9"/>
    <w:rsid w:val="006F7EF8"/>
    <w:rsid w:val="006F7F4C"/>
    <w:rsid w:val="006F7FC8"/>
    <w:rsid w:val="00700085"/>
    <w:rsid w:val="007000EF"/>
    <w:rsid w:val="007000FC"/>
    <w:rsid w:val="00700177"/>
    <w:rsid w:val="007001E1"/>
    <w:rsid w:val="00700233"/>
    <w:rsid w:val="00700284"/>
    <w:rsid w:val="00700298"/>
    <w:rsid w:val="007002AE"/>
    <w:rsid w:val="007002F0"/>
    <w:rsid w:val="00700319"/>
    <w:rsid w:val="0070032F"/>
    <w:rsid w:val="00700446"/>
    <w:rsid w:val="00700661"/>
    <w:rsid w:val="00700682"/>
    <w:rsid w:val="00700708"/>
    <w:rsid w:val="00700740"/>
    <w:rsid w:val="0070074A"/>
    <w:rsid w:val="00700788"/>
    <w:rsid w:val="007007CD"/>
    <w:rsid w:val="00700806"/>
    <w:rsid w:val="0070080C"/>
    <w:rsid w:val="007008F8"/>
    <w:rsid w:val="007009FD"/>
    <w:rsid w:val="00700A38"/>
    <w:rsid w:val="00700A4E"/>
    <w:rsid w:val="00700B04"/>
    <w:rsid w:val="00700BB0"/>
    <w:rsid w:val="00700CA9"/>
    <w:rsid w:val="00700FC7"/>
    <w:rsid w:val="007011D6"/>
    <w:rsid w:val="00701262"/>
    <w:rsid w:val="00701275"/>
    <w:rsid w:val="007012CA"/>
    <w:rsid w:val="007013A2"/>
    <w:rsid w:val="007013D2"/>
    <w:rsid w:val="0070140C"/>
    <w:rsid w:val="00701524"/>
    <w:rsid w:val="0070165C"/>
    <w:rsid w:val="007016AF"/>
    <w:rsid w:val="00701703"/>
    <w:rsid w:val="007017F8"/>
    <w:rsid w:val="00701889"/>
    <w:rsid w:val="00701932"/>
    <w:rsid w:val="007019EE"/>
    <w:rsid w:val="00701A46"/>
    <w:rsid w:val="00701A53"/>
    <w:rsid w:val="00701AAD"/>
    <w:rsid w:val="00701AF2"/>
    <w:rsid w:val="00701B1C"/>
    <w:rsid w:val="00701B33"/>
    <w:rsid w:val="00701B4D"/>
    <w:rsid w:val="00701B50"/>
    <w:rsid w:val="00701BB2"/>
    <w:rsid w:val="00701C0B"/>
    <w:rsid w:val="00701C43"/>
    <w:rsid w:val="00701C6C"/>
    <w:rsid w:val="00701CD9"/>
    <w:rsid w:val="00701D0B"/>
    <w:rsid w:val="00701DB0"/>
    <w:rsid w:val="00701DFA"/>
    <w:rsid w:val="00701E18"/>
    <w:rsid w:val="00701F58"/>
    <w:rsid w:val="00701F75"/>
    <w:rsid w:val="00702087"/>
    <w:rsid w:val="007020CB"/>
    <w:rsid w:val="0070212A"/>
    <w:rsid w:val="007022BA"/>
    <w:rsid w:val="007024AC"/>
    <w:rsid w:val="007024CC"/>
    <w:rsid w:val="007025A2"/>
    <w:rsid w:val="007025C2"/>
    <w:rsid w:val="0070270C"/>
    <w:rsid w:val="00702763"/>
    <w:rsid w:val="0070283C"/>
    <w:rsid w:val="00702886"/>
    <w:rsid w:val="007028A1"/>
    <w:rsid w:val="0070295B"/>
    <w:rsid w:val="007029C6"/>
    <w:rsid w:val="00702CBB"/>
    <w:rsid w:val="00702F67"/>
    <w:rsid w:val="00703082"/>
    <w:rsid w:val="007030E2"/>
    <w:rsid w:val="00703161"/>
    <w:rsid w:val="00703187"/>
    <w:rsid w:val="007031C9"/>
    <w:rsid w:val="007031CD"/>
    <w:rsid w:val="0070322C"/>
    <w:rsid w:val="00703281"/>
    <w:rsid w:val="00703291"/>
    <w:rsid w:val="007032BC"/>
    <w:rsid w:val="007032C5"/>
    <w:rsid w:val="007032D5"/>
    <w:rsid w:val="00703314"/>
    <w:rsid w:val="00703359"/>
    <w:rsid w:val="0070340B"/>
    <w:rsid w:val="00703437"/>
    <w:rsid w:val="00703444"/>
    <w:rsid w:val="00703472"/>
    <w:rsid w:val="0070353F"/>
    <w:rsid w:val="00703562"/>
    <w:rsid w:val="007036A9"/>
    <w:rsid w:val="007036BA"/>
    <w:rsid w:val="00703740"/>
    <w:rsid w:val="0070379C"/>
    <w:rsid w:val="007037F1"/>
    <w:rsid w:val="00703850"/>
    <w:rsid w:val="007038C5"/>
    <w:rsid w:val="00703923"/>
    <w:rsid w:val="0070398E"/>
    <w:rsid w:val="0070399C"/>
    <w:rsid w:val="007039BB"/>
    <w:rsid w:val="007039C2"/>
    <w:rsid w:val="00703A27"/>
    <w:rsid w:val="00703AB3"/>
    <w:rsid w:val="00703AE3"/>
    <w:rsid w:val="00703C02"/>
    <w:rsid w:val="00703D36"/>
    <w:rsid w:val="00703D41"/>
    <w:rsid w:val="00703D67"/>
    <w:rsid w:val="00703EB5"/>
    <w:rsid w:val="00703EF8"/>
    <w:rsid w:val="00703EFD"/>
    <w:rsid w:val="00703EFF"/>
    <w:rsid w:val="00703F17"/>
    <w:rsid w:val="007041A7"/>
    <w:rsid w:val="007041AF"/>
    <w:rsid w:val="007041D3"/>
    <w:rsid w:val="007041DD"/>
    <w:rsid w:val="0070429E"/>
    <w:rsid w:val="007042B1"/>
    <w:rsid w:val="007042F4"/>
    <w:rsid w:val="00704373"/>
    <w:rsid w:val="0070449B"/>
    <w:rsid w:val="007044FC"/>
    <w:rsid w:val="00704558"/>
    <w:rsid w:val="0070459B"/>
    <w:rsid w:val="00704624"/>
    <w:rsid w:val="0070464B"/>
    <w:rsid w:val="007046E0"/>
    <w:rsid w:val="00704751"/>
    <w:rsid w:val="007047B3"/>
    <w:rsid w:val="007047DF"/>
    <w:rsid w:val="00704836"/>
    <w:rsid w:val="0070483F"/>
    <w:rsid w:val="0070490F"/>
    <w:rsid w:val="0070491D"/>
    <w:rsid w:val="00704A0C"/>
    <w:rsid w:val="00704AA4"/>
    <w:rsid w:val="00704AA7"/>
    <w:rsid w:val="00704AB2"/>
    <w:rsid w:val="00704B5D"/>
    <w:rsid w:val="00704BC8"/>
    <w:rsid w:val="00704C89"/>
    <w:rsid w:val="00704CBE"/>
    <w:rsid w:val="00704CF4"/>
    <w:rsid w:val="00704D05"/>
    <w:rsid w:val="00704D12"/>
    <w:rsid w:val="00704E75"/>
    <w:rsid w:val="00704E95"/>
    <w:rsid w:val="00704ED9"/>
    <w:rsid w:val="00704F22"/>
    <w:rsid w:val="00704F35"/>
    <w:rsid w:val="00704FA7"/>
    <w:rsid w:val="00704FD2"/>
    <w:rsid w:val="00705107"/>
    <w:rsid w:val="007051E6"/>
    <w:rsid w:val="0070521D"/>
    <w:rsid w:val="00705223"/>
    <w:rsid w:val="0070534B"/>
    <w:rsid w:val="0070537C"/>
    <w:rsid w:val="007053BF"/>
    <w:rsid w:val="007053F2"/>
    <w:rsid w:val="0070552C"/>
    <w:rsid w:val="007055C9"/>
    <w:rsid w:val="007055EF"/>
    <w:rsid w:val="007055FF"/>
    <w:rsid w:val="00705755"/>
    <w:rsid w:val="0070576E"/>
    <w:rsid w:val="00705799"/>
    <w:rsid w:val="0070584D"/>
    <w:rsid w:val="007058B0"/>
    <w:rsid w:val="007058C0"/>
    <w:rsid w:val="0070596B"/>
    <w:rsid w:val="00705970"/>
    <w:rsid w:val="00705A40"/>
    <w:rsid w:val="00705AB4"/>
    <w:rsid w:val="00705ADB"/>
    <w:rsid w:val="00705B25"/>
    <w:rsid w:val="00705BD3"/>
    <w:rsid w:val="00705BEE"/>
    <w:rsid w:val="00705BFD"/>
    <w:rsid w:val="00705EF2"/>
    <w:rsid w:val="00705F05"/>
    <w:rsid w:val="00705F49"/>
    <w:rsid w:val="00705FFD"/>
    <w:rsid w:val="0070622D"/>
    <w:rsid w:val="007062D3"/>
    <w:rsid w:val="007062E0"/>
    <w:rsid w:val="0070636D"/>
    <w:rsid w:val="007063C3"/>
    <w:rsid w:val="0070648C"/>
    <w:rsid w:val="007064AB"/>
    <w:rsid w:val="0070653C"/>
    <w:rsid w:val="0070657A"/>
    <w:rsid w:val="007065B7"/>
    <w:rsid w:val="00706601"/>
    <w:rsid w:val="00706633"/>
    <w:rsid w:val="007066D2"/>
    <w:rsid w:val="00706730"/>
    <w:rsid w:val="00706732"/>
    <w:rsid w:val="007067F4"/>
    <w:rsid w:val="00706869"/>
    <w:rsid w:val="00706880"/>
    <w:rsid w:val="007068B5"/>
    <w:rsid w:val="007068EA"/>
    <w:rsid w:val="00706A70"/>
    <w:rsid w:val="00706AC0"/>
    <w:rsid w:val="00706AF9"/>
    <w:rsid w:val="00706AFB"/>
    <w:rsid w:val="00706B44"/>
    <w:rsid w:val="00706BA0"/>
    <w:rsid w:val="00706BD6"/>
    <w:rsid w:val="00706C0A"/>
    <w:rsid w:val="00706C0E"/>
    <w:rsid w:val="00706C1C"/>
    <w:rsid w:val="00706C98"/>
    <w:rsid w:val="00706C99"/>
    <w:rsid w:val="00706CD1"/>
    <w:rsid w:val="00706D63"/>
    <w:rsid w:val="00706DF8"/>
    <w:rsid w:val="00706E03"/>
    <w:rsid w:val="00706E5E"/>
    <w:rsid w:val="00706F3F"/>
    <w:rsid w:val="00706FDC"/>
    <w:rsid w:val="007070B4"/>
    <w:rsid w:val="00707101"/>
    <w:rsid w:val="00707122"/>
    <w:rsid w:val="00707143"/>
    <w:rsid w:val="00707147"/>
    <w:rsid w:val="00707189"/>
    <w:rsid w:val="0070719A"/>
    <w:rsid w:val="007071CF"/>
    <w:rsid w:val="00707208"/>
    <w:rsid w:val="0070723F"/>
    <w:rsid w:val="00707287"/>
    <w:rsid w:val="0070751F"/>
    <w:rsid w:val="00707529"/>
    <w:rsid w:val="007075E7"/>
    <w:rsid w:val="00707630"/>
    <w:rsid w:val="007076E9"/>
    <w:rsid w:val="0070771B"/>
    <w:rsid w:val="0070773D"/>
    <w:rsid w:val="00707749"/>
    <w:rsid w:val="007077C8"/>
    <w:rsid w:val="00707805"/>
    <w:rsid w:val="00707852"/>
    <w:rsid w:val="0070789A"/>
    <w:rsid w:val="007078A6"/>
    <w:rsid w:val="007078B4"/>
    <w:rsid w:val="007078D4"/>
    <w:rsid w:val="0070791C"/>
    <w:rsid w:val="00707938"/>
    <w:rsid w:val="00707A0A"/>
    <w:rsid w:val="00707A22"/>
    <w:rsid w:val="00707A50"/>
    <w:rsid w:val="00707B5B"/>
    <w:rsid w:val="00707B6F"/>
    <w:rsid w:val="00707BC1"/>
    <w:rsid w:val="00707CCE"/>
    <w:rsid w:val="00707D38"/>
    <w:rsid w:val="00707D3E"/>
    <w:rsid w:val="00707D9D"/>
    <w:rsid w:val="00707E10"/>
    <w:rsid w:val="00707E27"/>
    <w:rsid w:val="00707EC7"/>
    <w:rsid w:val="0071004B"/>
    <w:rsid w:val="0071009E"/>
    <w:rsid w:val="0071015E"/>
    <w:rsid w:val="007101B6"/>
    <w:rsid w:val="00710237"/>
    <w:rsid w:val="007102DD"/>
    <w:rsid w:val="007102E0"/>
    <w:rsid w:val="00710326"/>
    <w:rsid w:val="0071032B"/>
    <w:rsid w:val="00710384"/>
    <w:rsid w:val="007103DA"/>
    <w:rsid w:val="00710464"/>
    <w:rsid w:val="0071056D"/>
    <w:rsid w:val="00710579"/>
    <w:rsid w:val="007105A1"/>
    <w:rsid w:val="007105AD"/>
    <w:rsid w:val="007105D6"/>
    <w:rsid w:val="007105F7"/>
    <w:rsid w:val="007106E1"/>
    <w:rsid w:val="0071071C"/>
    <w:rsid w:val="007107F9"/>
    <w:rsid w:val="007107FD"/>
    <w:rsid w:val="00710846"/>
    <w:rsid w:val="00710992"/>
    <w:rsid w:val="00710ABC"/>
    <w:rsid w:val="00710AFB"/>
    <w:rsid w:val="00710B0A"/>
    <w:rsid w:val="00710BAF"/>
    <w:rsid w:val="00710CF7"/>
    <w:rsid w:val="00710CFF"/>
    <w:rsid w:val="00710D11"/>
    <w:rsid w:val="00710D86"/>
    <w:rsid w:val="00710D9C"/>
    <w:rsid w:val="00710DC4"/>
    <w:rsid w:val="00710E13"/>
    <w:rsid w:val="00710ED2"/>
    <w:rsid w:val="00710ED6"/>
    <w:rsid w:val="00710F1D"/>
    <w:rsid w:val="00710FEB"/>
    <w:rsid w:val="00711078"/>
    <w:rsid w:val="007110B5"/>
    <w:rsid w:val="007111DA"/>
    <w:rsid w:val="00711206"/>
    <w:rsid w:val="00711228"/>
    <w:rsid w:val="007112AA"/>
    <w:rsid w:val="007112E3"/>
    <w:rsid w:val="00711469"/>
    <w:rsid w:val="00711549"/>
    <w:rsid w:val="007116D6"/>
    <w:rsid w:val="0071174A"/>
    <w:rsid w:val="00711790"/>
    <w:rsid w:val="007117B9"/>
    <w:rsid w:val="0071183B"/>
    <w:rsid w:val="0071184B"/>
    <w:rsid w:val="00711918"/>
    <w:rsid w:val="00711921"/>
    <w:rsid w:val="007119B2"/>
    <w:rsid w:val="00711A03"/>
    <w:rsid w:val="00711A55"/>
    <w:rsid w:val="00711A84"/>
    <w:rsid w:val="00711AA2"/>
    <w:rsid w:val="00711B45"/>
    <w:rsid w:val="00711C35"/>
    <w:rsid w:val="00711C4D"/>
    <w:rsid w:val="00711CEF"/>
    <w:rsid w:val="00711D2D"/>
    <w:rsid w:val="00711D68"/>
    <w:rsid w:val="00711DA8"/>
    <w:rsid w:val="00711E17"/>
    <w:rsid w:val="00711E52"/>
    <w:rsid w:val="00711FB8"/>
    <w:rsid w:val="00712024"/>
    <w:rsid w:val="0071202C"/>
    <w:rsid w:val="0071203A"/>
    <w:rsid w:val="007120F5"/>
    <w:rsid w:val="007121BD"/>
    <w:rsid w:val="007121BF"/>
    <w:rsid w:val="007121F4"/>
    <w:rsid w:val="00712342"/>
    <w:rsid w:val="007123D4"/>
    <w:rsid w:val="00712419"/>
    <w:rsid w:val="00712441"/>
    <w:rsid w:val="00712473"/>
    <w:rsid w:val="007124A4"/>
    <w:rsid w:val="0071254C"/>
    <w:rsid w:val="007125F8"/>
    <w:rsid w:val="00712653"/>
    <w:rsid w:val="007126AF"/>
    <w:rsid w:val="007126D6"/>
    <w:rsid w:val="00712809"/>
    <w:rsid w:val="00712822"/>
    <w:rsid w:val="00712988"/>
    <w:rsid w:val="007129A6"/>
    <w:rsid w:val="007129EE"/>
    <w:rsid w:val="00712A0D"/>
    <w:rsid w:val="00712ACC"/>
    <w:rsid w:val="00712B6C"/>
    <w:rsid w:val="00712DFF"/>
    <w:rsid w:val="00712E49"/>
    <w:rsid w:val="00712E94"/>
    <w:rsid w:val="00712E97"/>
    <w:rsid w:val="00712ECA"/>
    <w:rsid w:val="00712F16"/>
    <w:rsid w:val="00712F9A"/>
    <w:rsid w:val="00712FB2"/>
    <w:rsid w:val="00712FCE"/>
    <w:rsid w:val="00713043"/>
    <w:rsid w:val="00713066"/>
    <w:rsid w:val="0071306C"/>
    <w:rsid w:val="007130D0"/>
    <w:rsid w:val="007130E6"/>
    <w:rsid w:val="00713166"/>
    <w:rsid w:val="0071316A"/>
    <w:rsid w:val="007132B6"/>
    <w:rsid w:val="00713354"/>
    <w:rsid w:val="007133C8"/>
    <w:rsid w:val="007133E1"/>
    <w:rsid w:val="00713458"/>
    <w:rsid w:val="007135AA"/>
    <w:rsid w:val="00713631"/>
    <w:rsid w:val="007136AC"/>
    <w:rsid w:val="007136E5"/>
    <w:rsid w:val="0071376A"/>
    <w:rsid w:val="007137BF"/>
    <w:rsid w:val="007137CC"/>
    <w:rsid w:val="007137D8"/>
    <w:rsid w:val="007138A5"/>
    <w:rsid w:val="00713984"/>
    <w:rsid w:val="00713B10"/>
    <w:rsid w:val="00713BDD"/>
    <w:rsid w:val="00713BED"/>
    <w:rsid w:val="00713CAC"/>
    <w:rsid w:val="00713CD1"/>
    <w:rsid w:val="00713D31"/>
    <w:rsid w:val="00713D37"/>
    <w:rsid w:val="00713D7F"/>
    <w:rsid w:val="00713E6C"/>
    <w:rsid w:val="00713E75"/>
    <w:rsid w:val="00713E9A"/>
    <w:rsid w:val="00713ED8"/>
    <w:rsid w:val="00713F4C"/>
    <w:rsid w:val="00713F72"/>
    <w:rsid w:val="00713F8A"/>
    <w:rsid w:val="00713FA3"/>
    <w:rsid w:val="00713FCF"/>
    <w:rsid w:val="0071408B"/>
    <w:rsid w:val="00714116"/>
    <w:rsid w:val="0071411B"/>
    <w:rsid w:val="00714168"/>
    <w:rsid w:val="007141AA"/>
    <w:rsid w:val="00714208"/>
    <w:rsid w:val="0071421A"/>
    <w:rsid w:val="00714248"/>
    <w:rsid w:val="007142C1"/>
    <w:rsid w:val="00714317"/>
    <w:rsid w:val="00714358"/>
    <w:rsid w:val="0071437E"/>
    <w:rsid w:val="0071449B"/>
    <w:rsid w:val="007144C3"/>
    <w:rsid w:val="007144CD"/>
    <w:rsid w:val="00714589"/>
    <w:rsid w:val="00714640"/>
    <w:rsid w:val="00714709"/>
    <w:rsid w:val="00714775"/>
    <w:rsid w:val="007147C6"/>
    <w:rsid w:val="007147FA"/>
    <w:rsid w:val="0071480D"/>
    <w:rsid w:val="00714888"/>
    <w:rsid w:val="007148AE"/>
    <w:rsid w:val="007148F2"/>
    <w:rsid w:val="00714958"/>
    <w:rsid w:val="00714A40"/>
    <w:rsid w:val="00714A44"/>
    <w:rsid w:val="00714BFF"/>
    <w:rsid w:val="00714C63"/>
    <w:rsid w:val="00714D09"/>
    <w:rsid w:val="00714D0B"/>
    <w:rsid w:val="00714D0C"/>
    <w:rsid w:val="00714D22"/>
    <w:rsid w:val="00714DF5"/>
    <w:rsid w:val="00714E6B"/>
    <w:rsid w:val="00714EE1"/>
    <w:rsid w:val="007150EB"/>
    <w:rsid w:val="0071519C"/>
    <w:rsid w:val="007151F5"/>
    <w:rsid w:val="0071521F"/>
    <w:rsid w:val="00715305"/>
    <w:rsid w:val="00715328"/>
    <w:rsid w:val="00715397"/>
    <w:rsid w:val="00715453"/>
    <w:rsid w:val="00715599"/>
    <w:rsid w:val="00715673"/>
    <w:rsid w:val="007156C2"/>
    <w:rsid w:val="0071573E"/>
    <w:rsid w:val="00715743"/>
    <w:rsid w:val="0071584D"/>
    <w:rsid w:val="00715984"/>
    <w:rsid w:val="007159A6"/>
    <w:rsid w:val="00715A0A"/>
    <w:rsid w:val="00715A6F"/>
    <w:rsid w:val="00715AC5"/>
    <w:rsid w:val="00715B29"/>
    <w:rsid w:val="00715B4D"/>
    <w:rsid w:val="00715C63"/>
    <w:rsid w:val="00715CB3"/>
    <w:rsid w:val="00715D3F"/>
    <w:rsid w:val="00715D87"/>
    <w:rsid w:val="00715E1F"/>
    <w:rsid w:val="00715E73"/>
    <w:rsid w:val="00715FE4"/>
    <w:rsid w:val="00716001"/>
    <w:rsid w:val="00716019"/>
    <w:rsid w:val="00716047"/>
    <w:rsid w:val="007160D4"/>
    <w:rsid w:val="00716150"/>
    <w:rsid w:val="0071617F"/>
    <w:rsid w:val="00716222"/>
    <w:rsid w:val="0071622E"/>
    <w:rsid w:val="007162D9"/>
    <w:rsid w:val="007162E9"/>
    <w:rsid w:val="00716301"/>
    <w:rsid w:val="0071632C"/>
    <w:rsid w:val="0071646C"/>
    <w:rsid w:val="00716586"/>
    <w:rsid w:val="007165D2"/>
    <w:rsid w:val="007166D5"/>
    <w:rsid w:val="007166EC"/>
    <w:rsid w:val="007166F7"/>
    <w:rsid w:val="00716707"/>
    <w:rsid w:val="00716769"/>
    <w:rsid w:val="0071679B"/>
    <w:rsid w:val="007167A7"/>
    <w:rsid w:val="007167D7"/>
    <w:rsid w:val="00716868"/>
    <w:rsid w:val="0071686B"/>
    <w:rsid w:val="00716892"/>
    <w:rsid w:val="00716964"/>
    <w:rsid w:val="007169B7"/>
    <w:rsid w:val="00716A58"/>
    <w:rsid w:val="00716B4A"/>
    <w:rsid w:val="00716B6E"/>
    <w:rsid w:val="00716B9C"/>
    <w:rsid w:val="00716BB8"/>
    <w:rsid w:val="00716BC5"/>
    <w:rsid w:val="00716BD4"/>
    <w:rsid w:val="00716BD7"/>
    <w:rsid w:val="00716BEB"/>
    <w:rsid w:val="00716C7A"/>
    <w:rsid w:val="00716D22"/>
    <w:rsid w:val="00716DA5"/>
    <w:rsid w:val="00716ED6"/>
    <w:rsid w:val="00716F25"/>
    <w:rsid w:val="00716F5B"/>
    <w:rsid w:val="00716FB9"/>
    <w:rsid w:val="00717033"/>
    <w:rsid w:val="0071718D"/>
    <w:rsid w:val="00717197"/>
    <w:rsid w:val="007171CC"/>
    <w:rsid w:val="00717235"/>
    <w:rsid w:val="0071732E"/>
    <w:rsid w:val="007173DF"/>
    <w:rsid w:val="007173E2"/>
    <w:rsid w:val="00717424"/>
    <w:rsid w:val="007174A4"/>
    <w:rsid w:val="007175F8"/>
    <w:rsid w:val="0071761A"/>
    <w:rsid w:val="00717685"/>
    <w:rsid w:val="007176D4"/>
    <w:rsid w:val="007176F6"/>
    <w:rsid w:val="0071772F"/>
    <w:rsid w:val="007177A8"/>
    <w:rsid w:val="0071784E"/>
    <w:rsid w:val="00717854"/>
    <w:rsid w:val="0071785B"/>
    <w:rsid w:val="007178B5"/>
    <w:rsid w:val="00717943"/>
    <w:rsid w:val="00717A64"/>
    <w:rsid w:val="00717C15"/>
    <w:rsid w:val="00717C4E"/>
    <w:rsid w:val="00717CD1"/>
    <w:rsid w:val="00717CF4"/>
    <w:rsid w:val="00717E28"/>
    <w:rsid w:val="00717E6E"/>
    <w:rsid w:val="00717ECE"/>
    <w:rsid w:val="00717EE3"/>
    <w:rsid w:val="00717F09"/>
    <w:rsid w:val="00717F85"/>
    <w:rsid w:val="00717FC4"/>
    <w:rsid w:val="0072002C"/>
    <w:rsid w:val="00720093"/>
    <w:rsid w:val="007200E1"/>
    <w:rsid w:val="0072015A"/>
    <w:rsid w:val="00720181"/>
    <w:rsid w:val="007201B1"/>
    <w:rsid w:val="00720291"/>
    <w:rsid w:val="007202BB"/>
    <w:rsid w:val="007202C3"/>
    <w:rsid w:val="0072037D"/>
    <w:rsid w:val="007203C8"/>
    <w:rsid w:val="00720451"/>
    <w:rsid w:val="00720462"/>
    <w:rsid w:val="007204DC"/>
    <w:rsid w:val="00720524"/>
    <w:rsid w:val="0072058F"/>
    <w:rsid w:val="007205EC"/>
    <w:rsid w:val="00720600"/>
    <w:rsid w:val="0072073F"/>
    <w:rsid w:val="00720743"/>
    <w:rsid w:val="007207B5"/>
    <w:rsid w:val="00720885"/>
    <w:rsid w:val="00720A56"/>
    <w:rsid w:val="00720AF4"/>
    <w:rsid w:val="00720C20"/>
    <w:rsid w:val="00720D02"/>
    <w:rsid w:val="00720D35"/>
    <w:rsid w:val="00720D64"/>
    <w:rsid w:val="00720DDC"/>
    <w:rsid w:val="00720E0C"/>
    <w:rsid w:val="00720E2B"/>
    <w:rsid w:val="00720E38"/>
    <w:rsid w:val="00720E43"/>
    <w:rsid w:val="00720E78"/>
    <w:rsid w:val="00720E9F"/>
    <w:rsid w:val="00720EC6"/>
    <w:rsid w:val="00720EE0"/>
    <w:rsid w:val="00720FBC"/>
    <w:rsid w:val="00720FBE"/>
    <w:rsid w:val="007210E9"/>
    <w:rsid w:val="00721165"/>
    <w:rsid w:val="00721294"/>
    <w:rsid w:val="007212E2"/>
    <w:rsid w:val="007212EB"/>
    <w:rsid w:val="00721348"/>
    <w:rsid w:val="007213FD"/>
    <w:rsid w:val="0072141A"/>
    <w:rsid w:val="00721493"/>
    <w:rsid w:val="007214DC"/>
    <w:rsid w:val="00721500"/>
    <w:rsid w:val="0072151F"/>
    <w:rsid w:val="0072167C"/>
    <w:rsid w:val="007218FB"/>
    <w:rsid w:val="00721910"/>
    <w:rsid w:val="00721A1E"/>
    <w:rsid w:val="00721B96"/>
    <w:rsid w:val="00721C6F"/>
    <w:rsid w:val="00721C96"/>
    <w:rsid w:val="00721CDC"/>
    <w:rsid w:val="00721D28"/>
    <w:rsid w:val="00721E5B"/>
    <w:rsid w:val="00721F61"/>
    <w:rsid w:val="00721FE8"/>
    <w:rsid w:val="007220EF"/>
    <w:rsid w:val="0072225C"/>
    <w:rsid w:val="00722279"/>
    <w:rsid w:val="007223C2"/>
    <w:rsid w:val="00722455"/>
    <w:rsid w:val="007224AD"/>
    <w:rsid w:val="0072250E"/>
    <w:rsid w:val="00722526"/>
    <w:rsid w:val="007225DD"/>
    <w:rsid w:val="007225DE"/>
    <w:rsid w:val="00722718"/>
    <w:rsid w:val="007227B6"/>
    <w:rsid w:val="00722842"/>
    <w:rsid w:val="00722880"/>
    <w:rsid w:val="007228A2"/>
    <w:rsid w:val="007228EA"/>
    <w:rsid w:val="0072296E"/>
    <w:rsid w:val="007229E1"/>
    <w:rsid w:val="00722ACA"/>
    <w:rsid w:val="00722B21"/>
    <w:rsid w:val="00722B65"/>
    <w:rsid w:val="00722B6D"/>
    <w:rsid w:val="00722B8C"/>
    <w:rsid w:val="00722C30"/>
    <w:rsid w:val="00722C4F"/>
    <w:rsid w:val="00722CB6"/>
    <w:rsid w:val="00722CD5"/>
    <w:rsid w:val="00722DE9"/>
    <w:rsid w:val="00722E05"/>
    <w:rsid w:val="00722E33"/>
    <w:rsid w:val="00722E5B"/>
    <w:rsid w:val="00722EC4"/>
    <w:rsid w:val="00723038"/>
    <w:rsid w:val="00723086"/>
    <w:rsid w:val="007230B8"/>
    <w:rsid w:val="0072311F"/>
    <w:rsid w:val="00723154"/>
    <w:rsid w:val="00723218"/>
    <w:rsid w:val="007232C5"/>
    <w:rsid w:val="007232F9"/>
    <w:rsid w:val="0072335B"/>
    <w:rsid w:val="00723364"/>
    <w:rsid w:val="007233B2"/>
    <w:rsid w:val="00723474"/>
    <w:rsid w:val="00723498"/>
    <w:rsid w:val="0072350B"/>
    <w:rsid w:val="00723520"/>
    <w:rsid w:val="00723536"/>
    <w:rsid w:val="007236A0"/>
    <w:rsid w:val="007236B3"/>
    <w:rsid w:val="00723732"/>
    <w:rsid w:val="007238A7"/>
    <w:rsid w:val="007238D5"/>
    <w:rsid w:val="007238F1"/>
    <w:rsid w:val="00723A94"/>
    <w:rsid w:val="00723AD5"/>
    <w:rsid w:val="00723BBD"/>
    <w:rsid w:val="00723DA0"/>
    <w:rsid w:val="00723DD3"/>
    <w:rsid w:val="00723DED"/>
    <w:rsid w:val="00723EFF"/>
    <w:rsid w:val="00723FAC"/>
    <w:rsid w:val="00723FC7"/>
    <w:rsid w:val="00723FE9"/>
    <w:rsid w:val="00724021"/>
    <w:rsid w:val="00724032"/>
    <w:rsid w:val="00724075"/>
    <w:rsid w:val="00724095"/>
    <w:rsid w:val="00724121"/>
    <w:rsid w:val="00724155"/>
    <w:rsid w:val="007242C0"/>
    <w:rsid w:val="00724378"/>
    <w:rsid w:val="00724414"/>
    <w:rsid w:val="0072449C"/>
    <w:rsid w:val="007244EA"/>
    <w:rsid w:val="0072470A"/>
    <w:rsid w:val="007247A9"/>
    <w:rsid w:val="007248E7"/>
    <w:rsid w:val="00724931"/>
    <w:rsid w:val="00724A11"/>
    <w:rsid w:val="00724BA3"/>
    <w:rsid w:val="00724BEE"/>
    <w:rsid w:val="00724BF6"/>
    <w:rsid w:val="00724C84"/>
    <w:rsid w:val="00724D95"/>
    <w:rsid w:val="00724DF7"/>
    <w:rsid w:val="00724DFC"/>
    <w:rsid w:val="00724E30"/>
    <w:rsid w:val="00724E4A"/>
    <w:rsid w:val="00724E50"/>
    <w:rsid w:val="00724EDE"/>
    <w:rsid w:val="00724F24"/>
    <w:rsid w:val="00724F73"/>
    <w:rsid w:val="00724F9B"/>
    <w:rsid w:val="00724FBA"/>
    <w:rsid w:val="0072501B"/>
    <w:rsid w:val="00725141"/>
    <w:rsid w:val="00725142"/>
    <w:rsid w:val="00725178"/>
    <w:rsid w:val="007251FD"/>
    <w:rsid w:val="00725297"/>
    <w:rsid w:val="007252F8"/>
    <w:rsid w:val="00725434"/>
    <w:rsid w:val="00725456"/>
    <w:rsid w:val="00725478"/>
    <w:rsid w:val="0072549D"/>
    <w:rsid w:val="007257E1"/>
    <w:rsid w:val="007257E5"/>
    <w:rsid w:val="00725811"/>
    <w:rsid w:val="007258A2"/>
    <w:rsid w:val="00725921"/>
    <w:rsid w:val="00725A31"/>
    <w:rsid w:val="00725A6F"/>
    <w:rsid w:val="00725ACC"/>
    <w:rsid w:val="00725AD2"/>
    <w:rsid w:val="00725B43"/>
    <w:rsid w:val="00725C63"/>
    <w:rsid w:val="00725CBF"/>
    <w:rsid w:val="00725CF0"/>
    <w:rsid w:val="00725D2D"/>
    <w:rsid w:val="00725D2E"/>
    <w:rsid w:val="00725DC2"/>
    <w:rsid w:val="00725E49"/>
    <w:rsid w:val="00725EFD"/>
    <w:rsid w:val="00725FC3"/>
    <w:rsid w:val="00726061"/>
    <w:rsid w:val="007260A5"/>
    <w:rsid w:val="007260DB"/>
    <w:rsid w:val="007262AA"/>
    <w:rsid w:val="007262F5"/>
    <w:rsid w:val="00726308"/>
    <w:rsid w:val="0072630A"/>
    <w:rsid w:val="00726311"/>
    <w:rsid w:val="00726374"/>
    <w:rsid w:val="00726506"/>
    <w:rsid w:val="00726507"/>
    <w:rsid w:val="0072664A"/>
    <w:rsid w:val="007266A7"/>
    <w:rsid w:val="0072673A"/>
    <w:rsid w:val="0072676B"/>
    <w:rsid w:val="0072686D"/>
    <w:rsid w:val="007268FF"/>
    <w:rsid w:val="00726936"/>
    <w:rsid w:val="0072693C"/>
    <w:rsid w:val="007269E4"/>
    <w:rsid w:val="00726A03"/>
    <w:rsid w:val="00726A6C"/>
    <w:rsid w:val="00726A70"/>
    <w:rsid w:val="00726A95"/>
    <w:rsid w:val="00726A99"/>
    <w:rsid w:val="00726B9C"/>
    <w:rsid w:val="00726BF2"/>
    <w:rsid w:val="00726BF3"/>
    <w:rsid w:val="00726C9D"/>
    <w:rsid w:val="00726D62"/>
    <w:rsid w:val="00726D99"/>
    <w:rsid w:val="00726ECC"/>
    <w:rsid w:val="00726EE4"/>
    <w:rsid w:val="00726FDB"/>
    <w:rsid w:val="007270E4"/>
    <w:rsid w:val="0072719E"/>
    <w:rsid w:val="00727231"/>
    <w:rsid w:val="0072726B"/>
    <w:rsid w:val="00727303"/>
    <w:rsid w:val="007273CF"/>
    <w:rsid w:val="007273DC"/>
    <w:rsid w:val="00727436"/>
    <w:rsid w:val="00727470"/>
    <w:rsid w:val="00727535"/>
    <w:rsid w:val="007276CD"/>
    <w:rsid w:val="0072771F"/>
    <w:rsid w:val="00727788"/>
    <w:rsid w:val="007277DD"/>
    <w:rsid w:val="007277F5"/>
    <w:rsid w:val="00727877"/>
    <w:rsid w:val="007278B0"/>
    <w:rsid w:val="007278D8"/>
    <w:rsid w:val="00727A30"/>
    <w:rsid w:val="00727B03"/>
    <w:rsid w:val="00727B49"/>
    <w:rsid w:val="00727B56"/>
    <w:rsid w:val="00727BED"/>
    <w:rsid w:val="00727C3D"/>
    <w:rsid w:val="00727CA7"/>
    <w:rsid w:val="00727D77"/>
    <w:rsid w:val="00727E4A"/>
    <w:rsid w:val="00727EC0"/>
    <w:rsid w:val="00727F5E"/>
    <w:rsid w:val="00727F6F"/>
    <w:rsid w:val="00727FBF"/>
    <w:rsid w:val="0073003A"/>
    <w:rsid w:val="00730094"/>
    <w:rsid w:val="00730144"/>
    <w:rsid w:val="007301DB"/>
    <w:rsid w:val="0073020F"/>
    <w:rsid w:val="00730281"/>
    <w:rsid w:val="00730348"/>
    <w:rsid w:val="007303FE"/>
    <w:rsid w:val="00730402"/>
    <w:rsid w:val="00730456"/>
    <w:rsid w:val="00730567"/>
    <w:rsid w:val="00730596"/>
    <w:rsid w:val="0073066B"/>
    <w:rsid w:val="007306E3"/>
    <w:rsid w:val="00730734"/>
    <w:rsid w:val="007307B6"/>
    <w:rsid w:val="00730841"/>
    <w:rsid w:val="007308E3"/>
    <w:rsid w:val="007308F5"/>
    <w:rsid w:val="007308F7"/>
    <w:rsid w:val="00730990"/>
    <w:rsid w:val="007309A5"/>
    <w:rsid w:val="007309B7"/>
    <w:rsid w:val="00730A2A"/>
    <w:rsid w:val="00730A6D"/>
    <w:rsid w:val="00730A98"/>
    <w:rsid w:val="00730AFB"/>
    <w:rsid w:val="00730B01"/>
    <w:rsid w:val="00730C0A"/>
    <w:rsid w:val="00730C1B"/>
    <w:rsid w:val="00730CD1"/>
    <w:rsid w:val="00730D7D"/>
    <w:rsid w:val="00730E23"/>
    <w:rsid w:val="00730E41"/>
    <w:rsid w:val="00730EB7"/>
    <w:rsid w:val="00730F70"/>
    <w:rsid w:val="00730F82"/>
    <w:rsid w:val="00730FCE"/>
    <w:rsid w:val="00731086"/>
    <w:rsid w:val="007310A1"/>
    <w:rsid w:val="0073112B"/>
    <w:rsid w:val="0073119F"/>
    <w:rsid w:val="007311B8"/>
    <w:rsid w:val="007311C1"/>
    <w:rsid w:val="00731234"/>
    <w:rsid w:val="007312BA"/>
    <w:rsid w:val="00731376"/>
    <w:rsid w:val="00731483"/>
    <w:rsid w:val="00731497"/>
    <w:rsid w:val="0073149C"/>
    <w:rsid w:val="00731576"/>
    <w:rsid w:val="00731585"/>
    <w:rsid w:val="007315F9"/>
    <w:rsid w:val="007315FA"/>
    <w:rsid w:val="00731630"/>
    <w:rsid w:val="0073170D"/>
    <w:rsid w:val="00731737"/>
    <w:rsid w:val="00731804"/>
    <w:rsid w:val="00731929"/>
    <w:rsid w:val="00731953"/>
    <w:rsid w:val="007319A8"/>
    <w:rsid w:val="00731AB7"/>
    <w:rsid w:val="00731C4A"/>
    <w:rsid w:val="00731C9E"/>
    <w:rsid w:val="00731CC0"/>
    <w:rsid w:val="00731CF6"/>
    <w:rsid w:val="00731D28"/>
    <w:rsid w:val="00731E30"/>
    <w:rsid w:val="00731E37"/>
    <w:rsid w:val="00731EA5"/>
    <w:rsid w:val="00731F4A"/>
    <w:rsid w:val="00731FC4"/>
    <w:rsid w:val="00731FDF"/>
    <w:rsid w:val="00732143"/>
    <w:rsid w:val="007321DA"/>
    <w:rsid w:val="007322B8"/>
    <w:rsid w:val="0073233C"/>
    <w:rsid w:val="007323C3"/>
    <w:rsid w:val="0073240B"/>
    <w:rsid w:val="0073240D"/>
    <w:rsid w:val="00732509"/>
    <w:rsid w:val="00732560"/>
    <w:rsid w:val="0073257F"/>
    <w:rsid w:val="00732685"/>
    <w:rsid w:val="00732708"/>
    <w:rsid w:val="00732771"/>
    <w:rsid w:val="007327CE"/>
    <w:rsid w:val="007328A0"/>
    <w:rsid w:val="00732955"/>
    <w:rsid w:val="007329A5"/>
    <w:rsid w:val="00732A91"/>
    <w:rsid w:val="00732B80"/>
    <w:rsid w:val="00732BEF"/>
    <w:rsid w:val="00732BF1"/>
    <w:rsid w:val="00732BF2"/>
    <w:rsid w:val="00732C34"/>
    <w:rsid w:val="00732C7A"/>
    <w:rsid w:val="00732C84"/>
    <w:rsid w:val="00732CC2"/>
    <w:rsid w:val="00732CF5"/>
    <w:rsid w:val="00732DE7"/>
    <w:rsid w:val="00732E9C"/>
    <w:rsid w:val="00732EA3"/>
    <w:rsid w:val="00732EDA"/>
    <w:rsid w:val="00732F4C"/>
    <w:rsid w:val="00732FE9"/>
    <w:rsid w:val="00733043"/>
    <w:rsid w:val="00733044"/>
    <w:rsid w:val="00733058"/>
    <w:rsid w:val="00733080"/>
    <w:rsid w:val="0073312A"/>
    <w:rsid w:val="007331AF"/>
    <w:rsid w:val="0073326C"/>
    <w:rsid w:val="00733341"/>
    <w:rsid w:val="007333C9"/>
    <w:rsid w:val="007333E8"/>
    <w:rsid w:val="007334B7"/>
    <w:rsid w:val="00733502"/>
    <w:rsid w:val="00733603"/>
    <w:rsid w:val="007337C6"/>
    <w:rsid w:val="00733825"/>
    <w:rsid w:val="007338CE"/>
    <w:rsid w:val="007338DD"/>
    <w:rsid w:val="007338FE"/>
    <w:rsid w:val="0073393A"/>
    <w:rsid w:val="007339CF"/>
    <w:rsid w:val="00733A42"/>
    <w:rsid w:val="00733AA9"/>
    <w:rsid w:val="00733B1F"/>
    <w:rsid w:val="00733B9A"/>
    <w:rsid w:val="00733BCC"/>
    <w:rsid w:val="00733C91"/>
    <w:rsid w:val="00733DEA"/>
    <w:rsid w:val="00733E60"/>
    <w:rsid w:val="00733EEA"/>
    <w:rsid w:val="00733F23"/>
    <w:rsid w:val="00733F80"/>
    <w:rsid w:val="00733FF7"/>
    <w:rsid w:val="00734054"/>
    <w:rsid w:val="00734057"/>
    <w:rsid w:val="007340C1"/>
    <w:rsid w:val="007340FF"/>
    <w:rsid w:val="00734100"/>
    <w:rsid w:val="00734157"/>
    <w:rsid w:val="0073419A"/>
    <w:rsid w:val="007341A7"/>
    <w:rsid w:val="007341C2"/>
    <w:rsid w:val="007344C3"/>
    <w:rsid w:val="007344E9"/>
    <w:rsid w:val="007344EA"/>
    <w:rsid w:val="0073451F"/>
    <w:rsid w:val="00734558"/>
    <w:rsid w:val="0073468B"/>
    <w:rsid w:val="007346F6"/>
    <w:rsid w:val="007347A1"/>
    <w:rsid w:val="007347B9"/>
    <w:rsid w:val="007347DE"/>
    <w:rsid w:val="007347EE"/>
    <w:rsid w:val="0073481F"/>
    <w:rsid w:val="0073482B"/>
    <w:rsid w:val="007348BE"/>
    <w:rsid w:val="007348C0"/>
    <w:rsid w:val="007348E3"/>
    <w:rsid w:val="00734964"/>
    <w:rsid w:val="007349FC"/>
    <w:rsid w:val="00734A7D"/>
    <w:rsid w:val="00734BF4"/>
    <w:rsid w:val="00734C25"/>
    <w:rsid w:val="00734C3C"/>
    <w:rsid w:val="00734CBA"/>
    <w:rsid w:val="00734CCD"/>
    <w:rsid w:val="00734D15"/>
    <w:rsid w:val="00734D9D"/>
    <w:rsid w:val="00734DE9"/>
    <w:rsid w:val="00734E97"/>
    <w:rsid w:val="00734FCD"/>
    <w:rsid w:val="0073501B"/>
    <w:rsid w:val="00735049"/>
    <w:rsid w:val="00735072"/>
    <w:rsid w:val="00735119"/>
    <w:rsid w:val="00735140"/>
    <w:rsid w:val="0073517A"/>
    <w:rsid w:val="007351FC"/>
    <w:rsid w:val="00735281"/>
    <w:rsid w:val="007352B8"/>
    <w:rsid w:val="00735326"/>
    <w:rsid w:val="0073533F"/>
    <w:rsid w:val="007353A3"/>
    <w:rsid w:val="00735401"/>
    <w:rsid w:val="0073542B"/>
    <w:rsid w:val="007354BA"/>
    <w:rsid w:val="007354BC"/>
    <w:rsid w:val="007355D7"/>
    <w:rsid w:val="007356C2"/>
    <w:rsid w:val="00735762"/>
    <w:rsid w:val="007357A4"/>
    <w:rsid w:val="007357B0"/>
    <w:rsid w:val="007357B7"/>
    <w:rsid w:val="007357F3"/>
    <w:rsid w:val="007359A6"/>
    <w:rsid w:val="007359DF"/>
    <w:rsid w:val="00735A24"/>
    <w:rsid w:val="00735B09"/>
    <w:rsid w:val="00735B44"/>
    <w:rsid w:val="00735BA7"/>
    <w:rsid w:val="00735C40"/>
    <w:rsid w:val="00735CA6"/>
    <w:rsid w:val="00735CBE"/>
    <w:rsid w:val="00735D05"/>
    <w:rsid w:val="00735D93"/>
    <w:rsid w:val="00735DCE"/>
    <w:rsid w:val="00735E1B"/>
    <w:rsid w:val="00735F06"/>
    <w:rsid w:val="00735F1F"/>
    <w:rsid w:val="00735F38"/>
    <w:rsid w:val="00735F3C"/>
    <w:rsid w:val="00735F61"/>
    <w:rsid w:val="00735FBC"/>
    <w:rsid w:val="00735FDA"/>
    <w:rsid w:val="00735FF8"/>
    <w:rsid w:val="00736034"/>
    <w:rsid w:val="0073605E"/>
    <w:rsid w:val="007360F5"/>
    <w:rsid w:val="0073616D"/>
    <w:rsid w:val="007361BB"/>
    <w:rsid w:val="007362F1"/>
    <w:rsid w:val="00736359"/>
    <w:rsid w:val="007363AA"/>
    <w:rsid w:val="00736406"/>
    <w:rsid w:val="00736423"/>
    <w:rsid w:val="00736447"/>
    <w:rsid w:val="007364B2"/>
    <w:rsid w:val="007364C0"/>
    <w:rsid w:val="007364C9"/>
    <w:rsid w:val="007364D0"/>
    <w:rsid w:val="007364FA"/>
    <w:rsid w:val="0073651D"/>
    <w:rsid w:val="0073651F"/>
    <w:rsid w:val="0073653A"/>
    <w:rsid w:val="00736556"/>
    <w:rsid w:val="00736694"/>
    <w:rsid w:val="00736699"/>
    <w:rsid w:val="00736708"/>
    <w:rsid w:val="0073671B"/>
    <w:rsid w:val="007367B4"/>
    <w:rsid w:val="00736800"/>
    <w:rsid w:val="00736817"/>
    <w:rsid w:val="0073689D"/>
    <w:rsid w:val="00736955"/>
    <w:rsid w:val="007369D0"/>
    <w:rsid w:val="007369F9"/>
    <w:rsid w:val="00736A16"/>
    <w:rsid w:val="00736A62"/>
    <w:rsid w:val="00736A84"/>
    <w:rsid w:val="00736A8B"/>
    <w:rsid w:val="00736AAD"/>
    <w:rsid w:val="00736B0D"/>
    <w:rsid w:val="00736B11"/>
    <w:rsid w:val="00736C34"/>
    <w:rsid w:val="00736C4A"/>
    <w:rsid w:val="00736CDA"/>
    <w:rsid w:val="00736D1B"/>
    <w:rsid w:val="00736D30"/>
    <w:rsid w:val="00736D44"/>
    <w:rsid w:val="00736DB1"/>
    <w:rsid w:val="00736E32"/>
    <w:rsid w:val="00736E76"/>
    <w:rsid w:val="00736EAB"/>
    <w:rsid w:val="00736EEA"/>
    <w:rsid w:val="00736F24"/>
    <w:rsid w:val="00736F82"/>
    <w:rsid w:val="00736FF1"/>
    <w:rsid w:val="0073703A"/>
    <w:rsid w:val="00737065"/>
    <w:rsid w:val="00737079"/>
    <w:rsid w:val="00737085"/>
    <w:rsid w:val="00737189"/>
    <w:rsid w:val="00737190"/>
    <w:rsid w:val="00737262"/>
    <w:rsid w:val="007372CA"/>
    <w:rsid w:val="00737395"/>
    <w:rsid w:val="007373D5"/>
    <w:rsid w:val="007373DD"/>
    <w:rsid w:val="00737454"/>
    <w:rsid w:val="00737479"/>
    <w:rsid w:val="00737498"/>
    <w:rsid w:val="007374A9"/>
    <w:rsid w:val="007374AA"/>
    <w:rsid w:val="0073756F"/>
    <w:rsid w:val="00737585"/>
    <w:rsid w:val="007375EB"/>
    <w:rsid w:val="00737691"/>
    <w:rsid w:val="007376A7"/>
    <w:rsid w:val="007376C6"/>
    <w:rsid w:val="0073772D"/>
    <w:rsid w:val="0073779A"/>
    <w:rsid w:val="007377C1"/>
    <w:rsid w:val="0073783A"/>
    <w:rsid w:val="00737A1D"/>
    <w:rsid w:val="00737A28"/>
    <w:rsid w:val="00737A2E"/>
    <w:rsid w:val="00737B0A"/>
    <w:rsid w:val="00737B4D"/>
    <w:rsid w:val="00737BE2"/>
    <w:rsid w:val="00737C04"/>
    <w:rsid w:val="00737C2B"/>
    <w:rsid w:val="00737C73"/>
    <w:rsid w:val="00737CA4"/>
    <w:rsid w:val="00737CF9"/>
    <w:rsid w:val="00737D3C"/>
    <w:rsid w:val="00737E51"/>
    <w:rsid w:val="00737E64"/>
    <w:rsid w:val="00737EB2"/>
    <w:rsid w:val="00737ECA"/>
    <w:rsid w:val="00737F09"/>
    <w:rsid w:val="00737F42"/>
    <w:rsid w:val="00737FD8"/>
    <w:rsid w:val="00737FEC"/>
    <w:rsid w:val="00740009"/>
    <w:rsid w:val="007400CA"/>
    <w:rsid w:val="00740100"/>
    <w:rsid w:val="007401F9"/>
    <w:rsid w:val="0074025C"/>
    <w:rsid w:val="0074027B"/>
    <w:rsid w:val="007402A6"/>
    <w:rsid w:val="007402DB"/>
    <w:rsid w:val="0074033C"/>
    <w:rsid w:val="00740401"/>
    <w:rsid w:val="00740439"/>
    <w:rsid w:val="0074043C"/>
    <w:rsid w:val="007405FC"/>
    <w:rsid w:val="0074067C"/>
    <w:rsid w:val="0074068D"/>
    <w:rsid w:val="00740785"/>
    <w:rsid w:val="00740890"/>
    <w:rsid w:val="007408BA"/>
    <w:rsid w:val="00740909"/>
    <w:rsid w:val="007409ED"/>
    <w:rsid w:val="00740B13"/>
    <w:rsid w:val="00740B30"/>
    <w:rsid w:val="00740C3F"/>
    <w:rsid w:val="00740CD4"/>
    <w:rsid w:val="00740D8F"/>
    <w:rsid w:val="00740DE0"/>
    <w:rsid w:val="00740E4D"/>
    <w:rsid w:val="00740F44"/>
    <w:rsid w:val="00740F4D"/>
    <w:rsid w:val="00740F5A"/>
    <w:rsid w:val="00740FAC"/>
    <w:rsid w:val="00740FDA"/>
    <w:rsid w:val="00741043"/>
    <w:rsid w:val="007410A6"/>
    <w:rsid w:val="007410BC"/>
    <w:rsid w:val="00741128"/>
    <w:rsid w:val="00741234"/>
    <w:rsid w:val="007412B7"/>
    <w:rsid w:val="007412EF"/>
    <w:rsid w:val="00741450"/>
    <w:rsid w:val="0074147A"/>
    <w:rsid w:val="0074147E"/>
    <w:rsid w:val="007414DA"/>
    <w:rsid w:val="00741655"/>
    <w:rsid w:val="00741666"/>
    <w:rsid w:val="0074181D"/>
    <w:rsid w:val="00741840"/>
    <w:rsid w:val="00741904"/>
    <w:rsid w:val="00741910"/>
    <w:rsid w:val="00741931"/>
    <w:rsid w:val="00741A5F"/>
    <w:rsid w:val="00741A88"/>
    <w:rsid w:val="00741B4A"/>
    <w:rsid w:val="00741C01"/>
    <w:rsid w:val="00741E04"/>
    <w:rsid w:val="00741F77"/>
    <w:rsid w:val="00741F86"/>
    <w:rsid w:val="00741FDD"/>
    <w:rsid w:val="00741FE0"/>
    <w:rsid w:val="00742014"/>
    <w:rsid w:val="00742052"/>
    <w:rsid w:val="007420B5"/>
    <w:rsid w:val="007421FC"/>
    <w:rsid w:val="00742216"/>
    <w:rsid w:val="007422F9"/>
    <w:rsid w:val="0074233B"/>
    <w:rsid w:val="00742560"/>
    <w:rsid w:val="007425C8"/>
    <w:rsid w:val="0074280B"/>
    <w:rsid w:val="00742816"/>
    <w:rsid w:val="00742859"/>
    <w:rsid w:val="007428E9"/>
    <w:rsid w:val="00742BB9"/>
    <w:rsid w:val="00742BFA"/>
    <w:rsid w:val="00742C42"/>
    <w:rsid w:val="00742C99"/>
    <w:rsid w:val="00742CDA"/>
    <w:rsid w:val="00742D05"/>
    <w:rsid w:val="00742D6D"/>
    <w:rsid w:val="00742DBB"/>
    <w:rsid w:val="00742E94"/>
    <w:rsid w:val="00742ED6"/>
    <w:rsid w:val="00742F3B"/>
    <w:rsid w:val="00742F5A"/>
    <w:rsid w:val="00743035"/>
    <w:rsid w:val="0074306A"/>
    <w:rsid w:val="0074309D"/>
    <w:rsid w:val="007430E3"/>
    <w:rsid w:val="00743181"/>
    <w:rsid w:val="0074319D"/>
    <w:rsid w:val="007431A1"/>
    <w:rsid w:val="00743226"/>
    <w:rsid w:val="00743256"/>
    <w:rsid w:val="007432EE"/>
    <w:rsid w:val="007433AF"/>
    <w:rsid w:val="0074344E"/>
    <w:rsid w:val="00743623"/>
    <w:rsid w:val="007436B8"/>
    <w:rsid w:val="007436D4"/>
    <w:rsid w:val="00743828"/>
    <w:rsid w:val="0074385B"/>
    <w:rsid w:val="007439E2"/>
    <w:rsid w:val="00743AB2"/>
    <w:rsid w:val="00743AF4"/>
    <w:rsid w:val="00743BED"/>
    <w:rsid w:val="00743C79"/>
    <w:rsid w:val="00743CDA"/>
    <w:rsid w:val="00743D19"/>
    <w:rsid w:val="00743E9A"/>
    <w:rsid w:val="00743EDE"/>
    <w:rsid w:val="00743FBA"/>
    <w:rsid w:val="00744050"/>
    <w:rsid w:val="00744062"/>
    <w:rsid w:val="00744095"/>
    <w:rsid w:val="0074409A"/>
    <w:rsid w:val="0074409B"/>
    <w:rsid w:val="007440CA"/>
    <w:rsid w:val="00744201"/>
    <w:rsid w:val="0074427E"/>
    <w:rsid w:val="00744308"/>
    <w:rsid w:val="007443A3"/>
    <w:rsid w:val="00744479"/>
    <w:rsid w:val="007444AE"/>
    <w:rsid w:val="007444E0"/>
    <w:rsid w:val="00744649"/>
    <w:rsid w:val="0074468E"/>
    <w:rsid w:val="007447A0"/>
    <w:rsid w:val="007447F2"/>
    <w:rsid w:val="00744813"/>
    <w:rsid w:val="007448B0"/>
    <w:rsid w:val="007448BA"/>
    <w:rsid w:val="007448F0"/>
    <w:rsid w:val="00744919"/>
    <w:rsid w:val="00744A1A"/>
    <w:rsid w:val="00744BDA"/>
    <w:rsid w:val="00744C3C"/>
    <w:rsid w:val="00744C52"/>
    <w:rsid w:val="00744CEF"/>
    <w:rsid w:val="00744EAD"/>
    <w:rsid w:val="00744F65"/>
    <w:rsid w:val="00744F7A"/>
    <w:rsid w:val="0074501A"/>
    <w:rsid w:val="00745072"/>
    <w:rsid w:val="0074510E"/>
    <w:rsid w:val="0074517F"/>
    <w:rsid w:val="0074534F"/>
    <w:rsid w:val="007454AB"/>
    <w:rsid w:val="0074559E"/>
    <w:rsid w:val="007455C3"/>
    <w:rsid w:val="007455DA"/>
    <w:rsid w:val="00745638"/>
    <w:rsid w:val="0074570F"/>
    <w:rsid w:val="00745766"/>
    <w:rsid w:val="007458A5"/>
    <w:rsid w:val="007458F3"/>
    <w:rsid w:val="00745AB3"/>
    <w:rsid w:val="00745B23"/>
    <w:rsid w:val="00745B31"/>
    <w:rsid w:val="00745B32"/>
    <w:rsid w:val="00745D68"/>
    <w:rsid w:val="00745D95"/>
    <w:rsid w:val="00745E1F"/>
    <w:rsid w:val="00745E76"/>
    <w:rsid w:val="00745F02"/>
    <w:rsid w:val="00745FFA"/>
    <w:rsid w:val="007460A4"/>
    <w:rsid w:val="007460F6"/>
    <w:rsid w:val="00746119"/>
    <w:rsid w:val="00746134"/>
    <w:rsid w:val="00746163"/>
    <w:rsid w:val="00746199"/>
    <w:rsid w:val="0074621F"/>
    <w:rsid w:val="007463A3"/>
    <w:rsid w:val="007463CD"/>
    <w:rsid w:val="007463CE"/>
    <w:rsid w:val="00746405"/>
    <w:rsid w:val="007464AE"/>
    <w:rsid w:val="007464E4"/>
    <w:rsid w:val="00746518"/>
    <w:rsid w:val="00746577"/>
    <w:rsid w:val="007465EE"/>
    <w:rsid w:val="00746649"/>
    <w:rsid w:val="00746753"/>
    <w:rsid w:val="00746767"/>
    <w:rsid w:val="007467FA"/>
    <w:rsid w:val="00746887"/>
    <w:rsid w:val="007468B9"/>
    <w:rsid w:val="00746937"/>
    <w:rsid w:val="00746A0C"/>
    <w:rsid w:val="00746A10"/>
    <w:rsid w:val="00746AAE"/>
    <w:rsid w:val="00746B51"/>
    <w:rsid w:val="00746B5B"/>
    <w:rsid w:val="00746BD0"/>
    <w:rsid w:val="00746C39"/>
    <w:rsid w:val="00746C7E"/>
    <w:rsid w:val="00746C87"/>
    <w:rsid w:val="00746CD1"/>
    <w:rsid w:val="00746D4B"/>
    <w:rsid w:val="00746E16"/>
    <w:rsid w:val="00746E82"/>
    <w:rsid w:val="007470D7"/>
    <w:rsid w:val="00747294"/>
    <w:rsid w:val="007472A8"/>
    <w:rsid w:val="00747302"/>
    <w:rsid w:val="00747334"/>
    <w:rsid w:val="0074738B"/>
    <w:rsid w:val="00747394"/>
    <w:rsid w:val="00747428"/>
    <w:rsid w:val="00747448"/>
    <w:rsid w:val="007474E0"/>
    <w:rsid w:val="007475B3"/>
    <w:rsid w:val="00747664"/>
    <w:rsid w:val="0074779E"/>
    <w:rsid w:val="007477F4"/>
    <w:rsid w:val="00747802"/>
    <w:rsid w:val="00747970"/>
    <w:rsid w:val="0074799D"/>
    <w:rsid w:val="00747A56"/>
    <w:rsid w:val="00747AE9"/>
    <w:rsid w:val="00747B97"/>
    <w:rsid w:val="00747C32"/>
    <w:rsid w:val="00747D09"/>
    <w:rsid w:val="00747D40"/>
    <w:rsid w:val="00747D4F"/>
    <w:rsid w:val="00747D58"/>
    <w:rsid w:val="00747DC7"/>
    <w:rsid w:val="00747DE7"/>
    <w:rsid w:val="00747E77"/>
    <w:rsid w:val="00747EBD"/>
    <w:rsid w:val="00747EE9"/>
    <w:rsid w:val="00747F00"/>
    <w:rsid w:val="00747FA9"/>
    <w:rsid w:val="007500D2"/>
    <w:rsid w:val="00750123"/>
    <w:rsid w:val="00750159"/>
    <w:rsid w:val="007501B3"/>
    <w:rsid w:val="007501BB"/>
    <w:rsid w:val="0075026F"/>
    <w:rsid w:val="00750284"/>
    <w:rsid w:val="007502F6"/>
    <w:rsid w:val="00750317"/>
    <w:rsid w:val="007503F2"/>
    <w:rsid w:val="0075045F"/>
    <w:rsid w:val="007504E8"/>
    <w:rsid w:val="007504F1"/>
    <w:rsid w:val="00750552"/>
    <w:rsid w:val="0075064A"/>
    <w:rsid w:val="00750756"/>
    <w:rsid w:val="007507F3"/>
    <w:rsid w:val="00750860"/>
    <w:rsid w:val="007508C5"/>
    <w:rsid w:val="007508E8"/>
    <w:rsid w:val="00750976"/>
    <w:rsid w:val="0075098D"/>
    <w:rsid w:val="0075099C"/>
    <w:rsid w:val="007509C3"/>
    <w:rsid w:val="00750A17"/>
    <w:rsid w:val="00750B00"/>
    <w:rsid w:val="00750BF8"/>
    <w:rsid w:val="00750C78"/>
    <w:rsid w:val="00750C99"/>
    <w:rsid w:val="00750C9F"/>
    <w:rsid w:val="00750CC4"/>
    <w:rsid w:val="00750E48"/>
    <w:rsid w:val="00750EA2"/>
    <w:rsid w:val="00750F55"/>
    <w:rsid w:val="00750FAC"/>
    <w:rsid w:val="00750FEB"/>
    <w:rsid w:val="00751052"/>
    <w:rsid w:val="007510C5"/>
    <w:rsid w:val="0075111C"/>
    <w:rsid w:val="0075112B"/>
    <w:rsid w:val="007511C9"/>
    <w:rsid w:val="007511DC"/>
    <w:rsid w:val="00751323"/>
    <w:rsid w:val="00751376"/>
    <w:rsid w:val="007513B9"/>
    <w:rsid w:val="007513D7"/>
    <w:rsid w:val="007513DC"/>
    <w:rsid w:val="0075145D"/>
    <w:rsid w:val="0075155A"/>
    <w:rsid w:val="007515C6"/>
    <w:rsid w:val="007515D4"/>
    <w:rsid w:val="007515E8"/>
    <w:rsid w:val="007515EE"/>
    <w:rsid w:val="007516C0"/>
    <w:rsid w:val="0075175A"/>
    <w:rsid w:val="00751776"/>
    <w:rsid w:val="007517BD"/>
    <w:rsid w:val="0075181E"/>
    <w:rsid w:val="0075184D"/>
    <w:rsid w:val="00751852"/>
    <w:rsid w:val="00751876"/>
    <w:rsid w:val="007518A7"/>
    <w:rsid w:val="007518E9"/>
    <w:rsid w:val="0075190D"/>
    <w:rsid w:val="00751973"/>
    <w:rsid w:val="00751A3E"/>
    <w:rsid w:val="00751BB1"/>
    <w:rsid w:val="00751BD2"/>
    <w:rsid w:val="00751BE0"/>
    <w:rsid w:val="00751C25"/>
    <w:rsid w:val="00751CC8"/>
    <w:rsid w:val="00751E14"/>
    <w:rsid w:val="00751E25"/>
    <w:rsid w:val="00751EAD"/>
    <w:rsid w:val="00751ED8"/>
    <w:rsid w:val="00751F05"/>
    <w:rsid w:val="00751F68"/>
    <w:rsid w:val="0075201D"/>
    <w:rsid w:val="0075204E"/>
    <w:rsid w:val="00752067"/>
    <w:rsid w:val="00752094"/>
    <w:rsid w:val="007520B9"/>
    <w:rsid w:val="007521B8"/>
    <w:rsid w:val="007521F4"/>
    <w:rsid w:val="00752204"/>
    <w:rsid w:val="0075228B"/>
    <w:rsid w:val="007522A3"/>
    <w:rsid w:val="00752365"/>
    <w:rsid w:val="00752370"/>
    <w:rsid w:val="007523E6"/>
    <w:rsid w:val="0075240F"/>
    <w:rsid w:val="007525CF"/>
    <w:rsid w:val="007527E7"/>
    <w:rsid w:val="00752951"/>
    <w:rsid w:val="00752A17"/>
    <w:rsid w:val="00752B03"/>
    <w:rsid w:val="00752BD5"/>
    <w:rsid w:val="00752C71"/>
    <w:rsid w:val="00752C7A"/>
    <w:rsid w:val="00752D1C"/>
    <w:rsid w:val="00752D7A"/>
    <w:rsid w:val="00752E0F"/>
    <w:rsid w:val="00752E90"/>
    <w:rsid w:val="00752ECF"/>
    <w:rsid w:val="00752F09"/>
    <w:rsid w:val="00752F2B"/>
    <w:rsid w:val="00752F77"/>
    <w:rsid w:val="00752F8E"/>
    <w:rsid w:val="007530A1"/>
    <w:rsid w:val="007532F2"/>
    <w:rsid w:val="007532F3"/>
    <w:rsid w:val="0075340B"/>
    <w:rsid w:val="00753479"/>
    <w:rsid w:val="007534B9"/>
    <w:rsid w:val="00753534"/>
    <w:rsid w:val="0075354D"/>
    <w:rsid w:val="007535F4"/>
    <w:rsid w:val="0075362E"/>
    <w:rsid w:val="00753727"/>
    <w:rsid w:val="007539A8"/>
    <w:rsid w:val="00753A21"/>
    <w:rsid w:val="00753C99"/>
    <w:rsid w:val="00753CBE"/>
    <w:rsid w:val="00753CC8"/>
    <w:rsid w:val="00753CEF"/>
    <w:rsid w:val="00753D03"/>
    <w:rsid w:val="00753D2D"/>
    <w:rsid w:val="00753DD2"/>
    <w:rsid w:val="00753E12"/>
    <w:rsid w:val="00753E21"/>
    <w:rsid w:val="00753E45"/>
    <w:rsid w:val="00753FB5"/>
    <w:rsid w:val="00754014"/>
    <w:rsid w:val="00754040"/>
    <w:rsid w:val="007540ED"/>
    <w:rsid w:val="007541C1"/>
    <w:rsid w:val="007541FE"/>
    <w:rsid w:val="0075422B"/>
    <w:rsid w:val="00754255"/>
    <w:rsid w:val="00754286"/>
    <w:rsid w:val="0075432C"/>
    <w:rsid w:val="007543EA"/>
    <w:rsid w:val="007543FD"/>
    <w:rsid w:val="00754457"/>
    <w:rsid w:val="007544A4"/>
    <w:rsid w:val="007544A7"/>
    <w:rsid w:val="007544AE"/>
    <w:rsid w:val="007544BD"/>
    <w:rsid w:val="00754505"/>
    <w:rsid w:val="00754548"/>
    <w:rsid w:val="00754587"/>
    <w:rsid w:val="007545B1"/>
    <w:rsid w:val="007545C0"/>
    <w:rsid w:val="00754717"/>
    <w:rsid w:val="00754762"/>
    <w:rsid w:val="0075479B"/>
    <w:rsid w:val="007547C6"/>
    <w:rsid w:val="007549FD"/>
    <w:rsid w:val="00754A15"/>
    <w:rsid w:val="00754A48"/>
    <w:rsid w:val="00754A4D"/>
    <w:rsid w:val="00754A53"/>
    <w:rsid w:val="00754AB8"/>
    <w:rsid w:val="00754B80"/>
    <w:rsid w:val="00754C3E"/>
    <w:rsid w:val="00754D70"/>
    <w:rsid w:val="00754DC8"/>
    <w:rsid w:val="00754DE8"/>
    <w:rsid w:val="00754E28"/>
    <w:rsid w:val="00754EB8"/>
    <w:rsid w:val="00754EE5"/>
    <w:rsid w:val="0075519D"/>
    <w:rsid w:val="0075529F"/>
    <w:rsid w:val="0075530B"/>
    <w:rsid w:val="00755348"/>
    <w:rsid w:val="007553D1"/>
    <w:rsid w:val="007553D7"/>
    <w:rsid w:val="00755409"/>
    <w:rsid w:val="00755457"/>
    <w:rsid w:val="007554A3"/>
    <w:rsid w:val="007554C1"/>
    <w:rsid w:val="00755593"/>
    <w:rsid w:val="00755641"/>
    <w:rsid w:val="00755744"/>
    <w:rsid w:val="00755768"/>
    <w:rsid w:val="007557D9"/>
    <w:rsid w:val="0075589A"/>
    <w:rsid w:val="00755A1B"/>
    <w:rsid w:val="00755A6F"/>
    <w:rsid w:val="00755AD8"/>
    <w:rsid w:val="00755B25"/>
    <w:rsid w:val="00755C10"/>
    <w:rsid w:val="00755C93"/>
    <w:rsid w:val="00755CCC"/>
    <w:rsid w:val="00755D9C"/>
    <w:rsid w:val="00755DD2"/>
    <w:rsid w:val="00755E0E"/>
    <w:rsid w:val="00755EB3"/>
    <w:rsid w:val="00755EC0"/>
    <w:rsid w:val="00755ECC"/>
    <w:rsid w:val="00755FC6"/>
    <w:rsid w:val="007560D7"/>
    <w:rsid w:val="007560E5"/>
    <w:rsid w:val="0075618D"/>
    <w:rsid w:val="007562D2"/>
    <w:rsid w:val="007562E2"/>
    <w:rsid w:val="00756313"/>
    <w:rsid w:val="0075633E"/>
    <w:rsid w:val="00756376"/>
    <w:rsid w:val="0075639B"/>
    <w:rsid w:val="00756473"/>
    <w:rsid w:val="007564AD"/>
    <w:rsid w:val="0075653B"/>
    <w:rsid w:val="00756628"/>
    <w:rsid w:val="0075663B"/>
    <w:rsid w:val="007566AB"/>
    <w:rsid w:val="007566DA"/>
    <w:rsid w:val="0075677C"/>
    <w:rsid w:val="007567D7"/>
    <w:rsid w:val="007567EC"/>
    <w:rsid w:val="00756806"/>
    <w:rsid w:val="00756872"/>
    <w:rsid w:val="00756915"/>
    <w:rsid w:val="00756CB5"/>
    <w:rsid w:val="00756CEF"/>
    <w:rsid w:val="00756D79"/>
    <w:rsid w:val="00756DDE"/>
    <w:rsid w:val="00756EA7"/>
    <w:rsid w:val="00756EE7"/>
    <w:rsid w:val="00756F31"/>
    <w:rsid w:val="00756F67"/>
    <w:rsid w:val="00757014"/>
    <w:rsid w:val="0075703E"/>
    <w:rsid w:val="007571C2"/>
    <w:rsid w:val="007571C6"/>
    <w:rsid w:val="007571F8"/>
    <w:rsid w:val="0075720E"/>
    <w:rsid w:val="00757350"/>
    <w:rsid w:val="00757408"/>
    <w:rsid w:val="007574BD"/>
    <w:rsid w:val="0075750F"/>
    <w:rsid w:val="00757592"/>
    <w:rsid w:val="00757644"/>
    <w:rsid w:val="007576BD"/>
    <w:rsid w:val="00757724"/>
    <w:rsid w:val="00757749"/>
    <w:rsid w:val="00757768"/>
    <w:rsid w:val="0075781C"/>
    <w:rsid w:val="0075788D"/>
    <w:rsid w:val="007578A6"/>
    <w:rsid w:val="007579E1"/>
    <w:rsid w:val="00757A13"/>
    <w:rsid w:val="00757A6D"/>
    <w:rsid w:val="00757A6F"/>
    <w:rsid w:val="00757B9B"/>
    <w:rsid w:val="00757D5B"/>
    <w:rsid w:val="00757E09"/>
    <w:rsid w:val="00757E76"/>
    <w:rsid w:val="00757F1C"/>
    <w:rsid w:val="00757F66"/>
    <w:rsid w:val="00757F7E"/>
    <w:rsid w:val="00757F84"/>
    <w:rsid w:val="00760038"/>
    <w:rsid w:val="007600AD"/>
    <w:rsid w:val="007600C3"/>
    <w:rsid w:val="00760158"/>
    <w:rsid w:val="007601AE"/>
    <w:rsid w:val="007601D4"/>
    <w:rsid w:val="007601E3"/>
    <w:rsid w:val="0076025C"/>
    <w:rsid w:val="00760286"/>
    <w:rsid w:val="0076028A"/>
    <w:rsid w:val="0076028F"/>
    <w:rsid w:val="007603EA"/>
    <w:rsid w:val="00760417"/>
    <w:rsid w:val="00760443"/>
    <w:rsid w:val="00760477"/>
    <w:rsid w:val="00760511"/>
    <w:rsid w:val="00760565"/>
    <w:rsid w:val="00760595"/>
    <w:rsid w:val="007605E6"/>
    <w:rsid w:val="007605EC"/>
    <w:rsid w:val="00760656"/>
    <w:rsid w:val="0076076B"/>
    <w:rsid w:val="007607A5"/>
    <w:rsid w:val="00760828"/>
    <w:rsid w:val="00760877"/>
    <w:rsid w:val="007608EF"/>
    <w:rsid w:val="00760921"/>
    <w:rsid w:val="00760989"/>
    <w:rsid w:val="007609BD"/>
    <w:rsid w:val="007609D0"/>
    <w:rsid w:val="00760A5B"/>
    <w:rsid w:val="00760AE3"/>
    <w:rsid w:val="00760B82"/>
    <w:rsid w:val="00760C2D"/>
    <w:rsid w:val="00760C4E"/>
    <w:rsid w:val="00760D24"/>
    <w:rsid w:val="00760D99"/>
    <w:rsid w:val="00760E90"/>
    <w:rsid w:val="00760F83"/>
    <w:rsid w:val="00760FC9"/>
    <w:rsid w:val="00760FF4"/>
    <w:rsid w:val="00761169"/>
    <w:rsid w:val="0076121A"/>
    <w:rsid w:val="0076124A"/>
    <w:rsid w:val="0076126F"/>
    <w:rsid w:val="0076138F"/>
    <w:rsid w:val="0076139C"/>
    <w:rsid w:val="007613AE"/>
    <w:rsid w:val="00761449"/>
    <w:rsid w:val="00761473"/>
    <w:rsid w:val="00761475"/>
    <w:rsid w:val="007614BD"/>
    <w:rsid w:val="0076151A"/>
    <w:rsid w:val="00761591"/>
    <w:rsid w:val="00761605"/>
    <w:rsid w:val="00761684"/>
    <w:rsid w:val="00761705"/>
    <w:rsid w:val="0076170E"/>
    <w:rsid w:val="0076174C"/>
    <w:rsid w:val="0076175E"/>
    <w:rsid w:val="00761802"/>
    <w:rsid w:val="0076180F"/>
    <w:rsid w:val="00761873"/>
    <w:rsid w:val="00761AC4"/>
    <w:rsid w:val="00761ACC"/>
    <w:rsid w:val="00761B09"/>
    <w:rsid w:val="00761B0C"/>
    <w:rsid w:val="00761B57"/>
    <w:rsid w:val="00761B9B"/>
    <w:rsid w:val="00761C54"/>
    <w:rsid w:val="00761C83"/>
    <w:rsid w:val="00761D2B"/>
    <w:rsid w:val="00761D39"/>
    <w:rsid w:val="00761D5D"/>
    <w:rsid w:val="00761E0D"/>
    <w:rsid w:val="00761ECD"/>
    <w:rsid w:val="00761FA1"/>
    <w:rsid w:val="00761FA7"/>
    <w:rsid w:val="00761FA8"/>
    <w:rsid w:val="007620F9"/>
    <w:rsid w:val="00762100"/>
    <w:rsid w:val="0076216D"/>
    <w:rsid w:val="007621C1"/>
    <w:rsid w:val="007621C4"/>
    <w:rsid w:val="0076223F"/>
    <w:rsid w:val="007622D3"/>
    <w:rsid w:val="00762446"/>
    <w:rsid w:val="007624EE"/>
    <w:rsid w:val="0076255F"/>
    <w:rsid w:val="0076262A"/>
    <w:rsid w:val="00762728"/>
    <w:rsid w:val="00762794"/>
    <w:rsid w:val="007627C7"/>
    <w:rsid w:val="00762842"/>
    <w:rsid w:val="0076294F"/>
    <w:rsid w:val="0076295C"/>
    <w:rsid w:val="0076296A"/>
    <w:rsid w:val="00762978"/>
    <w:rsid w:val="00762ABD"/>
    <w:rsid w:val="00762B75"/>
    <w:rsid w:val="00762BE8"/>
    <w:rsid w:val="00762C96"/>
    <w:rsid w:val="00762CAD"/>
    <w:rsid w:val="00762CEB"/>
    <w:rsid w:val="00762D06"/>
    <w:rsid w:val="00762E4F"/>
    <w:rsid w:val="00762E78"/>
    <w:rsid w:val="00762FEC"/>
    <w:rsid w:val="00762FF0"/>
    <w:rsid w:val="00763077"/>
    <w:rsid w:val="00763134"/>
    <w:rsid w:val="007631C4"/>
    <w:rsid w:val="00763259"/>
    <w:rsid w:val="007632AC"/>
    <w:rsid w:val="007632BF"/>
    <w:rsid w:val="00763341"/>
    <w:rsid w:val="0076347C"/>
    <w:rsid w:val="007634D5"/>
    <w:rsid w:val="00763615"/>
    <w:rsid w:val="00763625"/>
    <w:rsid w:val="007636BB"/>
    <w:rsid w:val="007637AF"/>
    <w:rsid w:val="007637BF"/>
    <w:rsid w:val="007637DE"/>
    <w:rsid w:val="007638AF"/>
    <w:rsid w:val="00763900"/>
    <w:rsid w:val="0076390B"/>
    <w:rsid w:val="00763967"/>
    <w:rsid w:val="00763A1A"/>
    <w:rsid w:val="00763A4B"/>
    <w:rsid w:val="00763AAE"/>
    <w:rsid w:val="00763BB8"/>
    <w:rsid w:val="00763C21"/>
    <w:rsid w:val="00763C42"/>
    <w:rsid w:val="00763CF6"/>
    <w:rsid w:val="00763D40"/>
    <w:rsid w:val="00763D5E"/>
    <w:rsid w:val="00763D72"/>
    <w:rsid w:val="00763DF5"/>
    <w:rsid w:val="00763EDC"/>
    <w:rsid w:val="00764067"/>
    <w:rsid w:val="00764083"/>
    <w:rsid w:val="00764088"/>
    <w:rsid w:val="0076408C"/>
    <w:rsid w:val="0076408E"/>
    <w:rsid w:val="007640EA"/>
    <w:rsid w:val="007641A5"/>
    <w:rsid w:val="00764219"/>
    <w:rsid w:val="00764346"/>
    <w:rsid w:val="0076436E"/>
    <w:rsid w:val="007643AC"/>
    <w:rsid w:val="0076447E"/>
    <w:rsid w:val="007644BC"/>
    <w:rsid w:val="00764578"/>
    <w:rsid w:val="00764676"/>
    <w:rsid w:val="0076470C"/>
    <w:rsid w:val="0076477B"/>
    <w:rsid w:val="0076481E"/>
    <w:rsid w:val="00764832"/>
    <w:rsid w:val="00764836"/>
    <w:rsid w:val="00764866"/>
    <w:rsid w:val="00764868"/>
    <w:rsid w:val="007648C5"/>
    <w:rsid w:val="00764958"/>
    <w:rsid w:val="0076497B"/>
    <w:rsid w:val="007649AD"/>
    <w:rsid w:val="00764A22"/>
    <w:rsid w:val="00764AAD"/>
    <w:rsid w:val="00764AF5"/>
    <w:rsid w:val="00764AF7"/>
    <w:rsid w:val="00764B14"/>
    <w:rsid w:val="00764B35"/>
    <w:rsid w:val="00764B69"/>
    <w:rsid w:val="00764C3E"/>
    <w:rsid w:val="00764CAF"/>
    <w:rsid w:val="00764D7D"/>
    <w:rsid w:val="00764DAE"/>
    <w:rsid w:val="00764E11"/>
    <w:rsid w:val="00764EBA"/>
    <w:rsid w:val="00764ED1"/>
    <w:rsid w:val="00764EEC"/>
    <w:rsid w:val="00764EEF"/>
    <w:rsid w:val="00764FD7"/>
    <w:rsid w:val="00765046"/>
    <w:rsid w:val="00765063"/>
    <w:rsid w:val="00765104"/>
    <w:rsid w:val="00765109"/>
    <w:rsid w:val="0076513A"/>
    <w:rsid w:val="00765164"/>
    <w:rsid w:val="00765185"/>
    <w:rsid w:val="007651FD"/>
    <w:rsid w:val="00765276"/>
    <w:rsid w:val="007652D6"/>
    <w:rsid w:val="007652EF"/>
    <w:rsid w:val="0076531B"/>
    <w:rsid w:val="007653E5"/>
    <w:rsid w:val="00765511"/>
    <w:rsid w:val="00765592"/>
    <w:rsid w:val="007655C0"/>
    <w:rsid w:val="00765661"/>
    <w:rsid w:val="0076568E"/>
    <w:rsid w:val="0076577B"/>
    <w:rsid w:val="007657FD"/>
    <w:rsid w:val="0076586D"/>
    <w:rsid w:val="00765878"/>
    <w:rsid w:val="0076588E"/>
    <w:rsid w:val="007658BF"/>
    <w:rsid w:val="0076594C"/>
    <w:rsid w:val="00765999"/>
    <w:rsid w:val="007659B8"/>
    <w:rsid w:val="007659BD"/>
    <w:rsid w:val="007659D0"/>
    <w:rsid w:val="00765A60"/>
    <w:rsid w:val="00765A7C"/>
    <w:rsid w:val="00765B93"/>
    <w:rsid w:val="00765C01"/>
    <w:rsid w:val="00765C3A"/>
    <w:rsid w:val="00765C81"/>
    <w:rsid w:val="00765CF0"/>
    <w:rsid w:val="00765D0E"/>
    <w:rsid w:val="00765D0F"/>
    <w:rsid w:val="00765D6E"/>
    <w:rsid w:val="00765D71"/>
    <w:rsid w:val="00765DCF"/>
    <w:rsid w:val="00765E7B"/>
    <w:rsid w:val="00765E7E"/>
    <w:rsid w:val="00765F34"/>
    <w:rsid w:val="00765F63"/>
    <w:rsid w:val="00765F9A"/>
    <w:rsid w:val="00765FBC"/>
    <w:rsid w:val="00765FE3"/>
    <w:rsid w:val="00766033"/>
    <w:rsid w:val="0076610D"/>
    <w:rsid w:val="0076613D"/>
    <w:rsid w:val="0076614F"/>
    <w:rsid w:val="00766209"/>
    <w:rsid w:val="007662D7"/>
    <w:rsid w:val="0076642B"/>
    <w:rsid w:val="00766435"/>
    <w:rsid w:val="0076647C"/>
    <w:rsid w:val="00766531"/>
    <w:rsid w:val="007665C2"/>
    <w:rsid w:val="007665D8"/>
    <w:rsid w:val="007666E3"/>
    <w:rsid w:val="0076670F"/>
    <w:rsid w:val="0076675C"/>
    <w:rsid w:val="007667C9"/>
    <w:rsid w:val="007667E4"/>
    <w:rsid w:val="00766805"/>
    <w:rsid w:val="00766898"/>
    <w:rsid w:val="007668D0"/>
    <w:rsid w:val="007668E0"/>
    <w:rsid w:val="007668F8"/>
    <w:rsid w:val="00766988"/>
    <w:rsid w:val="007669C6"/>
    <w:rsid w:val="00766A05"/>
    <w:rsid w:val="00766A1D"/>
    <w:rsid w:val="00766B55"/>
    <w:rsid w:val="00766C47"/>
    <w:rsid w:val="00766D4C"/>
    <w:rsid w:val="00766E4F"/>
    <w:rsid w:val="00766E5C"/>
    <w:rsid w:val="00766E70"/>
    <w:rsid w:val="00766F02"/>
    <w:rsid w:val="00766F4E"/>
    <w:rsid w:val="00766F58"/>
    <w:rsid w:val="00767059"/>
    <w:rsid w:val="0076705F"/>
    <w:rsid w:val="007670BC"/>
    <w:rsid w:val="00767247"/>
    <w:rsid w:val="0076725C"/>
    <w:rsid w:val="0076726C"/>
    <w:rsid w:val="00767296"/>
    <w:rsid w:val="007673E7"/>
    <w:rsid w:val="0076746F"/>
    <w:rsid w:val="0076753A"/>
    <w:rsid w:val="00767672"/>
    <w:rsid w:val="00767690"/>
    <w:rsid w:val="00767714"/>
    <w:rsid w:val="00767739"/>
    <w:rsid w:val="0076776C"/>
    <w:rsid w:val="007677CA"/>
    <w:rsid w:val="00767879"/>
    <w:rsid w:val="00767912"/>
    <w:rsid w:val="00767969"/>
    <w:rsid w:val="00767A0A"/>
    <w:rsid w:val="00767A17"/>
    <w:rsid w:val="00767BE6"/>
    <w:rsid w:val="00767C4C"/>
    <w:rsid w:val="00767C79"/>
    <w:rsid w:val="00767C7B"/>
    <w:rsid w:val="00767C94"/>
    <w:rsid w:val="00767CAD"/>
    <w:rsid w:val="00767CD8"/>
    <w:rsid w:val="00767DBD"/>
    <w:rsid w:val="00767DD1"/>
    <w:rsid w:val="00767F60"/>
    <w:rsid w:val="00770021"/>
    <w:rsid w:val="00770078"/>
    <w:rsid w:val="00770085"/>
    <w:rsid w:val="00770087"/>
    <w:rsid w:val="007700B7"/>
    <w:rsid w:val="0077015F"/>
    <w:rsid w:val="007701ED"/>
    <w:rsid w:val="007701F6"/>
    <w:rsid w:val="00770232"/>
    <w:rsid w:val="00770250"/>
    <w:rsid w:val="0077030D"/>
    <w:rsid w:val="00770312"/>
    <w:rsid w:val="00770319"/>
    <w:rsid w:val="0077038E"/>
    <w:rsid w:val="00770471"/>
    <w:rsid w:val="007704DD"/>
    <w:rsid w:val="00770515"/>
    <w:rsid w:val="0077056E"/>
    <w:rsid w:val="00770595"/>
    <w:rsid w:val="00770598"/>
    <w:rsid w:val="007705A7"/>
    <w:rsid w:val="00770682"/>
    <w:rsid w:val="007706CD"/>
    <w:rsid w:val="00770801"/>
    <w:rsid w:val="00770903"/>
    <w:rsid w:val="007709C3"/>
    <w:rsid w:val="00770A1A"/>
    <w:rsid w:val="00770A2E"/>
    <w:rsid w:val="00770A7C"/>
    <w:rsid w:val="00770ADA"/>
    <w:rsid w:val="00770B3A"/>
    <w:rsid w:val="00770BFD"/>
    <w:rsid w:val="00770C7C"/>
    <w:rsid w:val="00770C7D"/>
    <w:rsid w:val="00770D81"/>
    <w:rsid w:val="00770E6E"/>
    <w:rsid w:val="00770ECC"/>
    <w:rsid w:val="00770ED3"/>
    <w:rsid w:val="00770ED8"/>
    <w:rsid w:val="00770F6D"/>
    <w:rsid w:val="00770F82"/>
    <w:rsid w:val="00770FD0"/>
    <w:rsid w:val="007710CD"/>
    <w:rsid w:val="007712E2"/>
    <w:rsid w:val="00771341"/>
    <w:rsid w:val="007713C2"/>
    <w:rsid w:val="007713D9"/>
    <w:rsid w:val="0077140C"/>
    <w:rsid w:val="007714B4"/>
    <w:rsid w:val="007714D2"/>
    <w:rsid w:val="007715AC"/>
    <w:rsid w:val="0077160E"/>
    <w:rsid w:val="0077168F"/>
    <w:rsid w:val="00771697"/>
    <w:rsid w:val="007716E8"/>
    <w:rsid w:val="00771727"/>
    <w:rsid w:val="00771779"/>
    <w:rsid w:val="00771789"/>
    <w:rsid w:val="00771853"/>
    <w:rsid w:val="0077188A"/>
    <w:rsid w:val="0077191A"/>
    <w:rsid w:val="007719D4"/>
    <w:rsid w:val="00771A28"/>
    <w:rsid w:val="00771A97"/>
    <w:rsid w:val="00771B92"/>
    <w:rsid w:val="00771BC6"/>
    <w:rsid w:val="00771BD2"/>
    <w:rsid w:val="00771C89"/>
    <w:rsid w:val="00771CA4"/>
    <w:rsid w:val="00771D16"/>
    <w:rsid w:val="00771DF5"/>
    <w:rsid w:val="00771E31"/>
    <w:rsid w:val="00771E41"/>
    <w:rsid w:val="00771E4C"/>
    <w:rsid w:val="00771E91"/>
    <w:rsid w:val="00771F08"/>
    <w:rsid w:val="00771F59"/>
    <w:rsid w:val="00771F9B"/>
    <w:rsid w:val="007720ED"/>
    <w:rsid w:val="00772138"/>
    <w:rsid w:val="00772185"/>
    <w:rsid w:val="007721F2"/>
    <w:rsid w:val="00772253"/>
    <w:rsid w:val="007722D7"/>
    <w:rsid w:val="00772323"/>
    <w:rsid w:val="00772370"/>
    <w:rsid w:val="00772401"/>
    <w:rsid w:val="0077266A"/>
    <w:rsid w:val="007726F5"/>
    <w:rsid w:val="00772755"/>
    <w:rsid w:val="007727BC"/>
    <w:rsid w:val="00772869"/>
    <w:rsid w:val="00772897"/>
    <w:rsid w:val="007728D8"/>
    <w:rsid w:val="00772910"/>
    <w:rsid w:val="0077293B"/>
    <w:rsid w:val="007729F1"/>
    <w:rsid w:val="00772A6F"/>
    <w:rsid w:val="00772A72"/>
    <w:rsid w:val="00772A7B"/>
    <w:rsid w:val="00772AEE"/>
    <w:rsid w:val="00772AF7"/>
    <w:rsid w:val="00772B25"/>
    <w:rsid w:val="00772BA8"/>
    <w:rsid w:val="00772C1D"/>
    <w:rsid w:val="00772C2C"/>
    <w:rsid w:val="00772C9F"/>
    <w:rsid w:val="00772D2F"/>
    <w:rsid w:val="00772D66"/>
    <w:rsid w:val="00772D91"/>
    <w:rsid w:val="00772DF3"/>
    <w:rsid w:val="00773170"/>
    <w:rsid w:val="00773179"/>
    <w:rsid w:val="00773298"/>
    <w:rsid w:val="007732E3"/>
    <w:rsid w:val="007732E9"/>
    <w:rsid w:val="00773308"/>
    <w:rsid w:val="0077336C"/>
    <w:rsid w:val="0077337D"/>
    <w:rsid w:val="00773393"/>
    <w:rsid w:val="007733C6"/>
    <w:rsid w:val="0077344F"/>
    <w:rsid w:val="007734A3"/>
    <w:rsid w:val="007734DC"/>
    <w:rsid w:val="00773534"/>
    <w:rsid w:val="00773536"/>
    <w:rsid w:val="00773651"/>
    <w:rsid w:val="0077374C"/>
    <w:rsid w:val="00773768"/>
    <w:rsid w:val="007737CC"/>
    <w:rsid w:val="007737DC"/>
    <w:rsid w:val="00773812"/>
    <w:rsid w:val="0077383F"/>
    <w:rsid w:val="00773892"/>
    <w:rsid w:val="00773948"/>
    <w:rsid w:val="00773A40"/>
    <w:rsid w:val="00773A7D"/>
    <w:rsid w:val="00773B4D"/>
    <w:rsid w:val="00773BE2"/>
    <w:rsid w:val="00773F24"/>
    <w:rsid w:val="00773FCA"/>
    <w:rsid w:val="00774001"/>
    <w:rsid w:val="00774005"/>
    <w:rsid w:val="0077403A"/>
    <w:rsid w:val="0077403B"/>
    <w:rsid w:val="00774044"/>
    <w:rsid w:val="007740A6"/>
    <w:rsid w:val="0077420B"/>
    <w:rsid w:val="00774277"/>
    <w:rsid w:val="007742F6"/>
    <w:rsid w:val="007742F8"/>
    <w:rsid w:val="0077434C"/>
    <w:rsid w:val="00774378"/>
    <w:rsid w:val="007743E8"/>
    <w:rsid w:val="0077440F"/>
    <w:rsid w:val="00774477"/>
    <w:rsid w:val="0077450E"/>
    <w:rsid w:val="00774514"/>
    <w:rsid w:val="0077456F"/>
    <w:rsid w:val="00774574"/>
    <w:rsid w:val="007745B4"/>
    <w:rsid w:val="00774612"/>
    <w:rsid w:val="00774665"/>
    <w:rsid w:val="00774704"/>
    <w:rsid w:val="0077470C"/>
    <w:rsid w:val="0077478B"/>
    <w:rsid w:val="0077478D"/>
    <w:rsid w:val="007748E2"/>
    <w:rsid w:val="0077492A"/>
    <w:rsid w:val="007749DA"/>
    <w:rsid w:val="007749E8"/>
    <w:rsid w:val="00774A0D"/>
    <w:rsid w:val="00774A39"/>
    <w:rsid w:val="00774A6D"/>
    <w:rsid w:val="00774B83"/>
    <w:rsid w:val="00774C3C"/>
    <w:rsid w:val="00774C4A"/>
    <w:rsid w:val="00774C5B"/>
    <w:rsid w:val="00774DA7"/>
    <w:rsid w:val="00774DA8"/>
    <w:rsid w:val="00774DFC"/>
    <w:rsid w:val="00774E00"/>
    <w:rsid w:val="00774E22"/>
    <w:rsid w:val="00774F1E"/>
    <w:rsid w:val="00774F24"/>
    <w:rsid w:val="00774F9B"/>
    <w:rsid w:val="00774FB7"/>
    <w:rsid w:val="00775030"/>
    <w:rsid w:val="00775047"/>
    <w:rsid w:val="00775059"/>
    <w:rsid w:val="00775070"/>
    <w:rsid w:val="00775078"/>
    <w:rsid w:val="007750C0"/>
    <w:rsid w:val="0077522A"/>
    <w:rsid w:val="00775236"/>
    <w:rsid w:val="007752BB"/>
    <w:rsid w:val="00775380"/>
    <w:rsid w:val="007753A0"/>
    <w:rsid w:val="007753A6"/>
    <w:rsid w:val="007753C2"/>
    <w:rsid w:val="0077545B"/>
    <w:rsid w:val="0077552F"/>
    <w:rsid w:val="00775596"/>
    <w:rsid w:val="00775658"/>
    <w:rsid w:val="00775711"/>
    <w:rsid w:val="00775883"/>
    <w:rsid w:val="007758E5"/>
    <w:rsid w:val="007759CE"/>
    <w:rsid w:val="00775A58"/>
    <w:rsid w:val="00775A95"/>
    <w:rsid w:val="00775A98"/>
    <w:rsid w:val="00775ABB"/>
    <w:rsid w:val="00775AE5"/>
    <w:rsid w:val="00775B6F"/>
    <w:rsid w:val="00775BE2"/>
    <w:rsid w:val="00775DCD"/>
    <w:rsid w:val="00775E2E"/>
    <w:rsid w:val="00775E40"/>
    <w:rsid w:val="00776009"/>
    <w:rsid w:val="00776026"/>
    <w:rsid w:val="007760A7"/>
    <w:rsid w:val="00776176"/>
    <w:rsid w:val="00776187"/>
    <w:rsid w:val="007761F4"/>
    <w:rsid w:val="007761F5"/>
    <w:rsid w:val="0077621B"/>
    <w:rsid w:val="00776233"/>
    <w:rsid w:val="0077625B"/>
    <w:rsid w:val="007762E1"/>
    <w:rsid w:val="00776304"/>
    <w:rsid w:val="00776317"/>
    <w:rsid w:val="007763B8"/>
    <w:rsid w:val="007763C8"/>
    <w:rsid w:val="007763E7"/>
    <w:rsid w:val="007764CF"/>
    <w:rsid w:val="007764F4"/>
    <w:rsid w:val="00776504"/>
    <w:rsid w:val="007765BF"/>
    <w:rsid w:val="00776619"/>
    <w:rsid w:val="0077667D"/>
    <w:rsid w:val="00776688"/>
    <w:rsid w:val="0077672E"/>
    <w:rsid w:val="00776770"/>
    <w:rsid w:val="007767BD"/>
    <w:rsid w:val="00776878"/>
    <w:rsid w:val="007768E4"/>
    <w:rsid w:val="007768E6"/>
    <w:rsid w:val="00776A0C"/>
    <w:rsid w:val="00776A65"/>
    <w:rsid w:val="00776AC4"/>
    <w:rsid w:val="00776B8C"/>
    <w:rsid w:val="00776CE0"/>
    <w:rsid w:val="00776E2C"/>
    <w:rsid w:val="00776FCB"/>
    <w:rsid w:val="00777006"/>
    <w:rsid w:val="0077706F"/>
    <w:rsid w:val="0077709A"/>
    <w:rsid w:val="0077724C"/>
    <w:rsid w:val="00777268"/>
    <w:rsid w:val="00777298"/>
    <w:rsid w:val="00777313"/>
    <w:rsid w:val="00777372"/>
    <w:rsid w:val="007773F3"/>
    <w:rsid w:val="00777558"/>
    <w:rsid w:val="007775A5"/>
    <w:rsid w:val="007776B8"/>
    <w:rsid w:val="0077776C"/>
    <w:rsid w:val="0077783E"/>
    <w:rsid w:val="0077784F"/>
    <w:rsid w:val="007778F4"/>
    <w:rsid w:val="0077792C"/>
    <w:rsid w:val="0077793D"/>
    <w:rsid w:val="007779BF"/>
    <w:rsid w:val="00777A5D"/>
    <w:rsid w:val="00777A82"/>
    <w:rsid w:val="00777AF5"/>
    <w:rsid w:val="00777B31"/>
    <w:rsid w:val="00777B4D"/>
    <w:rsid w:val="00777B69"/>
    <w:rsid w:val="00777BA1"/>
    <w:rsid w:val="00777C28"/>
    <w:rsid w:val="00777CD6"/>
    <w:rsid w:val="00777D33"/>
    <w:rsid w:val="00777DCC"/>
    <w:rsid w:val="00777EE2"/>
    <w:rsid w:val="00777F58"/>
    <w:rsid w:val="00777FF0"/>
    <w:rsid w:val="00780017"/>
    <w:rsid w:val="007800EA"/>
    <w:rsid w:val="00780161"/>
    <w:rsid w:val="007803AA"/>
    <w:rsid w:val="007803AB"/>
    <w:rsid w:val="007803AC"/>
    <w:rsid w:val="00780473"/>
    <w:rsid w:val="00780491"/>
    <w:rsid w:val="007804B9"/>
    <w:rsid w:val="007804F3"/>
    <w:rsid w:val="0078061A"/>
    <w:rsid w:val="00780641"/>
    <w:rsid w:val="0078065E"/>
    <w:rsid w:val="007806C8"/>
    <w:rsid w:val="007806F2"/>
    <w:rsid w:val="0078072C"/>
    <w:rsid w:val="0078078B"/>
    <w:rsid w:val="00780811"/>
    <w:rsid w:val="00780828"/>
    <w:rsid w:val="007808D2"/>
    <w:rsid w:val="007809FD"/>
    <w:rsid w:val="00780A34"/>
    <w:rsid w:val="00780A46"/>
    <w:rsid w:val="00780B23"/>
    <w:rsid w:val="00780BEE"/>
    <w:rsid w:val="00780CDD"/>
    <w:rsid w:val="00780CF6"/>
    <w:rsid w:val="00780D69"/>
    <w:rsid w:val="00780DF6"/>
    <w:rsid w:val="00780E12"/>
    <w:rsid w:val="00780EDA"/>
    <w:rsid w:val="00780F20"/>
    <w:rsid w:val="0078102D"/>
    <w:rsid w:val="00781061"/>
    <w:rsid w:val="007810DE"/>
    <w:rsid w:val="007810ED"/>
    <w:rsid w:val="007810EF"/>
    <w:rsid w:val="00781258"/>
    <w:rsid w:val="00781407"/>
    <w:rsid w:val="007814BF"/>
    <w:rsid w:val="007814D6"/>
    <w:rsid w:val="007814EE"/>
    <w:rsid w:val="00781556"/>
    <w:rsid w:val="0078169A"/>
    <w:rsid w:val="007816B3"/>
    <w:rsid w:val="007816E3"/>
    <w:rsid w:val="007816F7"/>
    <w:rsid w:val="007817C6"/>
    <w:rsid w:val="007817CD"/>
    <w:rsid w:val="007817D9"/>
    <w:rsid w:val="00781A4F"/>
    <w:rsid w:val="00781B5B"/>
    <w:rsid w:val="00781B67"/>
    <w:rsid w:val="00781BDB"/>
    <w:rsid w:val="00781C01"/>
    <w:rsid w:val="00781C59"/>
    <w:rsid w:val="00781C6D"/>
    <w:rsid w:val="00781C89"/>
    <w:rsid w:val="00781CBE"/>
    <w:rsid w:val="00781D3B"/>
    <w:rsid w:val="00781E18"/>
    <w:rsid w:val="00781E20"/>
    <w:rsid w:val="00781E93"/>
    <w:rsid w:val="00781FDF"/>
    <w:rsid w:val="0078206F"/>
    <w:rsid w:val="00782157"/>
    <w:rsid w:val="00782254"/>
    <w:rsid w:val="00782258"/>
    <w:rsid w:val="0078227E"/>
    <w:rsid w:val="007822AF"/>
    <w:rsid w:val="007822BE"/>
    <w:rsid w:val="007822C7"/>
    <w:rsid w:val="00782365"/>
    <w:rsid w:val="00782382"/>
    <w:rsid w:val="00782410"/>
    <w:rsid w:val="00782437"/>
    <w:rsid w:val="0078250A"/>
    <w:rsid w:val="00782592"/>
    <w:rsid w:val="00782597"/>
    <w:rsid w:val="007825F3"/>
    <w:rsid w:val="007826A3"/>
    <w:rsid w:val="007826A4"/>
    <w:rsid w:val="007826AB"/>
    <w:rsid w:val="007826B2"/>
    <w:rsid w:val="00782721"/>
    <w:rsid w:val="00782787"/>
    <w:rsid w:val="0078281F"/>
    <w:rsid w:val="00782847"/>
    <w:rsid w:val="00782877"/>
    <w:rsid w:val="00782921"/>
    <w:rsid w:val="007829BC"/>
    <w:rsid w:val="00782A9B"/>
    <w:rsid w:val="00782AAE"/>
    <w:rsid w:val="00782BC0"/>
    <w:rsid w:val="00782C08"/>
    <w:rsid w:val="00782C92"/>
    <w:rsid w:val="00782CA5"/>
    <w:rsid w:val="00782CC4"/>
    <w:rsid w:val="00782CF7"/>
    <w:rsid w:val="00782E0E"/>
    <w:rsid w:val="00782E2C"/>
    <w:rsid w:val="00782F0A"/>
    <w:rsid w:val="00782F39"/>
    <w:rsid w:val="0078314B"/>
    <w:rsid w:val="00783174"/>
    <w:rsid w:val="007831CE"/>
    <w:rsid w:val="00783234"/>
    <w:rsid w:val="00783264"/>
    <w:rsid w:val="00783359"/>
    <w:rsid w:val="0078336B"/>
    <w:rsid w:val="00783463"/>
    <w:rsid w:val="00783583"/>
    <w:rsid w:val="007835C6"/>
    <w:rsid w:val="00783610"/>
    <w:rsid w:val="00783634"/>
    <w:rsid w:val="00783644"/>
    <w:rsid w:val="00783683"/>
    <w:rsid w:val="0078369D"/>
    <w:rsid w:val="0078376C"/>
    <w:rsid w:val="00783824"/>
    <w:rsid w:val="0078387A"/>
    <w:rsid w:val="007838A5"/>
    <w:rsid w:val="007838F2"/>
    <w:rsid w:val="0078390D"/>
    <w:rsid w:val="0078397E"/>
    <w:rsid w:val="007839CC"/>
    <w:rsid w:val="007839E0"/>
    <w:rsid w:val="00783A15"/>
    <w:rsid w:val="00783ADE"/>
    <w:rsid w:val="00783B30"/>
    <w:rsid w:val="00783B99"/>
    <w:rsid w:val="00783BC0"/>
    <w:rsid w:val="00783BC1"/>
    <w:rsid w:val="00783CCB"/>
    <w:rsid w:val="00783CF6"/>
    <w:rsid w:val="00783D32"/>
    <w:rsid w:val="00783DAF"/>
    <w:rsid w:val="00783DC8"/>
    <w:rsid w:val="00783E85"/>
    <w:rsid w:val="00783F25"/>
    <w:rsid w:val="00783F98"/>
    <w:rsid w:val="00783FB7"/>
    <w:rsid w:val="00783FE8"/>
    <w:rsid w:val="007840D0"/>
    <w:rsid w:val="0078411D"/>
    <w:rsid w:val="007841B1"/>
    <w:rsid w:val="00784228"/>
    <w:rsid w:val="00784289"/>
    <w:rsid w:val="007842FF"/>
    <w:rsid w:val="00784376"/>
    <w:rsid w:val="0078438D"/>
    <w:rsid w:val="0078441B"/>
    <w:rsid w:val="00784471"/>
    <w:rsid w:val="0078448B"/>
    <w:rsid w:val="007844A0"/>
    <w:rsid w:val="007844A8"/>
    <w:rsid w:val="007845B5"/>
    <w:rsid w:val="007845CA"/>
    <w:rsid w:val="00784638"/>
    <w:rsid w:val="007847B0"/>
    <w:rsid w:val="00784800"/>
    <w:rsid w:val="0078481C"/>
    <w:rsid w:val="00784862"/>
    <w:rsid w:val="00784881"/>
    <w:rsid w:val="007848C4"/>
    <w:rsid w:val="007848C9"/>
    <w:rsid w:val="00784964"/>
    <w:rsid w:val="00784973"/>
    <w:rsid w:val="00784976"/>
    <w:rsid w:val="007849B2"/>
    <w:rsid w:val="00784A02"/>
    <w:rsid w:val="00784A11"/>
    <w:rsid w:val="00784A2B"/>
    <w:rsid w:val="00784A4E"/>
    <w:rsid w:val="00784AAA"/>
    <w:rsid w:val="00784AD1"/>
    <w:rsid w:val="00784B56"/>
    <w:rsid w:val="00784C03"/>
    <w:rsid w:val="00784C06"/>
    <w:rsid w:val="00784C18"/>
    <w:rsid w:val="00784C2E"/>
    <w:rsid w:val="00784D54"/>
    <w:rsid w:val="00784D5C"/>
    <w:rsid w:val="00784D82"/>
    <w:rsid w:val="00784DC8"/>
    <w:rsid w:val="00784DFE"/>
    <w:rsid w:val="00784EAC"/>
    <w:rsid w:val="00784F77"/>
    <w:rsid w:val="00784F98"/>
    <w:rsid w:val="00784FB0"/>
    <w:rsid w:val="0078508B"/>
    <w:rsid w:val="00785146"/>
    <w:rsid w:val="00785207"/>
    <w:rsid w:val="0078527C"/>
    <w:rsid w:val="00785291"/>
    <w:rsid w:val="007852A1"/>
    <w:rsid w:val="0078538F"/>
    <w:rsid w:val="007853AC"/>
    <w:rsid w:val="007853F3"/>
    <w:rsid w:val="007854C1"/>
    <w:rsid w:val="0078558B"/>
    <w:rsid w:val="0078580D"/>
    <w:rsid w:val="00785827"/>
    <w:rsid w:val="00785881"/>
    <w:rsid w:val="00785889"/>
    <w:rsid w:val="00785896"/>
    <w:rsid w:val="00785A7F"/>
    <w:rsid w:val="00785AC6"/>
    <w:rsid w:val="00785B6F"/>
    <w:rsid w:val="00785B98"/>
    <w:rsid w:val="00785C2C"/>
    <w:rsid w:val="00785CCB"/>
    <w:rsid w:val="00785D63"/>
    <w:rsid w:val="00785DB7"/>
    <w:rsid w:val="00785DD7"/>
    <w:rsid w:val="00785DDA"/>
    <w:rsid w:val="00785DEF"/>
    <w:rsid w:val="00785EBB"/>
    <w:rsid w:val="00785F16"/>
    <w:rsid w:val="00785F1A"/>
    <w:rsid w:val="00785F38"/>
    <w:rsid w:val="00785F4F"/>
    <w:rsid w:val="00785FFA"/>
    <w:rsid w:val="00786004"/>
    <w:rsid w:val="00786042"/>
    <w:rsid w:val="00786103"/>
    <w:rsid w:val="007863B7"/>
    <w:rsid w:val="007863B9"/>
    <w:rsid w:val="007863CC"/>
    <w:rsid w:val="0078640F"/>
    <w:rsid w:val="0078642C"/>
    <w:rsid w:val="0078658E"/>
    <w:rsid w:val="007865C4"/>
    <w:rsid w:val="00786611"/>
    <w:rsid w:val="00786667"/>
    <w:rsid w:val="0078666E"/>
    <w:rsid w:val="00786696"/>
    <w:rsid w:val="00786698"/>
    <w:rsid w:val="007866C0"/>
    <w:rsid w:val="00786771"/>
    <w:rsid w:val="0078685D"/>
    <w:rsid w:val="00786896"/>
    <w:rsid w:val="007868F2"/>
    <w:rsid w:val="007869F7"/>
    <w:rsid w:val="00786A04"/>
    <w:rsid w:val="00786A0C"/>
    <w:rsid w:val="00786B55"/>
    <w:rsid w:val="00786BAB"/>
    <w:rsid w:val="00786C58"/>
    <w:rsid w:val="00786D3A"/>
    <w:rsid w:val="00786D91"/>
    <w:rsid w:val="00786E84"/>
    <w:rsid w:val="00787112"/>
    <w:rsid w:val="0078716E"/>
    <w:rsid w:val="0078719B"/>
    <w:rsid w:val="007871D2"/>
    <w:rsid w:val="00787303"/>
    <w:rsid w:val="007873B7"/>
    <w:rsid w:val="00787417"/>
    <w:rsid w:val="00787516"/>
    <w:rsid w:val="0078754A"/>
    <w:rsid w:val="00787560"/>
    <w:rsid w:val="00787659"/>
    <w:rsid w:val="0078768E"/>
    <w:rsid w:val="0078776F"/>
    <w:rsid w:val="00787792"/>
    <w:rsid w:val="0078794A"/>
    <w:rsid w:val="007879DB"/>
    <w:rsid w:val="00787A52"/>
    <w:rsid w:val="00787AAF"/>
    <w:rsid w:val="00787AC3"/>
    <w:rsid w:val="00787AE8"/>
    <w:rsid w:val="00787BCF"/>
    <w:rsid w:val="00787C3D"/>
    <w:rsid w:val="00787C56"/>
    <w:rsid w:val="00787D97"/>
    <w:rsid w:val="00787DFB"/>
    <w:rsid w:val="00787E5B"/>
    <w:rsid w:val="00787E6A"/>
    <w:rsid w:val="00787F30"/>
    <w:rsid w:val="00787F9C"/>
    <w:rsid w:val="00787FF7"/>
    <w:rsid w:val="007902AE"/>
    <w:rsid w:val="007903B6"/>
    <w:rsid w:val="007903D7"/>
    <w:rsid w:val="00790496"/>
    <w:rsid w:val="0079052C"/>
    <w:rsid w:val="0079054E"/>
    <w:rsid w:val="007905A7"/>
    <w:rsid w:val="007905B8"/>
    <w:rsid w:val="007906B7"/>
    <w:rsid w:val="007906DC"/>
    <w:rsid w:val="007906FB"/>
    <w:rsid w:val="007907BB"/>
    <w:rsid w:val="00790891"/>
    <w:rsid w:val="007908E9"/>
    <w:rsid w:val="00790990"/>
    <w:rsid w:val="00790A63"/>
    <w:rsid w:val="00790B06"/>
    <w:rsid w:val="00790BED"/>
    <w:rsid w:val="00790C21"/>
    <w:rsid w:val="00790C3A"/>
    <w:rsid w:val="00790C3F"/>
    <w:rsid w:val="00790C4C"/>
    <w:rsid w:val="00790CFE"/>
    <w:rsid w:val="00790DD2"/>
    <w:rsid w:val="00790E1A"/>
    <w:rsid w:val="00790E8E"/>
    <w:rsid w:val="00790EC8"/>
    <w:rsid w:val="00790F1C"/>
    <w:rsid w:val="00790F49"/>
    <w:rsid w:val="00791019"/>
    <w:rsid w:val="00791027"/>
    <w:rsid w:val="007910B8"/>
    <w:rsid w:val="007910BA"/>
    <w:rsid w:val="0079113A"/>
    <w:rsid w:val="0079115A"/>
    <w:rsid w:val="007911B4"/>
    <w:rsid w:val="007911BC"/>
    <w:rsid w:val="0079125B"/>
    <w:rsid w:val="007912BC"/>
    <w:rsid w:val="007912C0"/>
    <w:rsid w:val="00791341"/>
    <w:rsid w:val="00791469"/>
    <w:rsid w:val="007914E7"/>
    <w:rsid w:val="007915B0"/>
    <w:rsid w:val="007915B4"/>
    <w:rsid w:val="00791647"/>
    <w:rsid w:val="00791676"/>
    <w:rsid w:val="007916B1"/>
    <w:rsid w:val="00791705"/>
    <w:rsid w:val="00791776"/>
    <w:rsid w:val="007917A6"/>
    <w:rsid w:val="00791845"/>
    <w:rsid w:val="007918BD"/>
    <w:rsid w:val="00791920"/>
    <w:rsid w:val="00791971"/>
    <w:rsid w:val="007919BE"/>
    <w:rsid w:val="00791B17"/>
    <w:rsid w:val="00791B56"/>
    <w:rsid w:val="00791B58"/>
    <w:rsid w:val="00791C41"/>
    <w:rsid w:val="00791C54"/>
    <w:rsid w:val="00791C81"/>
    <w:rsid w:val="00791CD4"/>
    <w:rsid w:val="00791CFF"/>
    <w:rsid w:val="00791E12"/>
    <w:rsid w:val="00791E80"/>
    <w:rsid w:val="00791E9A"/>
    <w:rsid w:val="00791EF6"/>
    <w:rsid w:val="00791F18"/>
    <w:rsid w:val="007920E5"/>
    <w:rsid w:val="0079213F"/>
    <w:rsid w:val="007921D0"/>
    <w:rsid w:val="00792293"/>
    <w:rsid w:val="0079229C"/>
    <w:rsid w:val="007922AE"/>
    <w:rsid w:val="007922B7"/>
    <w:rsid w:val="007922B8"/>
    <w:rsid w:val="007922CB"/>
    <w:rsid w:val="007922E7"/>
    <w:rsid w:val="007922E8"/>
    <w:rsid w:val="0079244F"/>
    <w:rsid w:val="0079248B"/>
    <w:rsid w:val="007924D0"/>
    <w:rsid w:val="0079250E"/>
    <w:rsid w:val="00792529"/>
    <w:rsid w:val="0079253D"/>
    <w:rsid w:val="007926B1"/>
    <w:rsid w:val="007926C3"/>
    <w:rsid w:val="00792703"/>
    <w:rsid w:val="007927E2"/>
    <w:rsid w:val="00792806"/>
    <w:rsid w:val="007928AC"/>
    <w:rsid w:val="007928F1"/>
    <w:rsid w:val="007929BD"/>
    <w:rsid w:val="00792A39"/>
    <w:rsid w:val="00792AA3"/>
    <w:rsid w:val="00792AB6"/>
    <w:rsid w:val="00792B1B"/>
    <w:rsid w:val="00792B45"/>
    <w:rsid w:val="00792B4C"/>
    <w:rsid w:val="00792B59"/>
    <w:rsid w:val="00792B94"/>
    <w:rsid w:val="00792B9B"/>
    <w:rsid w:val="00792BEA"/>
    <w:rsid w:val="00792CAF"/>
    <w:rsid w:val="00792CEB"/>
    <w:rsid w:val="00792D02"/>
    <w:rsid w:val="00792E40"/>
    <w:rsid w:val="00792E57"/>
    <w:rsid w:val="00792EC4"/>
    <w:rsid w:val="00792F2C"/>
    <w:rsid w:val="00792FE8"/>
    <w:rsid w:val="00793045"/>
    <w:rsid w:val="007930A7"/>
    <w:rsid w:val="00793112"/>
    <w:rsid w:val="00793115"/>
    <w:rsid w:val="0079311B"/>
    <w:rsid w:val="0079317F"/>
    <w:rsid w:val="007931C6"/>
    <w:rsid w:val="007931E5"/>
    <w:rsid w:val="00793258"/>
    <w:rsid w:val="00793272"/>
    <w:rsid w:val="00793357"/>
    <w:rsid w:val="0079335C"/>
    <w:rsid w:val="0079337B"/>
    <w:rsid w:val="007933C1"/>
    <w:rsid w:val="0079348E"/>
    <w:rsid w:val="007934B5"/>
    <w:rsid w:val="007934F9"/>
    <w:rsid w:val="0079351A"/>
    <w:rsid w:val="00793524"/>
    <w:rsid w:val="007935A3"/>
    <w:rsid w:val="0079360C"/>
    <w:rsid w:val="00793614"/>
    <w:rsid w:val="0079361C"/>
    <w:rsid w:val="00793638"/>
    <w:rsid w:val="0079371C"/>
    <w:rsid w:val="00793776"/>
    <w:rsid w:val="0079384C"/>
    <w:rsid w:val="0079390A"/>
    <w:rsid w:val="00793912"/>
    <w:rsid w:val="00793A49"/>
    <w:rsid w:val="00793B37"/>
    <w:rsid w:val="00793B5B"/>
    <w:rsid w:val="00793BCF"/>
    <w:rsid w:val="00793C32"/>
    <w:rsid w:val="00793C9D"/>
    <w:rsid w:val="00793D62"/>
    <w:rsid w:val="00793DF1"/>
    <w:rsid w:val="00793F36"/>
    <w:rsid w:val="0079400D"/>
    <w:rsid w:val="00794038"/>
    <w:rsid w:val="0079406B"/>
    <w:rsid w:val="0079421D"/>
    <w:rsid w:val="00794240"/>
    <w:rsid w:val="007942C2"/>
    <w:rsid w:val="007942D6"/>
    <w:rsid w:val="00794318"/>
    <w:rsid w:val="00794519"/>
    <w:rsid w:val="00794560"/>
    <w:rsid w:val="007945EE"/>
    <w:rsid w:val="00794823"/>
    <w:rsid w:val="007948E7"/>
    <w:rsid w:val="00794951"/>
    <w:rsid w:val="00794CF7"/>
    <w:rsid w:val="00794D00"/>
    <w:rsid w:val="00794D34"/>
    <w:rsid w:val="00794D59"/>
    <w:rsid w:val="00794D86"/>
    <w:rsid w:val="00794E01"/>
    <w:rsid w:val="00794E6C"/>
    <w:rsid w:val="00794E76"/>
    <w:rsid w:val="00794EBB"/>
    <w:rsid w:val="00794F3D"/>
    <w:rsid w:val="00794F85"/>
    <w:rsid w:val="00794F8B"/>
    <w:rsid w:val="0079507D"/>
    <w:rsid w:val="007950C8"/>
    <w:rsid w:val="007950D6"/>
    <w:rsid w:val="007950DB"/>
    <w:rsid w:val="00795113"/>
    <w:rsid w:val="0079516E"/>
    <w:rsid w:val="0079517A"/>
    <w:rsid w:val="007951A9"/>
    <w:rsid w:val="0079520E"/>
    <w:rsid w:val="00795305"/>
    <w:rsid w:val="0079538F"/>
    <w:rsid w:val="00795460"/>
    <w:rsid w:val="0079546C"/>
    <w:rsid w:val="007955D0"/>
    <w:rsid w:val="00795699"/>
    <w:rsid w:val="007956A1"/>
    <w:rsid w:val="00795704"/>
    <w:rsid w:val="00795711"/>
    <w:rsid w:val="00795737"/>
    <w:rsid w:val="0079576D"/>
    <w:rsid w:val="00795784"/>
    <w:rsid w:val="007957B9"/>
    <w:rsid w:val="007957F8"/>
    <w:rsid w:val="00795880"/>
    <w:rsid w:val="007958DF"/>
    <w:rsid w:val="007959FF"/>
    <w:rsid w:val="00795A72"/>
    <w:rsid w:val="00795AFE"/>
    <w:rsid w:val="00795B45"/>
    <w:rsid w:val="00795C21"/>
    <w:rsid w:val="00795C9E"/>
    <w:rsid w:val="00795D0A"/>
    <w:rsid w:val="00795D27"/>
    <w:rsid w:val="00795E69"/>
    <w:rsid w:val="00795E85"/>
    <w:rsid w:val="00795F13"/>
    <w:rsid w:val="00795FC2"/>
    <w:rsid w:val="00796021"/>
    <w:rsid w:val="0079603A"/>
    <w:rsid w:val="0079604A"/>
    <w:rsid w:val="00796081"/>
    <w:rsid w:val="00796085"/>
    <w:rsid w:val="00796199"/>
    <w:rsid w:val="007961C8"/>
    <w:rsid w:val="007961E9"/>
    <w:rsid w:val="007961F9"/>
    <w:rsid w:val="00796215"/>
    <w:rsid w:val="00796228"/>
    <w:rsid w:val="00796252"/>
    <w:rsid w:val="007962F2"/>
    <w:rsid w:val="00796311"/>
    <w:rsid w:val="00796313"/>
    <w:rsid w:val="007963AE"/>
    <w:rsid w:val="007963BD"/>
    <w:rsid w:val="00796407"/>
    <w:rsid w:val="00796438"/>
    <w:rsid w:val="0079645F"/>
    <w:rsid w:val="00796546"/>
    <w:rsid w:val="00796593"/>
    <w:rsid w:val="007965C1"/>
    <w:rsid w:val="0079664E"/>
    <w:rsid w:val="00796660"/>
    <w:rsid w:val="00796694"/>
    <w:rsid w:val="0079669F"/>
    <w:rsid w:val="0079672F"/>
    <w:rsid w:val="00796755"/>
    <w:rsid w:val="00796775"/>
    <w:rsid w:val="00796818"/>
    <w:rsid w:val="00796843"/>
    <w:rsid w:val="00796861"/>
    <w:rsid w:val="007969B3"/>
    <w:rsid w:val="00796A86"/>
    <w:rsid w:val="00796A90"/>
    <w:rsid w:val="00796AA3"/>
    <w:rsid w:val="00796C01"/>
    <w:rsid w:val="00796C14"/>
    <w:rsid w:val="00796C3C"/>
    <w:rsid w:val="00796C48"/>
    <w:rsid w:val="00796CDC"/>
    <w:rsid w:val="00796CE4"/>
    <w:rsid w:val="00796D04"/>
    <w:rsid w:val="00796D4D"/>
    <w:rsid w:val="00796D89"/>
    <w:rsid w:val="00796D8C"/>
    <w:rsid w:val="00796E04"/>
    <w:rsid w:val="00796E46"/>
    <w:rsid w:val="00796EA6"/>
    <w:rsid w:val="00796EDE"/>
    <w:rsid w:val="00796F30"/>
    <w:rsid w:val="00796F5C"/>
    <w:rsid w:val="00797062"/>
    <w:rsid w:val="007970F7"/>
    <w:rsid w:val="00797107"/>
    <w:rsid w:val="00797108"/>
    <w:rsid w:val="00797176"/>
    <w:rsid w:val="007971A2"/>
    <w:rsid w:val="007971BD"/>
    <w:rsid w:val="00797254"/>
    <w:rsid w:val="0079725A"/>
    <w:rsid w:val="00797284"/>
    <w:rsid w:val="0079736F"/>
    <w:rsid w:val="00797399"/>
    <w:rsid w:val="007973A0"/>
    <w:rsid w:val="0079744C"/>
    <w:rsid w:val="00797497"/>
    <w:rsid w:val="007974F8"/>
    <w:rsid w:val="0079757D"/>
    <w:rsid w:val="0079763D"/>
    <w:rsid w:val="00797702"/>
    <w:rsid w:val="00797720"/>
    <w:rsid w:val="007977B3"/>
    <w:rsid w:val="007978EF"/>
    <w:rsid w:val="00797953"/>
    <w:rsid w:val="007979EA"/>
    <w:rsid w:val="00797A09"/>
    <w:rsid w:val="00797AC9"/>
    <w:rsid w:val="00797B4C"/>
    <w:rsid w:val="00797C07"/>
    <w:rsid w:val="00797C62"/>
    <w:rsid w:val="00797DA4"/>
    <w:rsid w:val="00797EA6"/>
    <w:rsid w:val="00797EEB"/>
    <w:rsid w:val="00797F2A"/>
    <w:rsid w:val="00797FD9"/>
    <w:rsid w:val="007A0057"/>
    <w:rsid w:val="007A006C"/>
    <w:rsid w:val="007A02D2"/>
    <w:rsid w:val="007A0403"/>
    <w:rsid w:val="007A0586"/>
    <w:rsid w:val="007A0598"/>
    <w:rsid w:val="007A05E7"/>
    <w:rsid w:val="007A05EE"/>
    <w:rsid w:val="007A0637"/>
    <w:rsid w:val="007A0862"/>
    <w:rsid w:val="007A08B4"/>
    <w:rsid w:val="007A0965"/>
    <w:rsid w:val="007A0992"/>
    <w:rsid w:val="007A0A4E"/>
    <w:rsid w:val="007A0ABF"/>
    <w:rsid w:val="007A0B1A"/>
    <w:rsid w:val="007A0B56"/>
    <w:rsid w:val="007A0B7B"/>
    <w:rsid w:val="007A0BBB"/>
    <w:rsid w:val="007A0BCA"/>
    <w:rsid w:val="007A0C1E"/>
    <w:rsid w:val="007A0D8B"/>
    <w:rsid w:val="007A0D98"/>
    <w:rsid w:val="007A0D99"/>
    <w:rsid w:val="007A0DF7"/>
    <w:rsid w:val="007A0F65"/>
    <w:rsid w:val="007A0FCC"/>
    <w:rsid w:val="007A0FD6"/>
    <w:rsid w:val="007A105C"/>
    <w:rsid w:val="007A1153"/>
    <w:rsid w:val="007A1181"/>
    <w:rsid w:val="007A1204"/>
    <w:rsid w:val="007A1327"/>
    <w:rsid w:val="007A13E9"/>
    <w:rsid w:val="007A145D"/>
    <w:rsid w:val="007A14E2"/>
    <w:rsid w:val="007A14F0"/>
    <w:rsid w:val="007A157A"/>
    <w:rsid w:val="007A1635"/>
    <w:rsid w:val="007A1668"/>
    <w:rsid w:val="007A16E2"/>
    <w:rsid w:val="007A16FC"/>
    <w:rsid w:val="007A1711"/>
    <w:rsid w:val="007A178B"/>
    <w:rsid w:val="007A17F8"/>
    <w:rsid w:val="007A18A9"/>
    <w:rsid w:val="007A18D2"/>
    <w:rsid w:val="007A18EE"/>
    <w:rsid w:val="007A1963"/>
    <w:rsid w:val="007A1A33"/>
    <w:rsid w:val="007A1A48"/>
    <w:rsid w:val="007A1AA9"/>
    <w:rsid w:val="007A1C00"/>
    <w:rsid w:val="007A1D17"/>
    <w:rsid w:val="007A1D38"/>
    <w:rsid w:val="007A1D63"/>
    <w:rsid w:val="007A1D82"/>
    <w:rsid w:val="007A1D8C"/>
    <w:rsid w:val="007A1DB2"/>
    <w:rsid w:val="007A1E4F"/>
    <w:rsid w:val="007A1F19"/>
    <w:rsid w:val="007A1F36"/>
    <w:rsid w:val="007A200C"/>
    <w:rsid w:val="007A2089"/>
    <w:rsid w:val="007A20A6"/>
    <w:rsid w:val="007A2130"/>
    <w:rsid w:val="007A21D3"/>
    <w:rsid w:val="007A2208"/>
    <w:rsid w:val="007A230D"/>
    <w:rsid w:val="007A2453"/>
    <w:rsid w:val="007A2466"/>
    <w:rsid w:val="007A25C7"/>
    <w:rsid w:val="007A2614"/>
    <w:rsid w:val="007A26AB"/>
    <w:rsid w:val="007A281F"/>
    <w:rsid w:val="007A2871"/>
    <w:rsid w:val="007A2899"/>
    <w:rsid w:val="007A2948"/>
    <w:rsid w:val="007A2A92"/>
    <w:rsid w:val="007A2B4D"/>
    <w:rsid w:val="007A2B74"/>
    <w:rsid w:val="007A2B81"/>
    <w:rsid w:val="007A2BBA"/>
    <w:rsid w:val="007A2C6D"/>
    <w:rsid w:val="007A2C7E"/>
    <w:rsid w:val="007A2CEF"/>
    <w:rsid w:val="007A2D13"/>
    <w:rsid w:val="007A2E3B"/>
    <w:rsid w:val="007A2F4E"/>
    <w:rsid w:val="007A2FB6"/>
    <w:rsid w:val="007A30AB"/>
    <w:rsid w:val="007A3179"/>
    <w:rsid w:val="007A3182"/>
    <w:rsid w:val="007A31AC"/>
    <w:rsid w:val="007A31D4"/>
    <w:rsid w:val="007A328A"/>
    <w:rsid w:val="007A32DC"/>
    <w:rsid w:val="007A33D4"/>
    <w:rsid w:val="007A34B2"/>
    <w:rsid w:val="007A3503"/>
    <w:rsid w:val="007A350D"/>
    <w:rsid w:val="007A3584"/>
    <w:rsid w:val="007A3752"/>
    <w:rsid w:val="007A379F"/>
    <w:rsid w:val="007A37A1"/>
    <w:rsid w:val="007A3835"/>
    <w:rsid w:val="007A3857"/>
    <w:rsid w:val="007A38A3"/>
    <w:rsid w:val="007A38A4"/>
    <w:rsid w:val="007A38B4"/>
    <w:rsid w:val="007A39D7"/>
    <w:rsid w:val="007A39E2"/>
    <w:rsid w:val="007A3A7D"/>
    <w:rsid w:val="007A3A8C"/>
    <w:rsid w:val="007A3AAE"/>
    <w:rsid w:val="007A3AB7"/>
    <w:rsid w:val="007A3AC4"/>
    <w:rsid w:val="007A3ADC"/>
    <w:rsid w:val="007A3B5A"/>
    <w:rsid w:val="007A3B7E"/>
    <w:rsid w:val="007A3B8C"/>
    <w:rsid w:val="007A3B9A"/>
    <w:rsid w:val="007A3B9D"/>
    <w:rsid w:val="007A3C5B"/>
    <w:rsid w:val="007A3D41"/>
    <w:rsid w:val="007A3DC9"/>
    <w:rsid w:val="007A3E50"/>
    <w:rsid w:val="007A3E59"/>
    <w:rsid w:val="007A3EB2"/>
    <w:rsid w:val="007A3EE1"/>
    <w:rsid w:val="007A3F6A"/>
    <w:rsid w:val="007A3FFD"/>
    <w:rsid w:val="007A405D"/>
    <w:rsid w:val="007A406B"/>
    <w:rsid w:val="007A4134"/>
    <w:rsid w:val="007A4222"/>
    <w:rsid w:val="007A4295"/>
    <w:rsid w:val="007A42B1"/>
    <w:rsid w:val="007A42B3"/>
    <w:rsid w:val="007A42D8"/>
    <w:rsid w:val="007A4335"/>
    <w:rsid w:val="007A436E"/>
    <w:rsid w:val="007A43CB"/>
    <w:rsid w:val="007A43D7"/>
    <w:rsid w:val="007A43DA"/>
    <w:rsid w:val="007A4481"/>
    <w:rsid w:val="007A44CE"/>
    <w:rsid w:val="007A44D6"/>
    <w:rsid w:val="007A4531"/>
    <w:rsid w:val="007A4593"/>
    <w:rsid w:val="007A460E"/>
    <w:rsid w:val="007A4632"/>
    <w:rsid w:val="007A46E9"/>
    <w:rsid w:val="007A48A2"/>
    <w:rsid w:val="007A4974"/>
    <w:rsid w:val="007A49A5"/>
    <w:rsid w:val="007A49EE"/>
    <w:rsid w:val="007A49F4"/>
    <w:rsid w:val="007A4A3D"/>
    <w:rsid w:val="007A4BF3"/>
    <w:rsid w:val="007A4C63"/>
    <w:rsid w:val="007A4D7A"/>
    <w:rsid w:val="007A4DB5"/>
    <w:rsid w:val="007A4E2A"/>
    <w:rsid w:val="007A4E79"/>
    <w:rsid w:val="007A4EBD"/>
    <w:rsid w:val="007A4F1B"/>
    <w:rsid w:val="007A4F3E"/>
    <w:rsid w:val="007A4F4E"/>
    <w:rsid w:val="007A4F57"/>
    <w:rsid w:val="007A5011"/>
    <w:rsid w:val="007A5178"/>
    <w:rsid w:val="007A51EA"/>
    <w:rsid w:val="007A5206"/>
    <w:rsid w:val="007A5254"/>
    <w:rsid w:val="007A52CF"/>
    <w:rsid w:val="007A52EF"/>
    <w:rsid w:val="007A554C"/>
    <w:rsid w:val="007A5602"/>
    <w:rsid w:val="007A5613"/>
    <w:rsid w:val="007A5668"/>
    <w:rsid w:val="007A56A3"/>
    <w:rsid w:val="007A56D4"/>
    <w:rsid w:val="007A5765"/>
    <w:rsid w:val="007A5770"/>
    <w:rsid w:val="007A57B3"/>
    <w:rsid w:val="007A57BD"/>
    <w:rsid w:val="007A57E0"/>
    <w:rsid w:val="007A57E8"/>
    <w:rsid w:val="007A5850"/>
    <w:rsid w:val="007A5920"/>
    <w:rsid w:val="007A5971"/>
    <w:rsid w:val="007A59BA"/>
    <w:rsid w:val="007A5BDF"/>
    <w:rsid w:val="007A5C3F"/>
    <w:rsid w:val="007A5DD3"/>
    <w:rsid w:val="007A5E27"/>
    <w:rsid w:val="007A5E37"/>
    <w:rsid w:val="007A5E3C"/>
    <w:rsid w:val="007A5F87"/>
    <w:rsid w:val="007A6035"/>
    <w:rsid w:val="007A6062"/>
    <w:rsid w:val="007A6147"/>
    <w:rsid w:val="007A61E7"/>
    <w:rsid w:val="007A6225"/>
    <w:rsid w:val="007A6228"/>
    <w:rsid w:val="007A62B2"/>
    <w:rsid w:val="007A6410"/>
    <w:rsid w:val="007A6431"/>
    <w:rsid w:val="007A64C7"/>
    <w:rsid w:val="007A6507"/>
    <w:rsid w:val="007A6515"/>
    <w:rsid w:val="007A6561"/>
    <w:rsid w:val="007A6704"/>
    <w:rsid w:val="007A6710"/>
    <w:rsid w:val="007A671E"/>
    <w:rsid w:val="007A6758"/>
    <w:rsid w:val="007A67D7"/>
    <w:rsid w:val="007A688E"/>
    <w:rsid w:val="007A6932"/>
    <w:rsid w:val="007A699E"/>
    <w:rsid w:val="007A69BB"/>
    <w:rsid w:val="007A69C6"/>
    <w:rsid w:val="007A69CF"/>
    <w:rsid w:val="007A6AAC"/>
    <w:rsid w:val="007A6BBB"/>
    <w:rsid w:val="007A6C43"/>
    <w:rsid w:val="007A6DA7"/>
    <w:rsid w:val="007A6E56"/>
    <w:rsid w:val="007A6EAC"/>
    <w:rsid w:val="007A6EB3"/>
    <w:rsid w:val="007A6F40"/>
    <w:rsid w:val="007A6FEB"/>
    <w:rsid w:val="007A6FF8"/>
    <w:rsid w:val="007A7016"/>
    <w:rsid w:val="007A70F8"/>
    <w:rsid w:val="007A7110"/>
    <w:rsid w:val="007A7124"/>
    <w:rsid w:val="007A714E"/>
    <w:rsid w:val="007A717B"/>
    <w:rsid w:val="007A71AA"/>
    <w:rsid w:val="007A721F"/>
    <w:rsid w:val="007A7233"/>
    <w:rsid w:val="007A729A"/>
    <w:rsid w:val="007A72F3"/>
    <w:rsid w:val="007A7304"/>
    <w:rsid w:val="007A731D"/>
    <w:rsid w:val="007A7378"/>
    <w:rsid w:val="007A74AD"/>
    <w:rsid w:val="007A74CA"/>
    <w:rsid w:val="007A74E5"/>
    <w:rsid w:val="007A74E9"/>
    <w:rsid w:val="007A750A"/>
    <w:rsid w:val="007A7564"/>
    <w:rsid w:val="007A757B"/>
    <w:rsid w:val="007A75A6"/>
    <w:rsid w:val="007A76CB"/>
    <w:rsid w:val="007A76CD"/>
    <w:rsid w:val="007A76FF"/>
    <w:rsid w:val="007A773B"/>
    <w:rsid w:val="007A774D"/>
    <w:rsid w:val="007A77DA"/>
    <w:rsid w:val="007A7878"/>
    <w:rsid w:val="007A789F"/>
    <w:rsid w:val="007A797A"/>
    <w:rsid w:val="007A798E"/>
    <w:rsid w:val="007A79EB"/>
    <w:rsid w:val="007A7AFE"/>
    <w:rsid w:val="007A7C01"/>
    <w:rsid w:val="007A7C4D"/>
    <w:rsid w:val="007A7D02"/>
    <w:rsid w:val="007A7D05"/>
    <w:rsid w:val="007A7D30"/>
    <w:rsid w:val="007A7D77"/>
    <w:rsid w:val="007A7DED"/>
    <w:rsid w:val="007A7E85"/>
    <w:rsid w:val="007A7E91"/>
    <w:rsid w:val="007A7EDB"/>
    <w:rsid w:val="007A7F5A"/>
    <w:rsid w:val="007B002E"/>
    <w:rsid w:val="007B0048"/>
    <w:rsid w:val="007B00B7"/>
    <w:rsid w:val="007B00E2"/>
    <w:rsid w:val="007B0199"/>
    <w:rsid w:val="007B01A7"/>
    <w:rsid w:val="007B03ED"/>
    <w:rsid w:val="007B05DC"/>
    <w:rsid w:val="007B05FC"/>
    <w:rsid w:val="007B0627"/>
    <w:rsid w:val="007B0681"/>
    <w:rsid w:val="007B068F"/>
    <w:rsid w:val="007B074E"/>
    <w:rsid w:val="007B0764"/>
    <w:rsid w:val="007B07DE"/>
    <w:rsid w:val="007B0868"/>
    <w:rsid w:val="007B0A18"/>
    <w:rsid w:val="007B0A93"/>
    <w:rsid w:val="007B0B08"/>
    <w:rsid w:val="007B0B1B"/>
    <w:rsid w:val="007B0C43"/>
    <w:rsid w:val="007B0D20"/>
    <w:rsid w:val="007B0D52"/>
    <w:rsid w:val="007B0D61"/>
    <w:rsid w:val="007B0E50"/>
    <w:rsid w:val="007B0E7B"/>
    <w:rsid w:val="007B0EEE"/>
    <w:rsid w:val="007B0F04"/>
    <w:rsid w:val="007B0F6A"/>
    <w:rsid w:val="007B0F77"/>
    <w:rsid w:val="007B1095"/>
    <w:rsid w:val="007B109C"/>
    <w:rsid w:val="007B10BC"/>
    <w:rsid w:val="007B110D"/>
    <w:rsid w:val="007B122F"/>
    <w:rsid w:val="007B1268"/>
    <w:rsid w:val="007B12B5"/>
    <w:rsid w:val="007B12D3"/>
    <w:rsid w:val="007B139C"/>
    <w:rsid w:val="007B13F8"/>
    <w:rsid w:val="007B14A8"/>
    <w:rsid w:val="007B1552"/>
    <w:rsid w:val="007B1643"/>
    <w:rsid w:val="007B164A"/>
    <w:rsid w:val="007B1690"/>
    <w:rsid w:val="007B16F6"/>
    <w:rsid w:val="007B170D"/>
    <w:rsid w:val="007B1773"/>
    <w:rsid w:val="007B17C6"/>
    <w:rsid w:val="007B1800"/>
    <w:rsid w:val="007B180C"/>
    <w:rsid w:val="007B1893"/>
    <w:rsid w:val="007B1938"/>
    <w:rsid w:val="007B19BA"/>
    <w:rsid w:val="007B1A78"/>
    <w:rsid w:val="007B1ADC"/>
    <w:rsid w:val="007B1B33"/>
    <w:rsid w:val="007B1BC9"/>
    <w:rsid w:val="007B1D8A"/>
    <w:rsid w:val="007B1D91"/>
    <w:rsid w:val="007B1E4B"/>
    <w:rsid w:val="007B1E53"/>
    <w:rsid w:val="007B1EE6"/>
    <w:rsid w:val="007B1F1C"/>
    <w:rsid w:val="007B1F38"/>
    <w:rsid w:val="007B1F3E"/>
    <w:rsid w:val="007B1FA1"/>
    <w:rsid w:val="007B200B"/>
    <w:rsid w:val="007B2094"/>
    <w:rsid w:val="007B20B5"/>
    <w:rsid w:val="007B21AA"/>
    <w:rsid w:val="007B226C"/>
    <w:rsid w:val="007B2280"/>
    <w:rsid w:val="007B228E"/>
    <w:rsid w:val="007B22C0"/>
    <w:rsid w:val="007B2324"/>
    <w:rsid w:val="007B2359"/>
    <w:rsid w:val="007B239E"/>
    <w:rsid w:val="007B23C1"/>
    <w:rsid w:val="007B244F"/>
    <w:rsid w:val="007B2478"/>
    <w:rsid w:val="007B24AB"/>
    <w:rsid w:val="007B24F8"/>
    <w:rsid w:val="007B25BE"/>
    <w:rsid w:val="007B25C8"/>
    <w:rsid w:val="007B25DD"/>
    <w:rsid w:val="007B28F4"/>
    <w:rsid w:val="007B2922"/>
    <w:rsid w:val="007B2951"/>
    <w:rsid w:val="007B299E"/>
    <w:rsid w:val="007B29A0"/>
    <w:rsid w:val="007B29F6"/>
    <w:rsid w:val="007B2A97"/>
    <w:rsid w:val="007B2AA2"/>
    <w:rsid w:val="007B2AAB"/>
    <w:rsid w:val="007B2B0E"/>
    <w:rsid w:val="007B2B37"/>
    <w:rsid w:val="007B2B5D"/>
    <w:rsid w:val="007B2D2A"/>
    <w:rsid w:val="007B2D44"/>
    <w:rsid w:val="007B2E56"/>
    <w:rsid w:val="007B2EDE"/>
    <w:rsid w:val="007B2F39"/>
    <w:rsid w:val="007B2FE7"/>
    <w:rsid w:val="007B3044"/>
    <w:rsid w:val="007B3073"/>
    <w:rsid w:val="007B3080"/>
    <w:rsid w:val="007B3232"/>
    <w:rsid w:val="007B32CD"/>
    <w:rsid w:val="007B32F4"/>
    <w:rsid w:val="007B3326"/>
    <w:rsid w:val="007B335E"/>
    <w:rsid w:val="007B33F0"/>
    <w:rsid w:val="007B3439"/>
    <w:rsid w:val="007B3453"/>
    <w:rsid w:val="007B351D"/>
    <w:rsid w:val="007B3535"/>
    <w:rsid w:val="007B35E5"/>
    <w:rsid w:val="007B367D"/>
    <w:rsid w:val="007B36A8"/>
    <w:rsid w:val="007B372F"/>
    <w:rsid w:val="007B37BA"/>
    <w:rsid w:val="007B39CF"/>
    <w:rsid w:val="007B3A5B"/>
    <w:rsid w:val="007B3A8C"/>
    <w:rsid w:val="007B3B08"/>
    <w:rsid w:val="007B3B59"/>
    <w:rsid w:val="007B3B5B"/>
    <w:rsid w:val="007B3B72"/>
    <w:rsid w:val="007B3C00"/>
    <w:rsid w:val="007B3C62"/>
    <w:rsid w:val="007B3C81"/>
    <w:rsid w:val="007B3CF9"/>
    <w:rsid w:val="007B3D14"/>
    <w:rsid w:val="007B3FDC"/>
    <w:rsid w:val="007B4003"/>
    <w:rsid w:val="007B40A9"/>
    <w:rsid w:val="007B40C1"/>
    <w:rsid w:val="007B4108"/>
    <w:rsid w:val="007B410B"/>
    <w:rsid w:val="007B4154"/>
    <w:rsid w:val="007B4195"/>
    <w:rsid w:val="007B41DD"/>
    <w:rsid w:val="007B4208"/>
    <w:rsid w:val="007B426C"/>
    <w:rsid w:val="007B42B6"/>
    <w:rsid w:val="007B438D"/>
    <w:rsid w:val="007B443A"/>
    <w:rsid w:val="007B4475"/>
    <w:rsid w:val="007B45A8"/>
    <w:rsid w:val="007B45CC"/>
    <w:rsid w:val="007B4659"/>
    <w:rsid w:val="007B4666"/>
    <w:rsid w:val="007B467C"/>
    <w:rsid w:val="007B46BA"/>
    <w:rsid w:val="007B4757"/>
    <w:rsid w:val="007B478C"/>
    <w:rsid w:val="007B478F"/>
    <w:rsid w:val="007B488A"/>
    <w:rsid w:val="007B4893"/>
    <w:rsid w:val="007B49D3"/>
    <w:rsid w:val="007B4BA5"/>
    <w:rsid w:val="007B4BD0"/>
    <w:rsid w:val="007B4BFB"/>
    <w:rsid w:val="007B4CA8"/>
    <w:rsid w:val="007B4D96"/>
    <w:rsid w:val="007B4E00"/>
    <w:rsid w:val="007B4EBE"/>
    <w:rsid w:val="007B4F36"/>
    <w:rsid w:val="007B4F74"/>
    <w:rsid w:val="007B4F92"/>
    <w:rsid w:val="007B5080"/>
    <w:rsid w:val="007B5169"/>
    <w:rsid w:val="007B5173"/>
    <w:rsid w:val="007B51C3"/>
    <w:rsid w:val="007B524E"/>
    <w:rsid w:val="007B5337"/>
    <w:rsid w:val="007B53F0"/>
    <w:rsid w:val="007B5426"/>
    <w:rsid w:val="007B549D"/>
    <w:rsid w:val="007B557F"/>
    <w:rsid w:val="007B55DB"/>
    <w:rsid w:val="007B55FB"/>
    <w:rsid w:val="007B5656"/>
    <w:rsid w:val="007B5790"/>
    <w:rsid w:val="007B57CC"/>
    <w:rsid w:val="007B57F7"/>
    <w:rsid w:val="007B5870"/>
    <w:rsid w:val="007B58B1"/>
    <w:rsid w:val="007B5900"/>
    <w:rsid w:val="007B59AB"/>
    <w:rsid w:val="007B59BE"/>
    <w:rsid w:val="007B59FB"/>
    <w:rsid w:val="007B5A74"/>
    <w:rsid w:val="007B5AF3"/>
    <w:rsid w:val="007B5B22"/>
    <w:rsid w:val="007B5B6C"/>
    <w:rsid w:val="007B5B90"/>
    <w:rsid w:val="007B5B95"/>
    <w:rsid w:val="007B5BEB"/>
    <w:rsid w:val="007B5C39"/>
    <w:rsid w:val="007B5CB5"/>
    <w:rsid w:val="007B5D21"/>
    <w:rsid w:val="007B5DB7"/>
    <w:rsid w:val="007B5DED"/>
    <w:rsid w:val="007B607F"/>
    <w:rsid w:val="007B6089"/>
    <w:rsid w:val="007B60A3"/>
    <w:rsid w:val="007B6183"/>
    <w:rsid w:val="007B6212"/>
    <w:rsid w:val="007B623A"/>
    <w:rsid w:val="007B623C"/>
    <w:rsid w:val="007B62EC"/>
    <w:rsid w:val="007B6571"/>
    <w:rsid w:val="007B65F5"/>
    <w:rsid w:val="007B66A3"/>
    <w:rsid w:val="007B6794"/>
    <w:rsid w:val="007B68FC"/>
    <w:rsid w:val="007B6901"/>
    <w:rsid w:val="007B6912"/>
    <w:rsid w:val="007B691F"/>
    <w:rsid w:val="007B6A1D"/>
    <w:rsid w:val="007B6A33"/>
    <w:rsid w:val="007B6A3A"/>
    <w:rsid w:val="007B6A8B"/>
    <w:rsid w:val="007B6A98"/>
    <w:rsid w:val="007B6B01"/>
    <w:rsid w:val="007B6BD9"/>
    <w:rsid w:val="007B6C31"/>
    <w:rsid w:val="007B6D0D"/>
    <w:rsid w:val="007B6D44"/>
    <w:rsid w:val="007B6E2B"/>
    <w:rsid w:val="007B6F17"/>
    <w:rsid w:val="007B6F90"/>
    <w:rsid w:val="007B6F91"/>
    <w:rsid w:val="007B7182"/>
    <w:rsid w:val="007B722A"/>
    <w:rsid w:val="007B728A"/>
    <w:rsid w:val="007B73CC"/>
    <w:rsid w:val="007B7444"/>
    <w:rsid w:val="007B74AC"/>
    <w:rsid w:val="007B74BB"/>
    <w:rsid w:val="007B758F"/>
    <w:rsid w:val="007B7607"/>
    <w:rsid w:val="007B7663"/>
    <w:rsid w:val="007B76AB"/>
    <w:rsid w:val="007B76CD"/>
    <w:rsid w:val="007B76F7"/>
    <w:rsid w:val="007B7742"/>
    <w:rsid w:val="007B780A"/>
    <w:rsid w:val="007B7857"/>
    <w:rsid w:val="007B7874"/>
    <w:rsid w:val="007B7875"/>
    <w:rsid w:val="007B7881"/>
    <w:rsid w:val="007B789E"/>
    <w:rsid w:val="007B7967"/>
    <w:rsid w:val="007B7A94"/>
    <w:rsid w:val="007B7AEC"/>
    <w:rsid w:val="007B7B1D"/>
    <w:rsid w:val="007B7B5D"/>
    <w:rsid w:val="007B7B66"/>
    <w:rsid w:val="007B7C43"/>
    <w:rsid w:val="007B7C48"/>
    <w:rsid w:val="007B7C9F"/>
    <w:rsid w:val="007B7D1C"/>
    <w:rsid w:val="007B7DA4"/>
    <w:rsid w:val="007B7E21"/>
    <w:rsid w:val="007B7E66"/>
    <w:rsid w:val="007B7EB9"/>
    <w:rsid w:val="007B7EC5"/>
    <w:rsid w:val="007B7ECE"/>
    <w:rsid w:val="007B7F7B"/>
    <w:rsid w:val="007B7FEC"/>
    <w:rsid w:val="007C007C"/>
    <w:rsid w:val="007C017B"/>
    <w:rsid w:val="007C01DC"/>
    <w:rsid w:val="007C02D4"/>
    <w:rsid w:val="007C02DF"/>
    <w:rsid w:val="007C03DC"/>
    <w:rsid w:val="007C0436"/>
    <w:rsid w:val="007C043F"/>
    <w:rsid w:val="007C0477"/>
    <w:rsid w:val="007C047D"/>
    <w:rsid w:val="007C04E8"/>
    <w:rsid w:val="007C05A0"/>
    <w:rsid w:val="007C06E7"/>
    <w:rsid w:val="007C0763"/>
    <w:rsid w:val="007C0769"/>
    <w:rsid w:val="007C08EF"/>
    <w:rsid w:val="007C09ED"/>
    <w:rsid w:val="007C0A14"/>
    <w:rsid w:val="007C0AE5"/>
    <w:rsid w:val="007C0B0A"/>
    <w:rsid w:val="007C0BED"/>
    <w:rsid w:val="007C0CF4"/>
    <w:rsid w:val="007C0DEF"/>
    <w:rsid w:val="007C0E5F"/>
    <w:rsid w:val="007C0E89"/>
    <w:rsid w:val="007C0E8D"/>
    <w:rsid w:val="007C0E9C"/>
    <w:rsid w:val="007C0FB9"/>
    <w:rsid w:val="007C10EE"/>
    <w:rsid w:val="007C11B4"/>
    <w:rsid w:val="007C11CE"/>
    <w:rsid w:val="007C11FB"/>
    <w:rsid w:val="007C121A"/>
    <w:rsid w:val="007C12EA"/>
    <w:rsid w:val="007C141E"/>
    <w:rsid w:val="007C1561"/>
    <w:rsid w:val="007C15B9"/>
    <w:rsid w:val="007C16E5"/>
    <w:rsid w:val="007C16F9"/>
    <w:rsid w:val="007C17B3"/>
    <w:rsid w:val="007C1827"/>
    <w:rsid w:val="007C185D"/>
    <w:rsid w:val="007C1886"/>
    <w:rsid w:val="007C190C"/>
    <w:rsid w:val="007C1AC5"/>
    <w:rsid w:val="007C1AF6"/>
    <w:rsid w:val="007C1B48"/>
    <w:rsid w:val="007C1BD0"/>
    <w:rsid w:val="007C1C00"/>
    <w:rsid w:val="007C1C51"/>
    <w:rsid w:val="007C1C52"/>
    <w:rsid w:val="007C1C6F"/>
    <w:rsid w:val="007C1D20"/>
    <w:rsid w:val="007C1E05"/>
    <w:rsid w:val="007C1E4F"/>
    <w:rsid w:val="007C20EB"/>
    <w:rsid w:val="007C21C0"/>
    <w:rsid w:val="007C2225"/>
    <w:rsid w:val="007C2253"/>
    <w:rsid w:val="007C22D0"/>
    <w:rsid w:val="007C230D"/>
    <w:rsid w:val="007C232F"/>
    <w:rsid w:val="007C23A6"/>
    <w:rsid w:val="007C23F1"/>
    <w:rsid w:val="007C241D"/>
    <w:rsid w:val="007C2438"/>
    <w:rsid w:val="007C2458"/>
    <w:rsid w:val="007C2478"/>
    <w:rsid w:val="007C251C"/>
    <w:rsid w:val="007C2568"/>
    <w:rsid w:val="007C25B1"/>
    <w:rsid w:val="007C2604"/>
    <w:rsid w:val="007C2632"/>
    <w:rsid w:val="007C2679"/>
    <w:rsid w:val="007C2708"/>
    <w:rsid w:val="007C2766"/>
    <w:rsid w:val="007C27A3"/>
    <w:rsid w:val="007C27BF"/>
    <w:rsid w:val="007C27CF"/>
    <w:rsid w:val="007C284F"/>
    <w:rsid w:val="007C288C"/>
    <w:rsid w:val="007C2970"/>
    <w:rsid w:val="007C29DD"/>
    <w:rsid w:val="007C2A1F"/>
    <w:rsid w:val="007C2ABD"/>
    <w:rsid w:val="007C2B7C"/>
    <w:rsid w:val="007C2BAD"/>
    <w:rsid w:val="007C2C3D"/>
    <w:rsid w:val="007C2C4F"/>
    <w:rsid w:val="007C2D2B"/>
    <w:rsid w:val="007C2D2F"/>
    <w:rsid w:val="007C2D81"/>
    <w:rsid w:val="007C2D95"/>
    <w:rsid w:val="007C2E3D"/>
    <w:rsid w:val="007C3036"/>
    <w:rsid w:val="007C3091"/>
    <w:rsid w:val="007C313B"/>
    <w:rsid w:val="007C314F"/>
    <w:rsid w:val="007C317C"/>
    <w:rsid w:val="007C3205"/>
    <w:rsid w:val="007C3266"/>
    <w:rsid w:val="007C3301"/>
    <w:rsid w:val="007C333C"/>
    <w:rsid w:val="007C3347"/>
    <w:rsid w:val="007C33D1"/>
    <w:rsid w:val="007C341D"/>
    <w:rsid w:val="007C3467"/>
    <w:rsid w:val="007C357C"/>
    <w:rsid w:val="007C360A"/>
    <w:rsid w:val="007C3668"/>
    <w:rsid w:val="007C36A9"/>
    <w:rsid w:val="007C36CF"/>
    <w:rsid w:val="007C36E7"/>
    <w:rsid w:val="007C3706"/>
    <w:rsid w:val="007C371C"/>
    <w:rsid w:val="007C3739"/>
    <w:rsid w:val="007C3789"/>
    <w:rsid w:val="007C386E"/>
    <w:rsid w:val="007C3886"/>
    <w:rsid w:val="007C38ED"/>
    <w:rsid w:val="007C38EF"/>
    <w:rsid w:val="007C3B19"/>
    <w:rsid w:val="007C3B82"/>
    <w:rsid w:val="007C3C48"/>
    <w:rsid w:val="007C3C97"/>
    <w:rsid w:val="007C3CAD"/>
    <w:rsid w:val="007C3CC2"/>
    <w:rsid w:val="007C3CCE"/>
    <w:rsid w:val="007C3E2F"/>
    <w:rsid w:val="007C3E7E"/>
    <w:rsid w:val="007C3F24"/>
    <w:rsid w:val="007C3F45"/>
    <w:rsid w:val="007C40A5"/>
    <w:rsid w:val="007C426E"/>
    <w:rsid w:val="007C4333"/>
    <w:rsid w:val="007C44D5"/>
    <w:rsid w:val="007C460B"/>
    <w:rsid w:val="007C468F"/>
    <w:rsid w:val="007C469B"/>
    <w:rsid w:val="007C4861"/>
    <w:rsid w:val="007C4893"/>
    <w:rsid w:val="007C48F1"/>
    <w:rsid w:val="007C492E"/>
    <w:rsid w:val="007C4943"/>
    <w:rsid w:val="007C49B7"/>
    <w:rsid w:val="007C4A9C"/>
    <w:rsid w:val="007C4AFB"/>
    <w:rsid w:val="007C4B0B"/>
    <w:rsid w:val="007C4B25"/>
    <w:rsid w:val="007C4B91"/>
    <w:rsid w:val="007C4CA3"/>
    <w:rsid w:val="007C4CD6"/>
    <w:rsid w:val="007C4CD7"/>
    <w:rsid w:val="007C4D0B"/>
    <w:rsid w:val="007C4D3F"/>
    <w:rsid w:val="007C4D5F"/>
    <w:rsid w:val="007C4E99"/>
    <w:rsid w:val="007C4F79"/>
    <w:rsid w:val="007C4FF9"/>
    <w:rsid w:val="007C513F"/>
    <w:rsid w:val="007C51B3"/>
    <w:rsid w:val="007C526D"/>
    <w:rsid w:val="007C5344"/>
    <w:rsid w:val="007C53F1"/>
    <w:rsid w:val="007C54DA"/>
    <w:rsid w:val="007C54F8"/>
    <w:rsid w:val="007C561D"/>
    <w:rsid w:val="007C56B4"/>
    <w:rsid w:val="007C574F"/>
    <w:rsid w:val="007C576A"/>
    <w:rsid w:val="007C57D5"/>
    <w:rsid w:val="007C580B"/>
    <w:rsid w:val="007C5818"/>
    <w:rsid w:val="007C5857"/>
    <w:rsid w:val="007C5900"/>
    <w:rsid w:val="007C5949"/>
    <w:rsid w:val="007C5A8B"/>
    <w:rsid w:val="007C5AD4"/>
    <w:rsid w:val="007C5B3B"/>
    <w:rsid w:val="007C5B6B"/>
    <w:rsid w:val="007C5C13"/>
    <w:rsid w:val="007C5CBC"/>
    <w:rsid w:val="007C5CE2"/>
    <w:rsid w:val="007C5D0C"/>
    <w:rsid w:val="007C5D8F"/>
    <w:rsid w:val="007C5D9D"/>
    <w:rsid w:val="007C5D9F"/>
    <w:rsid w:val="007C5DF4"/>
    <w:rsid w:val="007C5E04"/>
    <w:rsid w:val="007C5E68"/>
    <w:rsid w:val="007C5EE7"/>
    <w:rsid w:val="007C5FDE"/>
    <w:rsid w:val="007C605F"/>
    <w:rsid w:val="007C6225"/>
    <w:rsid w:val="007C62A0"/>
    <w:rsid w:val="007C636A"/>
    <w:rsid w:val="007C63AD"/>
    <w:rsid w:val="007C641C"/>
    <w:rsid w:val="007C662F"/>
    <w:rsid w:val="007C6643"/>
    <w:rsid w:val="007C665D"/>
    <w:rsid w:val="007C669B"/>
    <w:rsid w:val="007C66AB"/>
    <w:rsid w:val="007C66E9"/>
    <w:rsid w:val="007C68CB"/>
    <w:rsid w:val="007C696F"/>
    <w:rsid w:val="007C697C"/>
    <w:rsid w:val="007C6A9C"/>
    <w:rsid w:val="007C6B07"/>
    <w:rsid w:val="007C6C47"/>
    <w:rsid w:val="007C6CEE"/>
    <w:rsid w:val="007C6D1E"/>
    <w:rsid w:val="007C6EEB"/>
    <w:rsid w:val="007C6F37"/>
    <w:rsid w:val="007C70E8"/>
    <w:rsid w:val="007C70FD"/>
    <w:rsid w:val="007C7109"/>
    <w:rsid w:val="007C7113"/>
    <w:rsid w:val="007C7152"/>
    <w:rsid w:val="007C718F"/>
    <w:rsid w:val="007C719C"/>
    <w:rsid w:val="007C71E0"/>
    <w:rsid w:val="007C723A"/>
    <w:rsid w:val="007C7249"/>
    <w:rsid w:val="007C72BA"/>
    <w:rsid w:val="007C7462"/>
    <w:rsid w:val="007C74E0"/>
    <w:rsid w:val="007C74EE"/>
    <w:rsid w:val="007C750D"/>
    <w:rsid w:val="007C7568"/>
    <w:rsid w:val="007C757B"/>
    <w:rsid w:val="007C75A8"/>
    <w:rsid w:val="007C75B5"/>
    <w:rsid w:val="007C763B"/>
    <w:rsid w:val="007C768A"/>
    <w:rsid w:val="007C77B0"/>
    <w:rsid w:val="007C7985"/>
    <w:rsid w:val="007C7B35"/>
    <w:rsid w:val="007C7C1C"/>
    <w:rsid w:val="007C7C4C"/>
    <w:rsid w:val="007C7CC7"/>
    <w:rsid w:val="007C7D9A"/>
    <w:rsid w:val="007C7DD1"/>
    <w:rsid w:val="007C7EC0"/>
    <w:rsid w:val="007C7F50"/>
    <w:rsid w:val="007C7F5A"/>
    <w:rsid w:val="007D0032"/>
    <w:rsid w:val="007D0076"/>
    <w:rsid w:val="007D009C"/>
    <w:rsid w:val="007D00DF"/>
    <w:rsid w:val="007D0117"/>
    <w:rsid w:val="007D019D"/>
    <w:rsid w:val="007D0220"/>
    <w:rsid w:val="007D037F"/>
    <w:rsid w:val="007D03CE"/>
    <w:rsid w:val="007D03EA"/>
    <w:rsid w:val="007D0463"/>
    <w:rsid w:val="007D04BA"/>
    <w:rsid w:val="007D0611"/>
    <w:rsid w:val="007D0624"/>
    <w:rsid w:val="007D063F"/>
    <w:rsid w:val="007D0763"/>
    <w:rsid w:val="007D07E4"/>
    <w:rsid w:val="007D0874"/>
    <w:rsid w:val="007D08D5"/>
    <w:rsid w:val="007D08FA"/>
    <w:rsid w:val="007D090A"/>
    <w:rsid w:val="007D0927"/>
    <w:rsid w:val="007D0986"/>
    <w:rsid w:val="007D0A04"/>
    <w:rsid w:val="007D0A36"/>
    <w:rsid w:val="007D0B36"/>
    <w:rsid w:val="007D0B7D"/>
    <w:rsid w:val="007D0C7C"/>
    <w:rsid w:val="007D0CBE"/>
    <w:rsid w:val="007D0CDA"/>
    <w:rsid w:val="007D0CDE"/>
    <w:rsid w:val="007D0D00"/>
    <w:rsid w:val="007D0D11"/>
    <w:rsid w:val="007D0E1B"/>
    <w:rsid w:val="007D0E8D"/>
    <w:rsid w:val="007D0EB4"/>
    <w:rsid w:val="007D0FD2"/>
    <w:rsid w:val="007D0FEF"/>
    <w:rsid w:val="007D1014"/>
    <w:rsid w:val="007D1127"/>
    <w:rsid w:val="007D11B6"/>
    <w:rsid w:val="007D120E"/>
    <w:rsid w:val="007D12A3"/>
    <w:rsid w:val="007D12AC"/>
    <w:rsid w:val="007D140E"/>
    <w:rsid w:val="007D149B"/>
    <w:rsid w:val="007D14DB"/>
    <w:rsid w:val="007D14EA"/>
    <w:rsid w:val="007D15A1"/>
    <w:rsid w:val="007D15AA"/>
    <w:rsid w:val="007D15EA"/>
    <w:rsid w:val="007D1635"/>
    <w:rsid w:val="007D1772"/>
    <w:rsid w:val="007D184F"/>
    <w:rsid w:val="007D18A0"/>
    <w:rsid w:val="007D18D7"/>
    <w:rsid w:val="007D1904"/>
    <w:rsid w:val="007D19D6"/>
    <w:rsid w:val="007D1A84"/>
    <w:rsid w:val="007D1A96"/>
    <w:rsid w:val="007D1ACA"/>
    <w:rsid w:val="007D1BBE"/>
    <w:rsid w:val="007D1BC2"/>
    <w:rsid w:val="007D1DDC"/>
    <w:rsid w:val="007D1E0A"/>
    <w:rsid w:val="007D1E1B"/>
    <w:rsid w:val="007D1FA3"/>
    <w:rsid w:val="007D1FBA"/>
    <w:rsid w:val="007D20BE"/>
    <w:rsid w:val="007D21C7"/>
    <w:rsid w:val="007D2235"/>
    <w:rsid w:val="007D2260"/>
    <w:rsid w:val="007D227D"/>
    <w:rsid w:val="007D22F1"/>
    <w:rsid w:val="007D2344"/>
    <w:rsid w:val="007D2353"/>
    <w:rsid w:val="007D2387"/>
    <w:rsid w:val="007D23FF"/>
    <w:rsid w:val="007D2403"/>
    <w:rsid w:val="007D246D"/>
    <w:rsid w:val="007D2494"/>
    <w:rsid w:val="007D250C"/>
    <w:rsid w:val="007D2632"/>
    <w:rsid w:val="007D2725"/>
    <w:rsid w:val="007D273C"/>
    <w:rsid w:val="007D2759"/>
    <w:rsid w:val="007D2892"/>
    <w:rsid w:val="007D28B0"/>
    <w:rsid w:val="007D28BE"/>
    <w:rsid w:val="007D28DE"/>
    <w:rsid w:val="007D28FF"/>
    <w:rsid w:val="007D291C"/>
    <w:rsid w:val="007D29B5"/>
    <w:rsid w:val="007D29D0"/>
    <w:rsid w:val="007D2A95"/>
    <w:rsid w:val="007D2B09"/>
    <w:rsid w:val="007D2B7A"/>
    <w:rsid w:val="007D2B85"/>
    <w:rsid w:val="007D2BBD"/>
    <w:rsid w:val="007D2BC5"/>
    <w:rsid w:val="007D2BE3"/>
    <w:rsid w:val="007D2D0F"/>
    <w:rsid w:val="007D2D19"/>
    <w:rsid w:val="007D2D73"/>
    <w:rsid w:val="007D2D77"/>
    <w:rsid w:val="007D2DC5"/>
    <w:rsid w:val="007D2E43"/>
    <w:rsid w:val="007D2E5D"/>
    <w:rsid w:val="007D2F92"/>
    <w:rsid w:val="007D300B"/>
    <w:rsid w:val="007D3028"/>
    <w:rsid w:val="007D3034"/>
    <w:rsid w:val="007D3039"/>
    <w:rsid w:val="007D3058"/>
    <w:rsid w:val="007D30A1"/>
    <w:rsid w:val="007D318D"/>
    <w:rsid w:val="007D3216"/>
    <w:rsid w:val="007D326A"/>
    <w:rsid w:val="007D3282"/>
    <w:rsid w:val="007D3288"/>
    <w:rsid w:val="007D336B"/>
    <w:rsid w:val="007D3397"/>
    <w:rsid w:val="007D33A2"/>
    <w:rsid w:val="007D3426"/>
    <w:rsid w:val="007D34B2"/>
    <w:rsid w:val="007D355F"/>
    <w:rsid w:val="007D36C4"/>
    <w:rsid w:val="007D3730"/>
    <w:rsid w:val="007D377C"/>
    <w:rsid w:val="007D37C5"/>
    <w:rsid w:val="007D37D2"/>
    <w:rsid w:val="007D381F"/>
    <w:rsid w:val="007D39DC"/>
    <w:rsid w:val="007D3A84"/>
    <w:rsid w:val="007D3B67"/>
    <w:rsid w:val="007D3B9D"/>
    <w:rsid w:val="007D3C00"/>
    <w:rsid w:val="007D3CBE"/>
    <w:rsid w:val="007D3CD1"/>
    <w:rsid w:val="007D3D44"/>
    <w:rsid w:val="007D3D45"/>
    <w:rsid w:val="007D3D52"/>
    <w:rsid w:val="007D3D62"/>
    <w:rsid w:val="007D3D72"/>
    <w:rsid w:val="007D3E00"/>
    <w:rsid w:val="007D3E24"/>
    <w:rsid w:val="007D3E32"/>
    <w:rsid w:val="007D3E5C"/>
    <w:rsid w:val="007D3E78"/>
    <w:rsid w:val="007D3ED0"/>
    <w:rsid w:val="007D3F06"/>
    <w:rsid w:val="007D3F49"/>
    <w:rsid w:val="007D3FE7"/>
    <w:rsid w:val="007D4009"/>
    <w:rsid w:val="007D4076"/>
    <w:rsid w:val="007D409D"/>
    <w:rsid w:val="007D410C"/>
    <w:rsid w:val="007D4221"/>
    <w:rsid w:val="007D4223"/>
    <w:rsid w:val="007D42A3"/>
    <w:rsid w:val="007D430C"/>
    <w:rsid w:val="007D43C3"/>
    <w:rsid w:val="007D4440"/>
    <w:rsid w:val="007D4474"/>
    <w:rsid w:val="007D44CB"/>
    <w:rsid w:val="007D450A"/>
    <w:rsid w:val="007D45F8"/>
    <w:rsid w:val="007D467E"/>
    <w:rsid w:val="007D4698"/>
    <w:rsid w:val="007D472B"/>
    <w:rsid w:val="007D479B"/>
    <w:rsid w:val="007D47C8"/>
    <w:rsid w:val="007D48D3"/>
    <w:rsid w:val="007D48EE"/>
    <w:rsid w:val="007D4A3A"/>
    <w:rsid w:val="007D4A95"/>
    <w:rsid w:val="007D4AA6"/>
    <w:rsid w:val="007D4B18"/>
    <w:rsid w:val="007D4B5E"/>
    <w:rsid w:val="007D4BC5"/>
    <w:rsid w:val="007D4C36"/>
    <w:rsid w:val="007D4D12"/>
    <w:rsid w:val="007D4D1B"/>
    <w:rsid w:val="007D4D9C"/>
    <w:rsid w:val="007D4DBF"/>
    <w:rsid w:val="007D4E0D"/>
    <w:rsid w:val="007D4E9E"/>
    <w:rsid w:val="007D4F05"/>
    <w:rsid w:val="007D4F30"/>
    <w:rsid w:val="007D4F64"/>
    <w:rsid w:val="007D4FF0"/>
    <w:rsid w:val="007D500E"/>
    <w:rsid w:val="007D5040"/>
    <w:rsid w:val="007D50DC"/>
    <w:rsid w:val="007D52A1"/>
    <w:rsid w:val="007D5309"/>
    <w:rsid w:val="007D5392"/>
    <w:rsid w:val="007D5397"/>
    <w:rsid w:val="007D5457"/>
    <w:rsid w:val="007D54B3"/>
    <w:rsid w:val="007D54F0"/>
    <w:rsid w:val="007D5517"/>
    <w:rsid w:val="007D5575"/>
    <w:rsid w:val="007D5639"/>
    <w:rsid w:val="007D566D"/>
    <w:rsid w:val="007D570B"/>
    <w:rsid w:val="007D578E"/>
    <w:rsid w:val="007D57D9"/>
    <w:rsid w:val="007D5916"/>
    <w:rsid w:val="007D5A0E"/>
    <w:rsid w:val="007D5A37"/>
    <w:rsid w:val="007D5A75"/>
    <w:rsid w:val="007D5AC2"/>
    <w:rsid w:val="007D5AE6"/>
    <w:rsid w:val="007D5C88"/>
    <w:rsid w:val="007D5CBB"/>
    <w:rsid w:val="007D5CCA"/>
    <w:rsid w:val="007D5CE4"/>
    <w:rsid w:val="007D5D82"/>
    <w:rsid w:val="007D5DB3"/>
    <w:rsid w:val="007D5E71"/>
    <w:rsid w:val="007D5FDE"/>
    <w:rsid w:val="007D6049"/>
    <w:rsid w:val="007D60C5"/>
    <w:rsid w:val="007D60F3"/>
    <w:rsid w:val="007D6129"/>
    <w:rsid w:val="007D6194"/>
    <w:rsid w:val="007D6239"/>
    <w:rsid w:val="007D624F"/>
    <w:rsid w:val="007D62D9"/>
    <w:rsid w:val="007D6383"/>
    <w:rsid w:val="007D6392"/>
    <w:rsid w:val="007D642F"/>
    <w:rsid w:val="007D6504"/>
    <w:rsid w:val="007D6544"/>
    <w:rsid w:val="007D670F"/>
    <w:rsid w:val="007D6780"/>
    <w:rsid w:val="007D67EA"/>
    <w:rsid w:val="007D6840"/>
    <w:rsid w:val="007D6954"/>
    <w:rsid w:val="007D69B8"/>
    <w:rsid w:val="007D69E4"/>
    <w:rsid w:val="007D6A05"/>
    <w:rsid w:val="007D6A2B"/>
    <w:rsid w:val="007D6ABC"/>
    <w:rsid w:val="007D6B03"/>
    <w:rsid w:val="007D6B63"/>
    <w:rsid w:val="007D6BC3"/>
    <w:rsid w:val="007D6C0B"/>
    <w:rsid w:val="007D6C56"/>
    <w:rsid w:val="007D6CC7"/>
    <w:rsid w:val="007D6CCD"/>
    <w:rsid w:val="007D6F12"/>
    <w:rsid w:val="007D6FB3"/>
    <w:rsid w:val="007D7005"/>
    <w:rsid w:val="007D7006"/>
    <w:rsid w:val="007D70E4"/>
    <w:rsid w:val="007D7105"/>
    <w:rsid w:val="007D7124"/>
    <w:rsid w:val="007D7204"/>
    <w:rsid w:val="007D723A"/>
    <w:rsid w:val="007D7252"/>
    <w:rsid w:val="007D7342"/>
    <w:rsid w:val="007D7499"/>
    <w:rsid w:val="007D763C"/>
    <w:rsid w:val="007D768B"/>
    <w:rsid w:val="007D76DE"/>
    <w:rsid w:val="007D772A"/>
    <w:rsid w:val="007D777F"/>
    <w:rsid w:val="007D7782"/>
    <w:rsid w:val="007D7793"/>
    <w:rsid w:val="007D77A0"/>
    <w:rsid w:val="007D7842"/>
    <w:rsid w:val="007D784B"/>
    <w:rsid w:val="007D784E"/>
    <w:rsid w:val="007D78F4"/>
    <w:rsid w:val="007D7905"/>
    <w:rsid w:val="007D791A"/>
    <w:rsid w:val="007D79E8"/>
    <w:rsid w:val="007D7AB7"/>
    <w:rsid w:val="007D7AEC"/>
    <w:rsid w:val="007D7B42"/>
    <w:rsid w:val="007D7B9B"/>
    <w:rsid w:val="007D7C23"/>
    <w:rsid w:val="007D7D3C"/>
    <w:rsid w:val="007D7DDB"/>
    <w:rsid w:val="007D7F8B"/>
    <w:rsid w:val="007E004C"/>
    <w:rsid w:val="007E008F"/>
    <w:rsid w:val="007E00E1"/>
    <w:rsid w:val="007E0164"/>
    <w:rsid w:val="007E01F7"/>
    <w:rsid w:val="007E02B2"/>
    <w:rsid w:val="007E0310"/>
    <w:rsid w:val="007E0402"/>
    <w:rsid w:val="007E05CC"/>
    <w:rsid w:val="007E0642"/>
    <w:rsid w:val="007E0673"/>
    <w:rsid w:val="007E0712"/>
    <w:rsid w:val="007E07A9"/>
    <w:rsid w:val="007E0800"/>
    <w:rsid w:val="007E0851"/>
    <w:rsid w:val="007E08D6"/>
    <w:rsid w:val="007E08FB"/>
    <w:rsid w:val="007E0AFB"/>
    <w:rsid w:val="007E0B24"/>
    <w:rsid w:val="007E0C0F"/>
    <w:rsid w:val="007E0C2F"/>
    <w:rsid w:val="007E0CCE"/>
    <w:rsid w:val="007E0DC2"/>
    <w:rsid w:val="007E0E35"/>
    <w:rsid w:val="007E0EF1"/>
    <w:rsid w:val="007E0FCD"/>
    <w:rsid w:val="007E101A"/>
    <w:rsid w:val="007E10D0"/>
    <w:rsid w:val="007E12CC"/>
    <w:rsid w:val="007E1442"/>
    <w:rsid w:val="007E153B"/>
    <w:rsid w:val="007E1540"/>
    <w:rsid w:val="007E16F6"/>
    <w:rsid w:val="007E17AA"/>
    <w:rsid w:val="007E17B4"/>
    <w:rsid w:val="007E17BE"/>
    <w:rsid w:val="007E181C"/>
    <w:rsid w:val="007E186D"/>
    <w:rsid w:val="007E18B5"/>
    <w:rsid w:val="007E1991"/>
    <w:rsid w:val="007E19CE"/>
    <w:rsid w:val="007E1A69"/>
    <w:rsid w:val="007E1AD0"/>
    <w:rsid w:val="007E1AF6"/>
    <w:rsid w:val="007E1B66"/>
    <w:rsid w:val="007E1CDF"/>
    <w:rsid w:val="007E1D1E"/>
    <w:rsid w:val="007E1D29"/>
    <w:rsid w:val="007E1D56"/>
    <w:rsid w:val="007E1D80"/>
    <w:rsid w:val="007E1FCD"/>
    <w:rsid w:val="007E1FD4"/>
    <w:rsid w:val="007E1FF8"/>
    <w:rsid w:val="007E2014"/>
    <w:rsid w:val="007E2054"/>
    <w:rsid w:val="007E20EF"/>
    <w:rsid w:val="007E2115"/>
    <w:rsid w:val="007E215E"/>
    <w:rsid w:val="007E2183"/>
    <w:rsid w:val="007E2197"/>
    <w:rsid w:val="007E21A3"/>
    <w:rsid w:val="007E2226"/>
    <w:rsid w:val="007E2563"/>
    <w:rsid w:val="007E259D"/>
    <w:rsid w:val="007E25F5"/>
    <w:rsid w:val="007E26CB"/>
    <w:rsid w:val="007E277D"/>
    <w:rsid w:val="007E27D7"/>
    <w:rsid w:val="007E28EA"/>
    <w:rsid w:val="007E28EE"/>
    <w:rsid w:val="007E29DD"/>
    <w:rsid w:val="007E2A7C"/>
    <w:rsid w:val="007E2A92"/>
    <w:rsid w:val="007E2A96"/>
    <w:rsid w:val="007E2AA0"/>
    <w:rsid w:val="007E2B1D"/>
    <w:rsid w:val="007E2B3B"/>
    <w:rsid w:val="007E2BC2"/>
    <w:rsid w:val="007E2BEB"/>
    <w:rsid w:val="007E2C61"/>
    <w:rsid w:val="007E2C7D"/>
    <w:rsid w:val="007E2CE2"/>
    <w:rsid w:val="007E2CF5"/>
    <w:rsid w:val="007E2D0F"/>
    <w:rsid w:val="007E2DF4"/>
    <w:rsid w:val="007E2EA3"/>
    <w:rsid w:val="007E2F57"/>
    <w:rsid w:val="007E2FAA"/>
    <w:rsid w:val="007E2FB1"/>
    <w:rsid w:val="007E2FC0"/>
    <w:rsid w:val="007E3048"/>
    <w:rsid w:val="007E307B"/>
    <w:rsid w:val="007E30AC"/>
    <w:rsid w:val="007E30D1"/>
    <w:rsid w:val="007E3129"/>
    <w:rsid w:val="007E3183"/>
    <w:rsid w:val="007E32C0"/>
    <w:rsid w:val="007E33A5"/>
    <w:rsid w:val="007E344D"/>
    <w:rsid w:val="007E34C5"/>
    <w:rsid w:val="007E3529"/>
    <w:rsid w:val="007E3576"/>
    <w:rsid w:val="007E35E0"/>
    <w:rsid w:val="007E361C"/>
    <w:rsid w:val="007E365E"/>
    <w:rsid w:val="007E368A"/>
    <w:rsid w:val="007E36A9"/>
    <w:rsid w:val="007E3833"/>
    <w:rsid w:val="007E3974"/>
    <w:rsid w:val="007E3A49"/>
    <w:rsid w:val="007E3A6A"/>
    <w:rsid w:val="007E3AE7"/>
    <w:rsid w:val="007E3AF0"/>
    <w:rsid w:val="007E3C7F"/>
    <w:rsid w:val="007E3CDA"/>
    <w:rsid w:val="007E3D76"/>
    <w:rsid w:val="007E3D8C"/>
    <w:rsid w:val="007E3E3D"/>
    <w:rsid w:val="007E3EDA"/>
    <w:rsid w:val="007E3F2F"/>
    <w:rsid w:val="007E4067"/>
    <w:rsid w:val="007E40FA"/>
    <w:rsid w:val="007E4127"/>
    <w:rsid w:val="007E4186"/>
    <w:rsid w:val="007E42AF"/>
    <w:rsid w:val="007E434D"/>
    <w:rsid w:val="007E43D3"/>
    <w:rsid w:val="007E44C5"/>
    <w:rsid w:val="007E45D2"/>
    <w:rsid w:val="007E45F7"/>
    <w:rsid w:val="007E469E"/>
    <w:rsid w:val="007E46A9"/>
    <w:rsid w:val="007E474F"/>
    <w:rsid w:val="007E4792"/>
    <w:rsid w:val="007E47F3"/>
    <w:rsid w:val="007E4869"/>
    <w:rsid w:val="007E48B0"/>
    <w:rsid w:val="007E4976"/>
    <w:rsid w:val="007E4A70"/>
    <w:rsid w:val="007E4A7A"/>
    <w:rsid w:val="007E4AF0"/>
    <w:rsid w:val="007E4B1A"/>
    <w:rsid w:val="007E4B77"/>
    <w:rsid w:val="007E4C32"/>
    <w:rsid w:val="007E4C79"/>
    <w:rsid w:val="007E4CC6"/>
    <w:rsid w:val="007E4CD0"/>
    <w:rsid w:val="007E4CEB"/>
    <w:rsid w:val="007E4E46"/>
    <w:rsid w:val="007E4E5A"/>
    <w:rsid w:val="007E4F84"/>
    <w:rsid w:val="007E4FA4"/>
    <w:rsid w:val="007E50D1"/>
    <w:rsid w:val="007E5102"/>
    <w:rsid w:val="007E514A"/>
    <w:rsid w:val="007E52FA"/>
    <w:rsid w:val="007E536E"/>
    <w:rsid w:val="007E53D1"/>
    <w:rsid w:val="007E5425"/>
    <w:rsid w:val="007E5477"/>
    <w:rsid w:val="007E54A7"/>
    <w:rsid w:val="007E5548"/>
    <w:rsid w:val="007E5644"/>
    <w:rsid w:val="007E5666"/>
    <w:rsid w:val="007E56F7"/>
    <w:rsid w:val="007E5778"/>
    <w:rsid w:val="007E57F7"/>
    <w:rsid w:val="007E5831"/>
    <w:rsid w:val="007E587D"/>
    <w:rsid w:val="007E588F"/>
    <w:rsid w:val="007E5919"/>
    <w:rsid w:val="007E5964"/>
    <w:rsid w:val="007E59E4"/>
    <w:rsid w:val="007E5A71"/>
    <w:rsid w:val="007E5A76"/>
    <w:rsid w:val="007E5A93"/>
    <w:rsid w:val="007E5C29"/>
    <w:rsid w:val="007E5CA0"/>
    <w:rsid w:val="007E5CAA"/>
    <w:rsid w:val="007E5CB4"/>
    <w:rsid w:val="007E5E8E"/>
    <w:rsid w:val="007E5E8F"/>
    <w:rsid w:val="007E5E93"/>
    <w:rsid w:val="007E5E9E"/>
    <w:rsid w:val="007E5F4B"/>
    <w:rsid w:val="007E5F4D"/>
    <w:rsid w:val="007E5F73"/>
    <w:rsid w:val="007E5F91"/>
    <w:rsid w:val="007E5FB7"/>
    <w:rsid w:val="007E5FFF"/>
    <w:rsid w:val="007E608D"/>
    <w:rsid w:val="007E60B1"/>
    <w:rsid w:val="007E60D0"/>
    <w:rsid w:val="007E6151"/>
    <w:rsid w:val="007E619B"/>
    <w:rsid w:val="007E61F2"/>
    <w:rsid w:val="007E6282"/>
    <w:rsid w:val="007E62FE"/>
    <w:rsid w:val="007E6492"/>
    <w:rsid w:val="007E64F7"/>
    <w:rsid w:val="007E6550"/>
    <w:rsid w:val="007E6551"/>
    <w:rsid w:val="007E658B"/>
    <w:rsid w:val="007E658C"/>
    <w:rsid w:val="007E6591"/>
    <w:rsid w:val="007E65F9"/>
    <w:rsid w:val="007E662B"/>
    <w:rsid w:val="007E6690"/>
    <w:rsid w:val="007E6746"/>
    <w:rsid w:val="007E677F"/>
    <w:rsid w:val="007E67AD"/>
    <w:rsid w:val="007E67CD"/>
    <w:rsid w:val="007E6A0A"/>
    <w:rsid w:val="007E6A6B"/>
    <w:rsid w:val="007E6A73"/>
    <w:rsid w:val="007E6AC1"/>
    <w:rsid w:val="007E6ACD"/>
    <w:rsid w:val="007E6B57"/>
    <w:rsid w:val="007E6B59"/>
    <w:rsid w:val="007E6B71"/>
    <w:rsid w:val="007E6B82"/>
    <w:rsid w:val="007E6B8D"/>
    <w:rsid w:val="007E6BC0"/>
    <w:rsid w:val="007E6C47"/>
    <w:rsid w:val="007E6D7C"/>
    <w:rsid w:val="007E6D95"/>
    <w:rsid w:val="007E6D99"/>
    <w:rsid w:val="007E6DD7"/>
    <w:rsid w:val="007E6DE1"/>
    <w:rsid w:val="007E6DF3"/>
    <w:rsid w:val="007E6E03"/>
    <w:rsid w:val="007E6E18"/>
    <w:rsid w:val="007E6ED2"/>
    <w:rsid w:val="007E6F55"/>
    <w:rsid w:val="007E6F91"/>
    <w:rsid w:val="007E6FC3"/>
    <w:rsid w:val="007E7035"/>
    <w:rsid w:val="007E7040"/>
    <w:rsid w:val="007E7120"/>
    <w:rsid w:val="007E7165"/>
    <w:rsid w:val="007E72CC"/>
    <w:rsid w:val="007E72DD"/>
    <w:rsid w:val="007E72DE"/>
    <w:rsid w:val="007E7313"/>
    <w:rsid w:val="007E7383"/>
    <w:rsid w:val="007E7416"/>
    <w:rsid w:val="007E7456"/>
    <w:rsid w:val="007E746E"/>
    <w:rsid w:val="007E74BF"/>
    <w:rsid w:val="007E7523"/>
    <w:rsid w:val="007E75B9"/>
    <w:rsid w:val="007E769A"/>
    <w:rsid w:val="007E76C6"/>
    <w:rsid w:val="007E7752"/>
    <w:rsid w:val="007E776C"/>
    <w:rsid w:val="007E77EA"/>
    <w:rsid w:val="007E77F4"/>
    <w:rsid w:val="007E7888"/>
    <w:rsid w:val="007E792E"/>
    <w:rsid w:val="007E79E2"/>
    <w:rsid w:val="007E79F1"/>
    <w:rsid w:val="007E7A12"/>
    <w:rsid w:val="007E7A26"/>
    <w:rsid w:val="007E7A9C"/>
    <w:rsid w:val="007E7B27"/>
    <w:rsid w:val="007E7C00"/>
    <w:rsid w:val="007E7CB0"/>
    <w:rsid w:val="007E7CE5"/>
    <w:rsid w:val="007E7CF2"/>
    <w:rsid w:val="007E7D3C"/>
    <w:rsid w:val="007E7E9A"/>
    <w:rsid w:val="007E7ED2"/>
    <w:rsid w:val="007E7F58"/>
    <w:rsid w:val="007E7F9A"/>
    <w:rsid w:val="007F0041"/>
    <w:rsid w:val="007F0050"/>
    <w:rsid w:val="007F010B"/>
    <w:rsid w:val="007F0170"/>
    <w:rsid w:val="007F01C0"/>
    <w:rsid w:val="007F01F0"/>
    <w:rsid w:val="007F0249"/>
    <w:rsid w:val="007F0269"/>
    <w:rsid w:val="007F02FA"/>
    <w:rsid w:val="007F0468"/>
    <w:rsid w:val="007F04D4"/>
    <w:rsid w:val="007F04F8"/>
    <w:rsid w:val="007F067E"/>
    <w:rsid w:val="007F0687"/>
    <w:rsid w:val="007F06F2"/>
    <w:rsid w:val="007F0825"/>
    <w:rsid w:val="007F087A"/>
    <w:rsid w:val="007F08A8"/>
    <w:rsid w:val="007F0921"/>
    <w:rsid w:val="007F0940"/>
    <w:rsid w:val="007F0974"/>
    <w:rsid w:val="007F0986"/>
    <w:rsid w:val="007F09A5"/>
    <w:rsid w:val="007F09CE"/>
    <w:rsid w:val="007F0A45"/>
    <w:rsid w:val="007F0B06"/>
    <w:rsid w:val="007F0B4A"/>
    <w:rsid w:val="007F0BB5"/>
    <w:rsid w:val="007F0DBB"/>
    <w:rsid w:val="007F0E3C"/>
    <w:rsid w:val="007F0E61"/>
    <w:rsid w:val="007F0E7E"/>
    <w:rsid w:val="007F0EF5"/>
    <w:rsid w:val="007F0EFA"/>
    <w:rsid w:val="007F0FAC"/>
    <w:rsid w:val="007F1008"/>
    <w:rsid w:val="007F102C"/>
    <w:rsid w:val="007F1051"/>
    <w:rsid w:val="007F10A3"/>
    <w:rsid w:val="007F111D"/>
    <w:rsid w:val="007F1120"/>
    <w:rsid w:val="007F115C"/>
    <w:rsid w:val="007F11B9"/>
    <w:rsid w:val="007F123B"/>
    <w:rsid w:val="007F1259"/>
    <w:rsid w:val="007F1287"/>
    <w:rsid w:val="007F12BC"/>
    <w:rsid w:val="007F12F8"/>
    <w:rsid w:val="007F132F"/>
    <w:rsid w:val="007F1357"/>
    <w:rsid w:val="007F13A9"/>
    <w:rsid w:val="007F1414"/>
    <w:rsid w:val="007F14B3"/>
    <w:rsid w:val="007F14FA"/>
    <w:rsid w:val="007F14FE"/>
    <w:rsid w:val="007F155A"/>
    <w:rsid w:val="007F15BA"/>
    <w:rsid w:val="007F166C"/>
    <w:rsid w:val="007F1670"/>
    <w:rsid w:val="007F170F"/>
    <w:rsid w:val="007F176B"/>
    <w:rsid w:val="007F17F0"/>
    <w:rsid w:val="007F1801"/>
    <w:rsid w:val="007F1864"/>
    <w:rsid w:val="007F18FC"/>
    <w:rsid w:val="007F1909"/>
    <w:rsid w:val="007F1925"/>
    <w:rsid w:val="007F195E"/>
    <w:rsid w:val="007F1975"/>
    <w:rsid w:val="007F1984"/>
    <w:rsid w:val="007F1A04"/>
    <w:rsid w:val="007F1A35"/>
    <w:rsid w:val="007F1A9D"/>
    <w:rsid w:val="007F1AF4"/>
    <w:rsid w:val="007F1B06"/>
    <w:rsid w:val="007F1BE7"/>
    <w:rsid w:val="007F1C6E"/>
    <w:rsid w:val="007F1E33"/>
    <w:rsid w:val="007F1E65"/>
    <w:rsid w:val="007F1E7B"/>
    <w:rsid w:val="007F1F28"/>
    <w:rsid w:val="007F1F33"/>
    <w:rsid w:val="007F1F44"/>
    <w:rsid w:val="007F1F68"/>
    <w:rsid w:val="007F2005"/>
    <w:rsid w:val="007F2034"/>
    <w:rsid w:val="007F20B5"/>
    <w:rsid w:val="007F2174"/>
    <w:rsid w:val="007F2272"/>
    <w:rsid w:val="007F2360"/>
    <w:rsid w:val="007F2535"/>
    <w:rsid w:val="007F2572"/>
    <w:rsid w:val="007F25FD"/>
    <w:rsid w:val="007F266F"/>
    <w:rsid w:val="007F268D"/>
    <w:rsid w:val="007F2762"/>
    <w:rsid w:val="007F2781"/>
    <w:rsid w:val="007F27C1"/>
    <w:rsid w:val="007F2848"/>
    <w:rsid w:val="007F28A2"/>
    <w:rsid w:val="007F28FF"/>
    <w:rsid w:val="007F2920"/>
    <w:rsid w:val="007F2945"/>
    <w:rsid w:val="007F295C"/>
    <w:rsid w:val="007F29D8"/>
    <w:rsid w:val="007F2A73"/>
    <w:rsid w:val="007F2B3C"/>
    <w:rsid w:val="007F2BB2"/>
    <w:rsid w:val="007F2BCC"/>
    <w:rsid w:val="007F2C44"/>
    <w:rsid w:val="007F2C67"/>
    <w:rsid w:val="007F2CAC"/>
    <w:rsid w:val="007F2D40"/>
    <w:rsid w:val="007F2E2F"/>
    <w:rsid w:val="007F2EB1"/>
    <w:rsid w:val="007F2EF7"/>
    <w:rsid w:val="007F2F81"/>
    <w:rsid w:val="007F3110"/>
    <w:rsid w:val="007F31C3"/>
    <w:rsid w:val="007F3215"/>
    <w:rsid w:val="007F3269"/>
    <w:rsid w:val="007F32BD"/>
    <w:rsid w:val="007F335D"/>
    <w:rsid w:val="007F336F"/>
    <w:rsid w:val="007F33E4"/>
    <w:rsid w:val="007F33F0"/>
    <w:rsid w:val="007F3476"/>
    <w:rsid w:val="007F350B"/>
    <w:rsid w:val="007F350D"/>
    <w:rsid w:val="007F3581"/>
    <w:rsid w:val="007F3602"/>
    <w:rsid w:val="007F3656"/>
    <w:rsid w:val="007F36B4"/>
    <w:rsid w:val="007F3702"/>
    <w:rsid w:val="007F371F"/>
    <w:rsid w:val="007F3746"/>
    <w:rsid w:val="007F377C"/>
    <w:rsid w:val="007F3783"/>
    <w:rsid w:val="007F386F"/>
    <w:rsid w:val="007F38BA"/>
    <w:rsid w:val="007F38E5"/>
    <w:rsid w:val="007F39AC"/>
    <w:rsid w:val="007F3B57"/>
    <w:rsid w:val="007F3C58"/>
    <w:rsid w:val="007F3E4D"/>
    <w:rsid w:val="007F3F83"/>
    <w:rsid w:val="007F40FA"/>
    <w:rsid w:val="007F4196"/>
    <w:rsid w:val="007F4197"/>
    <w:rsid w:val="007F41CD"/>
    <w:rsid w:val="007F4230"/>
    <w:rsid w:val="007F42E1"/>
    <w:rsid w:val="007F430A"/>
    <w:rsid w:val="007F431F"/>
    <w:rsid w:val="007F432C"/>
    <w:rsid w:val="007F4356"/>
    <w:rsid w:val="007F4475"/>
    <w:rsid w:val="007F4507"/>
    <w:rsid w:val="007F452B"/>
    <w:rsid w:val="007F4551"/>
    <w:rsid w:val="007F4556"/>
    <w:rsid w:val="007F4566"/>
    <w:rsid w:val="007F456E"/>
    <w:rsid w:val="007F4595"/>
    <w:rsid w:val="007F45ED"/>
    <w:rsid w:val="007F463C"/>
    <w:rsid w:val="007F4646"/>
    <w:rsid w:val="007F4673"/>
    <w:rsid w:val="007F46EB"/>
    <w:rsid w:val="007F470B"/>
    <w:rsid w:val="007F4730"/>
    <w:rsid w:val="007F474B"/>
    <w:rsid w:val="007F478E"/>
    <w:rsid w:val="007F4842"/>
    <w:rsid w:val="007F487F"/>
    <w:rsid w:val="007F48E7"/>
    <w:rsid w:val="007F4ABF"/>
    <w:rsid w:val="007F4C09"/>
    <w:rsid w:val="007F4C42"/>
    <w:rsid w:val="007F4C85"/>
    <w:rsid w:val="007F4DAF"/>
    <w:rsid w:val="007F4F67"/>
    <w:rsid w:val="007F4F6D"/>
    <w:rsid w:val="007F4FC6"/>
    <w:rsid w:val="007F4FDC"/>
    <w:rsid w:val="007F503E"/>
    <w:rsid w:val="007F5045"/>
    <w:rsid w:val="007F51DC"/>
    <w:rsid w:val="007F5210"/>
    <w:rsid w:val="007F5222"/>
    <w:rsid w:val="007F52B1"/>
    <w:rsid w:val="007F53A1"/>
    <w:rsid w:val="007F53D1"/>
    <w:rsid w:val="007F5420"/>
    <w:rsid w:val="007F5493"/>
    <w:rsid w:val="007F5521"/>
    <w:rsid w:val="007F55F1"/>
    <w:rsid w:val="007F562C"/>
    <w:rsid w:val="007F56DA"/>
    <w:rsid w:val="007F56DC"/>
    <w:rsid w:val="007F590C"/>
    <w:rsid w:val="007F59B2"/>
    <w:rsid w:val="007F5A2E"/>
    <w:rsid w:val="007F5A6E"/>
    <w:rsid w:val="007F5A75"/>
    <w:rsid w:val="007F5BF3"/>
    <w:rsid w:val="007F5C75"/>
    <w:rsid w:val="007F5D3A"/>
    <w:rsid w:val="007F5D40"/>
    <w:rsid w:val="007F5E5F"/>
    <w:rsid w:val="007F5EE6"/>
    <w:rsid w:val="007F5F33"/>
    <w:rsid w:val="007F5F83"/>
    <w:rsid w:val="007F5F86"/>
    <w:rsid w:val="007F5FBA"/>
    <w:rsid w:val="007F60CA"/>
    <w:rsid w:val="007F6145"/>
    <w:rsid w:val="007F6153"/>
    <w:rsid w:val="007F61A4"/>
    <w:rsid w:val="007F6237"/>
    <w:rsid w:val="007F6265"/>
    <w:rsid w:val="007F6295"/>
    <w:rsid w:val="007F644A"/>
    <w:rsid w:val="007F65FC"/>
    <w:rsid w:val="007F6701"/>
    <w:rsid w:val="007F67EC"/>
    <w:rsid w:val="007F680D"/>
    <w:rsid w:val="007F685D"/>
    <w:rsid w:val="007F6860"/>
    <w:rsid w:val="007F6899"/>
    <w:rsid w:val="007F68D2"/>
    <w:rsid w:val="007F69DE"/>
    <w:rsid w:val="007F6A32"/>
    <w:rsid w:val="007F6B1B"/>
    <w:rsid w:val="007F6B83"/>
    <w:rsid w:val="007F6BB8"/>
    <w:rsid w:val="007F6BDB"/>
    <w:rsid w:val="007F6D57"/>
    <w:rsid w:val="007F6D7F"/>
    <w:rsid w:val="007F6D85"/>
    <w:rsid w:val="007F6D8F"/>
    <w:rsid w:val="007F6DCA"/>
    <w:rsid w:val="007F6E47"/>
    <w:rsid w:val="007F6F5A"/>
    <w:rsid w:val="007F6F8F"/>
    <w:rsid w:val="007F6FDA"/>
    <w:rsid w:val="007F6FDE"/>
    <w:rsid w:val="007F7026"/>
    <w:rsid w:val="007F7052"/>
    <w:rsid w:val="007F7101"/>
    <w:rsid w:val="007F7160"/>
    <w:rsid w:val="007F7350"/>
    <w:rsid w:val="007F736B"/>
    <w:rsid w:val="007F7405"/>
    <w:rsid w:val="007F7420"/>
    <w:rsid w:val="007F74A6"/>
    <w:rsid w:val="007F7554"/>
    <w:rsid w:val="007F75BC"/>
    <w:rsid w:val="007F760E"/>
    <w:rsid w:val="007F765B"/>
    <w:rsid w:val="007F769B"/>
    <w:rsid w:val="007F76D7"/>
    <w:rsid w:val="007F7709"/>
    <w:rsid w:val="007F7788"/>
    <w:rsid w:val="007F785C"/>
    <w:rsid w:val="007F7891"/>
    <w:rsid w:val="007F78DF"/>
    <w:rsid w:val="007F79C2"/>
    <w:rsid w:val="007F7A77"/>
    <w:rsid w:val="007F7A94"/>
    <w:rsid w:val="007F7B20"/>
    <w:rsid w:val="007F7B84"/>
    <w:rsid w:val="007F7C96"/>
    <w:rsid w:val="007F7CC7"/>
    <w:rsid w:val="007F7CCC"/>
    <w:rsid w:val="007F7FD6"/>
    <w:rsid w:val="00800141"/>
    <w:rsid w:val="008001C1"/>
    <w:rsid w:val="008002E7"/>
    <w:rsid w:val="008003CB"/>
    <w:rsid w:val="00800424"/>
    <w:rsid w:val="0080044E"/>
    <w:rsid w:val="0080047B"/>
    <w:rsid w:val="008004F7"/>
    <w:rsid w:val="0080058D"/>
    <w:rsid w:val="008005AA"/>
    <w:rsid w:val="008005B4"/>
    <w:rsid w:val="00800605"/>
    <w:rsid w:val="00800642"/>
    <w:rsid w:val="0080064C"/>
    <w:rsid w:val="0080088C"/>
    <w:rsid w:val="00800939"/>
    <w:rsid w:val="0080099E"/>
    <w:rsid w:val="00800A1E"/>
    <w:rsid w:val="00800A89"/>
    <w:rsid w:val="00800B6F"/>
    <w:rsid w:val="00800BD9"/>
    <w:rsid w:val="00800BFF"/>
    <w:rsid w:val="00800C01"/>
    <w:rsid w:val="00800C1E"/>
    <w:rsid w:val="00800CF5"/>
    <w:rsid w:val="00800D3F"/>
    <w:rsid w:val="00800D6D"/>
    <w:rsid w:val="00800D8E"/>
    <w:rsid w:val="00800E67"/>
    <w:rsid w:val="00800F22"/>
    <w:rsid w:val="00800F5F"/>
    <w:rsid w:val="00800F6B"/>
    <w:rsid w:val="00800F6C"/>
    <w:rsid w:val="00801046"/>
    <w:rsid w:val="00801388"/>
    <w:rsid w:val="0080138C"/>
    <w:rsid w:val="008013DB"/>
    <w:rsid w:val="00801508"/>
    <w:rsid w:val="00801532"/>
    <w:rsid w:val="00801568"/>
    <w:rsid w:val="0080160E"/>
    <w:rsid w:val="008016A6"/>
    <w:rsid w:val="00801717"/>
    <w:rsid w:val="008017EF"/>
    <w:rsid w:val="008018BD"/>
    <w:rsid w:val="00801919"/>
    <w:rsid w:val="00801924"/>
    <w:rsid w:val="008019E0"/>
    <w:rsid w:val="008019F0"/>
    <w:rsid w:val="00801A6F"/>
    <w:rsid w:val="00801A8A"/>
    <w:rsid w:val="00801AAD"/>
    <w:rsid w:val="00801B06"/>
    <w:rsid w:val="00801B28"/>
    <w:rsid w:val="00801B51"/>
    <w:rsid w:val="00801BA7"/>
    <w:rsid w:val="00801BF4"/>
    <w:rsid w:val="00801C4E"/>
    <w:rsid w:val="00801CD3"/>
    <w:rsid w:val="00801D2D"/>
    <w:rsid w:val="00801D84"/>
    <w:rsid w:val="00801D9E"/>
    <w:rsid w:val="00801D9F"/>
    <w:rsid w:val="00801DCA"/>
    <w:rsid w:val="00801EEF"/>
    <w:rsid w:val="00801F71"/>
    <w:rsid w:val="00801FAC"/>
    <w:rsid w:val="00801FB3"/>
    <w:rsid w:val="008020F4"/>
    <w:rsid w:val="008021C2"/>
    <w:rsid w:val="008021D1"/>
    <w:rsid w:val="008021F6"/>
    <w:rsid w:val="0080226B"/>
    <w:rsid w:val="008023B3"/>
    <w:rsid w:val="008023CB"/>
    <w:rsid w:val="00802438"/>
    <w:rsid w:val="0080253D"/>
    <w:rsid w:val="0080260D"/>
    <w:rsid w:val="0080263E"/>
    <w:rsid w:val="008026C9"/>
    <w:rsid w:val="00802718"/>
    <w:rsid w:val="008028BD"/>
    <w:rsid w:val="008029B5"/>
    <w:rsid w:val="00802B7F"/>
    <w:rsid w:val="00802B8F"/>
    <w:rsid w:val="00802BE9"/>
    <w:rsid w:val="00802BFE"/>
    <w:rsid w:val="00802C9F"/>
    <w:rsid w:val="00802D31"/>
    <w:rsid w:val="00802D3A"/>
    <w:rsid w:val="00802D64"/>
    <w:rsid w:val="00802D70"/>
    <w:rsid w:val="00802D72"/>
    <w:rsid w:val="00802D73"/>
    <w:rsid w:val="00802F2A"/>
    <w:rsid w:val="00802F6B"/>
    <w:rsid w:val="00802F8A"/>
    <w:rsid w:val="00802FBD"/>
    <w:rsid w:val="00802FDA"/>
    <w:rsid w:val="0080301C"/>
    <w:rsid w:val="0080302E"/>
    <w:rsid w:val="008030DB"/>
    <w:rsid w:val="00803146"/>
    <w:rsid w:val="00803169"/>
    <w:rsid w:val="008031C5"/>
    <w:rsid w:val="0080322B"/>
    <w:rsid w:val="0080328E"/>
    <w:rsid w:val="00803356"/>
    <w:rsid w:val="00803364"/>
    <w:rsid w:val="0080337E"/>
    <w:rsid w:val="008034C9"/>
    <w:rsid w:val="008034DE"/>
    <w:rsid w:val="00803501"/>
    <w:rsid w:val="008035C8"/>
    <w:rsid w:val="008036AB"/>
    <w:rsid w:val="00803736"/>
    <w:rsid w:val="00803772"/>
    <w:rsid w:val="0080377D"/>
    <w:rsid w:val="0080393C"/>
    <w:rsid w:val="0080397C"/>
    <w:rsid w:val="00803B02"/>
    <w:rsid w:val="00803B1F"/>
    <w:rsid w:val="00803B22"/>
    <w:rsid w:val="00803B86"/>
    <w:rsid w:val="00803D0C"/>
    <w:rsid w:val="00803E72"/>
    <w:rsid w:val="00803E8D"/>
    <w:rsid w:val="00803F70"/>
    <w:rsid w:val="008040D9"/>
    <w:rsid w:val="008040E6"/>
    <w:rsid w:val="00804105"/>
    <w:rsid w:val="008041A0"/>
    <w:rsid w:val="008041CD"/>
    <w:rsid w:val="008042D8"/>
    <w:rsid w:val="00804330"/>
    <w:rsid w:val="0080436B"/>
    <w:rsid w:val="00804402"/>
    <w:rsid w:val="008044A0"/>
    <w:rsid w:val="00804553"/>
    <w:rsid w:val="0080459E"/>
    <w:rsid w:val="00804685"/>
    <w:rsid w:val="008047DD"/>
    <w:rsid w:val="008047F7"/>
    <w:rsid w:val="00804800"/>
    <w:rsid w:val="0080482C"/>
    <w:rsid w:val="008048F0"/>
    <w:rsid w:val="00804983"/>
    <w:rsid w:val="008049E2"/>
    <w:rsid w:val="008049E5"/>
    <w:rsid w:val="00804A4A"/>
    <w:rsid w:val="00804AFC"/>
    <w:rsid w:val="00804B0C"/>
    <w:rsid w:val="00804B7C"/>
    <w:rsid w:val="00804BE5"/>
    <w:rsid w:val="00804C04"/>
    <w:rsid w:val="00804C5C"/>
    <w:rsid w:val="00804C9D"/>
    <w:rsid w:val="00804CD6"/>
    <w:rsid w:val="00804CEF"/>
    <w:rsid w:val="00804D2B"/>
    <w:rsid w:val="00804D3D"/>
    <w:rsid w:val="00804E02"/>
    <w:rsid w:val="00804E35"/>
    <w:rsid w:val="00804E5C"/>
    <w:rsid w:val="00804EDE"/>
    <w:rsid w:val="00804F17"/>
    <w:rsid w:val="00804F66"/>
    <w:rsid w:val="00804FF0"/>
    <w:rsid w:val="00805040"/>
    <w:rsid w:val="008051A3"/>
    <w:rsid w:val="00805268"/>
    <w:rsid w:val="0080531E"/>
    <w:rsid w:val="008054B7"/>
    <w:rsid w:val="00805579"/>
    <w:rsid w:val="008055AB"/>
    <w:rsid w:val="008055DB"/>
    <w:rsid w:val="00805651"/>
    <w:rsid w:val="00805686"/>
    <w:rsid w:val="00805700"/>
    <w:rsid w:val="0080581C"/>
    <w:rsid w:val="008058DC"/>
    <w:rsid w:val="00805935"/>
    <w:rsid w:val="00805A11"/>
    <w:rsid w:val="00805A18"/>
    <w:rsid w:val="00805AE8"/>
    <w:rsid w:val="00805AED"/>
    <w:rsid w:val="00805B6C"/>
    <w:rsid w:val="00805B97"/>
    <w:rsid w:val="00805BBA"/>
    <w:rsid w:val="00805C4E"/>
    <w:rsid w:val="00805CCD"/>
    <w:rsid w:val="00805D9B"/>
    <w:rsid w:val="00805DC3"/>
    <w:rsid w:val="00805E3F"/>
    <w:rsid w:val="00805E8C"/>
    <w:rsid w:val="00805F2F"/>
    <w:rsid w:val="00805FE6"/>
    <w:rsid w:val="00806039"/>
    <w:rsid w:val="00806057"/>
    <w:rsid w:val="0080606D"/>
    <w:rsid w:val="008060EE"/>
    <w:rsid w:val="00806123"/>
    <w:rsid w:val="00806141"/>
    <w:rsid w:val="00806175"/>
    <w:rsid w:val="008061C7"/>
    <w:rsid w:val="008061D5"/>
    <w:rsid w:val="00806211"/>
    <w:rsid w:val="0080630B"/>
    <w:rsid w:val="0080631D"/>
    <w:rsid w:val="008063EF"/>
    <w:rsid w:val="00806433"/>
    <w:rsid w:val="00806490"/>
    <w:rsid w:val="008064D2"/>
    <w:rsid w:val="008064DF"/>
    <w:rsid w:val="008064EE"/>
    <w:rsid w:val="00806541"/>
    <w:rsid w:val="008065E5"/>
    <w:rsid w:val="008066F9"/>
    <w:rsid w:val="0080671F"/>
    <w:rsid w:val="0080678A"/>
    <w:rsid w:val="00806993"/>
    <w:rsid w:val="008069C0"/>
    <w:rsid w:val="00806A1C"/>
    <w:rsid w:val="00806AC7"/>
    <w:rsid w:val="00806B07"/>
    <w:rsid w:val="00806B81"/>
    <w:rsid w:val="00806CB9"/>
    <w:rsid w:val="00806CED"/>
    <w:rsid w:val="00806D4E"/>
    <w:rsid w:val="00806D67"/>
    <w:rsid w:val="00806EB0"/>
    <w:rsid w:val="00806EB2"/>
    <w:rsid w:val="00806EB5"/>
    <w:rsid w:val="00806F13"/>
    <w:rsid w:val="00806FB0"/>
    <w:rsid w:val="00807093"/>
    <w:rsid w:val="008070BB"/>
    <w:rsid w:val="008070D9"/>
    <w:rsid w:val="00807153"/>
    <w:rsid w:val="008071CF"/>
    <w:rsid w:val="008072D7"/>
    <w:rsid w:val="008072E7"/>
    <w:rsid w:val="00807333"/>
    <w:rsid w:val="00807410"/>
    <w:rsid w:val="0080741C"/>
    <w:rsid w:val="00807495"/>
    <w:rsid w:val="008074BF"/>
    <w:rsid w:val="00807578"/>
    <w:rsid w:val="00807588"/>
    <w:rsid w:val="0080758E"/>
    <w:rsid w:val="0080760A"/>
    <w:rsid w:val="0080761A"/>
    <w:rsid w:val="00807628"/>
    <w:rsid w:val="00807690"/>
    <w:rsid w:val="00807896"/>
    <w:rsid w:val="008078A6"/>
    <w:rsid w:val="00807920"/>
    <w:rsid w:val="0080792B"/>
    <w:rsid w:val="00807934"/>
    <w:rsid w:val="0080794A"/>
    <w:rsid w:val="00807961"/>
    <w:rsid w:val="008079BC"/>
    <w:rsid w:val="00807AF5"/>
    <w:rsid w:val="00807AF7"/>
    <w:rsid w:val="00807C17"/>
    <w:rsid w:val="00807D5C"/>
    <w:rsid w:val="00807DD9"/>
    <w:rsid w:val="00807E5E"/>
    <w:rsid w:val="00807EEF"/>
    <w:rsid w:val="00807F4C"/>
    <w:rsid w:val="00807FA1"/>
    <w:rsid w:val="00810054"/>
    <w:rsid w:val="00810078"/>
    <w:rsid w:val="008100F4"/>
    <w:rsid w:val="0081017C"/>
    <w:rsid w:val="008101AB"/>
    <w:rsid w:val="0081025F"/>
    <w:rsid w:val="00810289"/>
    <w:rsid w:val="008102F0"/>
    <w:rsid w:val="00810327"/>
    <w:rsid w:val="0081032E"/>
    <w:rsid w:val="00810331"/>
    <w:rsid w:val="0081051A"/>
    <w:rsid w:val="00810523"/>
    <w:rsid w:val="008105E3"/>
    <w:rsid w:val="0081060B"/>
    <w:rsid w:val="008106E6"/>
    <w:rsid w:val="008106F8"/>
    <w:rsid w:val="00810717"/>
    <w:rsid w:val="008107A8"/>
    <w:rsid w:val="008107BD"/>
    <w:rsid w:val="00810855"/>
    <w:rsid w:val="00810940"/>
    <w:rsid w:val="00810A08"/>
    <w:rsid w:val="00810A0A"/>
    <w:rsid w:val="00810A97"/>
    <w:rsid w:val="00810AB8"/>
    <w:rsid w:val="00810B33"/>
    <w:rsid w:val="00810B75"/>
    <w:rsid w:val="00810B91"/>
    <w:rsid w:val="00810BA1"/>
    <w:rsid w:val="00810BCA"/>
    <w:rsid w:val="00810D14"/>
    <w:rsid w:val="00810D7C"/>
    <w:rsid w:val="00810D91"/>
    <w:rsid w:val="00810E1A"/>
    <w:rsid w:val="00810FD5"/>
    <w:rsid w:val="00811062"/>
    <w:rsid w:val="00811075"/>
    <w:rsid w:val="00811089"/>
    <w:rsid w:val="008110D5"/>
    <w:rsid w:val="008114B8"/>
    <w:rsid w:val="00811541"/>
    <w:rsid w:val="00811549"/>
    <w:rsid w:val="008115C8"/>
    <w:rsid w:val="00811609"/>
    <w:rsid w:val="008117A9"/>
    <w:rsid w:val="00811824"/>
    <w:rsid w:val="008118E4"/>
    <w:rsid w:val="008118E5"/>
    <w:rsid w:val="008119A5"/>
    <w:rsid w:val="00811AB7"/>
    <w:rsid w:val="00811ABF"/>
    <w:rsid w:val="00811AEC"/>
    <w:rsid w:val="00811BE3"/>
    <w:rsid w:val="00811C06"/>
    <w:rsid w:val="00811C0C"/>
    <w:rsid w:val="00811D10"/>
    <w:rsid w:val="00811D24"/>
    <w:rsid w:val="00811D4F"/>
    <w:rsid w:val="00811DE2"/>
    <w:rsid w:val="00811EBB"/>
    <w:rsid w:val="00811EEF"/>
    <w:rsid w:val="00811FB7"/>
    <w:rsid w:val="00811FDF"/>
    <w:rsid w:val="00812008"/>
    <w:rsid w:val="0081204E"/>
    <w:rsid w:val="00812072"/>
    <w:rsid w:val="008120B3"/>
    <w:rsid w:val="008120E6"/>
    <w:rsid w:val="008120FF"/>
    <w:rsid w:val="00812125"/>
    <w:rsid w:val="0081217E"/>
    <w:rsid w:val="008121B1"/>
    <w:rsid w:val="00812222"/>
    <w:rsid w:val="0081223F"/>
    <w:rsid w:val="0081232C"/>
    <w:rsid w:val="00812348"/>
    <w:rsid w:val="008123C2"/>
    <w:rsid w:val="008123E6"/>
    <w:rsid w:val="008123F4"/>
    <w:rsid w:val="00812433"/>
    <w:rsid w:val="0081251B"/>
    <w:rsid w:val="008125AC"/>
    <w:rsid w:val="008125C4"/>
    <w:rsid w:val="008126A8"/>
    <w:rsid w:val="00812721"/>
    <w:rsid w:val="0081283C"/>
    <w:rsid w:val="0081291A"/>
    <w:rsid w:val="00812925"/>
    <w:rsid w:val="00812939"/>
    <w:rsid w:val="00812951"/>
    <w:rsid w:val="008129F3"/>
    <w:rsid w:val="00812A1F"/>
    <w:rsid w:val="00812C3A"/>
    <w:rsid w:val="00812C65"/>
    <w:rsid w:val="00812CA8"/>
    <w:rsid w:val="00812CD5"/>
    <w:rsid w:val="00812CD8"/>
    <w:rsid w:val="00812CF4"/>
    <w:rsid w:val="00812D11"/>
    <w:rsid w:val="00812D94"/>
    <w:rsid w:val="00812DC0"/>
    <w:rsid w:val="00812E3A"/>
    <w:rsid w:val="00812EBF"/>
    <w:rsid w:val="00812F1F"/>
    <w:rsid w:val="00812FA9"/>
    <w:rsid w:val="0081316F"/>
    <w:rsid w:val="00813196"/>
    <w:rsid w:val="008131F7"/>
    <w:rsid w:val="008132AD"/>
    <w:rsid w:val="008132E7"/>
    <w:rsid w:val="0081333C"/>
    <w:rsid w:val="008133CF"/>
    <w:rsid w:val="0081342A"/>
    <w:rsid w:val="0081348C"/>
    <w:rsid w:val="008134EC"/>
    <w:rsid w:val="0081366D"/>
    <w:rsid w:val="008136FC"/>
    <w:rsid w:val="0081373D"/>
    <w:rsid w:val="008137DB"/>
    <w:rsid w:val="0081387F"/>
    <w:rsid w:val="00813A26"/>
    <w:rsid w:val="00813B5F"/>
    <w:rsid w:val="00813B60"/>
    <w:rsid w:val="00813C99"/>
    <w:rsid w:val="00813D37"/>
    <w:rsid w:val="00813D7B"/>
    <w:rsid w:val="00813DA5"/>
    <w:rsid w:val="00813E16"/>
    <w:rsid w:val="00813E54"/>
    <w:rsid w:val="00813EEC"/>
    <w:rsid w:val="00813F69"/>
    <w:rsid w:val="00814017"/>
    <w:rsid w:val="008140BD"/>
    <w:rsid w:val="00814108"/>
    <w:rsid w:val="00814144"/>
    <w:rsid w:val="00814171"/>
    <w:rsid w:val="0081417C"/>
    <w:rsid w:val="008142BE"/>
    <w:rsid w:val="008142C0"/>
    <w:rsid w:val="008142F3"/>
    <w:rsid w:val="008143F1"/>
    <w:rsid w:val="00814425"/>
    <w:rsid w:val="0081448A"/>
    <w:rsid w:val="008144AC"/>
    <w:rsid w:val="008144F4"/>
    <w:rsid w:val="00814509"/>
    <w:rsid w:val="0081452D"/>
    <w:rsid w:val="0081458D"/>
    <w:rsid w:val="008145E8"/>
    <w:rsid w:val="0081477D"/>
    <w:rsid w:val="00814826"/>
    <w:rsid w:val="008148D9"/>
    <w:rsid w:val="0081498B"/>
    <w:rsid w:val="00814A58"/>
    <w:rsid w:val="00814A6A"/>
    <w:rsid w:val="00814A81"/>
    <w:rsid w:val="00814AA8"/>
    <w:rsid w:val="00814BFA"/>
    <w:rsid w:val="00814C03"/>
    <w:rsid w:val="00814C6A"/>
    <w:rsid w:val="00814CDB"/>
    <w:rsid w:val="00814D73"/>
    <w:rsid w:val="00814DDF"/>
    <w:rsid w:val="00814E91"/>
    <w:rsid w:val="00814EB9"/>
    <w:rsid w:val="00814F4E"/>
    <w:rsid w:val="00815093"/>
    <w:rsid w:val="00815181"/>
    <w:rsid w:val="008151DD"/>
    <w:rsid w:val="00815250"/>
    <w:rsid w:val="00815292"/>
    <w:rsid w:val="008152BB"/>
    <w:rsid w:val="00815314"/>
    <w:rsid w:val="008153FF"/>
    <w:rsid w:val="00815697"/>
    <w:rsid w:val="00815778"/>
    <w:rsid w:val="008157A7"/>
    <w:rsid w:val="0081581D"/>
    <w:rsid w:val="00815854"/>
    <w:rsid w:val="00815972"/>
    <w:rsid w:val="008159B3"/>
    <w:rsid w:val="008159C4"/>
    <w:rsid w:val="008159F2"/>
    <w:rsid w:val="00815A21"/>
    <w:rsid w:val="00815A60"/>
    <w:rsid w:val="00815ABB"/>
    <w:rsid w:val="00815AEF"/>
    <w:rsid w:val="00815AF1"/>
    <w:rsid w:val="00815AF2"/>
    <w:rsid w:val="00815B14"/>
    <w:rsid w:val="00815B35"/>
    <w:rsid w:val="00815B75"/>
    <w:rsid w:val="00815C74"/>
    <w:rsid w:val="00815D22"/>
    <w:rsid w:val="00815DF2"/>
    <w:rsid w:val="00815E27"/>
    <w:rsid w:val="00815E34"/>
    <w:rsid w:val="00815E35"/>
    <w:rsid w:val="00815E70"/>
    <w:rsid w:val="00815E9B"/>
    <w:rsid w:val="00815EA3"/>
    <w:rsid w:val="00815F02"/>
    <w:rsid w:val="00815F36"/>
    <w:rsid w:val="00815F72"/>
    <w:rsid w:val="00815F8D"/>
    <w:rsid w:val="00816012"/>
    <w:rsid w:val="00816037"/>
    <w:rsid w:val="00816048"/>
    <w:rsid w:val="0081606C"/>
    <w:rsid w:val="008160C0"/>
    <w:rsid w:val="008160F9"/>
    <w:rsid w:val="00816136"/>
    <w:rsid w:val="00816227"/>
    <w:rsid w:val="008162A0"/>
    <w:rsid w:val="008162AE"/>
    <w:rsid w:val="00816366"/>
    <w:rsid w:val="008163A5"/>
    <w:rsid w:val="008163C6"/>
    <w:rsid w:val="008163C7"/>
    <w:rsid w:val="00816446"/>
    <w:rsid w:val="00816463"/>
    <w:rsid w:val="00816479"/>
    <w:rsid w:val="008164CD"/>
    <w:rsid w:val="008164DA"/>
    <w:rsid w:val="0081664E"/>
    <w:rsid w:val="00816691"/>
    <w:rsid w:val="0081670C"/>
    <w:rsid w:val="008167C3"/>
    <w:rsid w:val="008167D7"/>
    <w:rsid w:val="008167FF"/>
    <w:rsid w:val="0081687D"/>
    <w:rsid w:val="00816938"/>
    <w:rsid w:val="00816954"/>
    <w:rsid w:val="00816973"/>
    <w:rsid w:val="00816BA7"/>
    <w:rsid w:val="00816BB8"/>
    <w:rsid w:val="00816C44"/>
    <w:rsid w:val="00816C5C"/>
    <w:rsid w:val="00816D0E"/>
    <w:rsid w:val="00816D74"/>
    <w:rsid w:val="00816E6E"/>
    <w:rsid w:val="00816EFA"/>
    <w:rsid w:val="00816FB4"/>
    <w:rsid w:val="00816FB6"/>
    <w:rsid w:val="0081707F"/>
    <w:rsid w:val="00817143"/>
    <w:rsid w:val="00817215"/>
    <w:rsid w:val="0081728F"/>
    <w:rsid w:val="00817309"/>
    <w:rsid w:val="00817363"/>
    <w:rsid w:val="00817414"/>
    <w:rsid w:val="008174CA"/>
    <w:rsid w:val="00817540"/>
    <w:rsid w:val="008175D3"/>
    <w:rsid w:val="0081763A"/>
    <w:rsid w:val="00817688"/>
    <w:rsid w:val="0081772A"/>
    <w:rsid w:val="0081776B"/>
    <w:rsid w:val="0081778E"/>
    <w:rsid w:val="00817797"/>
    <w:rsid w:val="008177EA"/>
    <w:rsid w:val="00817822"/>
    <w:rsid w:val="00817884"/>
    <w:rsid w:val="008178D9"/>
    <w:rsid w:val="008179EA"/>
    <w:rsid w:val="00817A39"/>
    <w:rsid w:val="00817B09"/>
    <w:rsid w:val="00817B1A"/>
    <w:rsid w:val="00817B3E"/>
    <w:rsid w:val="00817B66"/>
    <w:rsid w:val="00817BCC"/>
    <w:rsid w:val="00817BF0"/>
    <w:rsid w:val="00817C7C"/>
    <w:rsid w:val="00817CFD"/>
    <w:rsid w:val="00817DE9"/>
    <w:rsid w:val="00817E68"/>
    <w:rsid w:val="00817F4B"/>
    <w:rsid w:val="00817FA7"/>
    <w:rsid w:val="0082006A"/>
    <w:rsid w:val="008200E1"/>
    <w:rsid w:val="008201E1"/>
    <w:rsid w:val="00820248"/>
    <w:rsid w:val="008202FA"/>
    <w:rsid w:val="00820396"/>
    <w:rsid w:val="00820426"/>
    <w:rsid w:val="0082053C"/>
    <w:rsid w:val="00820583"/>
    <w:rsid w:val="0082063B"/>
    <w:rsid w:val="00820683"/>
    <w:rsid w:val="008207A7"/>
    <w:rsid w:val="008207D8"/>
    <w:rsid w:val="008208FE"/>
    <w:rsid w:val="00820947"/>
    <w:rsid w:val="00820A30"/>
    <w:rsid w:val="00820A48"/>
    <w:rsid w:val="00820A81"/>
    <w:rsid w:val="00820C62"/>
    <w:rsid w:val="00820C9C"/>
    <w:rsid w:val="00820DE9"/>
    <w:rsid w:val="00820E2A"/>
    <w:rsid w:val="00820EFA"/>
    <w:rsid w:val="00820F16"/>
    <w:rsid w:val="00820F3E"/>
    <w:rsid w:val="00820F53"/>
    <w:rsid w:val="00820F66"/>
    <w:rsid w:val="00820F6C"/>
    <w:rsid w:val="00820F78"/>
    <w:rsid w:val="00821047"/>
    <w:rsid w:val="008210A0"/>
    <w:rsid w:val="008210B9"/>
    <w:rsid w:val="00821193"/>
    <w:rsid w:val="008214E7"/>
    <w:rsid w:val="0082153E"/>
    <w:rsid w:val="008215FB"/>
    <w:rsid w:val="00821790"/>
    <w:rsid w:val="0082182B"/>
    <w:rsid w:val="0082183C"/>
    <w:rsid w:val="00821874"/>
    <w:rsid w:val="0082192F"/>
    <w:rsid w:val="00821970"/>
    <w:rsid w:val="00821A2C"/>
    <w:rsid w:val="00821AA7"/>
    <w:rsid w:val="00821B7C"/>
    <w:rsid w:val="00821BA7"/>
    <w:rsid w:val="00821C19"/>
    <w:rsid w:val="00821C73"/>
    <w:rsid w:val="00821D74"/>
    <w:rsid w:val="00821D86"/>
    <w:rsid w:val="00821ED8"/>
    <w:rsid w:val="00821EF5"/>
    <w:rsid w:val="00821F81"/>
    <w:rsid w:val="00821FA1"/>
    <w:rsid w:val="00821FB4"/>
    <w:rsid w:val="00822042"/>
    <w:rsid w:val="00822093"/>
    <w:rsid w:val="008220BC"/>
    <w:rsid w:val="0082216D"/>
    <w:rsid w:val="008221F2"/>
    <w:rsid w:val="0082223D"/>
    <w:rsid w:val="008222A2"/>
    <w:rsid w:val="008222EE"/>
    <w:rsid w:val="00822318"/>
    <w:rsid w:val="0082233F"/>
    <w:rsid w:val="008223BB"/>
    <w:rsid w:val="008224E0"/>
    <w:rsid w:val="00822536"/>
    <w:rsid w:val="008225C4"/>
    <w:rsid w:val="0082263B"/>
    <w:rsid w:val="0082267D"/>
    <w:rsid w:val="00822686"/>
    <w:rsid w:val="008226D1"/>
    <w:rsid w:val="0082271E"/>
    <w:rsid w:val="00822851"/>
    <w:rsid w:val="0082288F"/>
    <w:rsid w:val="00822903"/>
    <w:rsid w:val="008229D9"/>
    <w:rsid w:val="00822A43"/>
    <w:rsid w:val="00822A67"/>
    <w:rsid w:val="00822B0B"/>
    <w:rsid w:val="00822B1C"/>
    <w:rsid w:val="00822B47"/>
    <w:rsid w:val="00822B4C"/>
    <w:rsid w:val="00822CD0"/>
    <w:rsid w:val="00822D14"/>
    <w:rsid w:val="00822D1F"/>
    <w:rsid w:val="00822E45"/>
    <w:rsid w:val="00822F81"/>
    <w:rsid w:val="00823039"/>
    <w:rsid w:val="00823086"/>
    <w:rsid w:val="008232C6"/>
    <w:rsid w:val="008232F0"/>
    <w:rsid w:val="00823426"/>
    <w:rsid w:val="008234C0"/>
    <w:rsid w:val="008234C3"/>
    <w:rsid w:val="00823506"/>
    <w:rsid w:val="00823562"/>
    <w:rsid w:val="00823585"/>
    <w:rsid w:val="00823700"/>
    <w:rsid w:val="00823737"/>
    <w:rsid w:val="0082384C"/>
    <w:rsid w:val="008239CA"/>
    <w:rsid w:val="00823A21"/>
    <w:rsid w:val="00823A65"/>
    <w:rsid w:val="00823A7F"/>
    <w:rsid w:val="00823B4D"/>
    <w:rsid w:val="00823B5A"/>
    <w:rsid w:val="00823B80"/>
    <w:rsid w:val="00823BB8"/>
    <w:rsid w:val="00823C25"/>
    <w:rsid w:val="00823CF6"/>
    <w:rsid w:val="00823D68"/>
    <w:rsid w:val="00823E79"/>
    <w:rsid w:val="00823E90"/>
    <w:rsid w:val="00824007"/>
    <w:rsid w:val="00824095"/>
    <w:rsid w:val="0082415D"/>
    <w:rsid w:val="00824164"/>
    <w:rsid w:val="008241C9"/>
    <w:rsid w:val="00824303"/>
    <w:rsid w:val="0082431B"/>
    <w:rsid w:val="00824346"/>
    <w:rsid w:val="008243D4"/>
    <w:rsid w:val="0082448E"/>
    <w:rsid w:val="008244B5"/>
    <w:rsid w:val="008244E8"/>
    <w:rsid w:val="008244F7"/>
    <w:rsid w:val="00824558"/>
    <w:rsid w:val="00824562"/>
    <w:rsid w:val="008245E1"/>
    <w:rsid w:val="0082469C"/>
    <w:rsid w:val="008246B0"/>
    <w:rsid w:val="008246E0"/>
    <w:rsid w:val="0082471F"/>
    <w:rsid w:val="0082473C"/>
    <w:rsid w:val="00824866"/>
    <w:rsid w:val="008248F7"/>
    <w:rsid w:val="0082491E"/>
    <w:rsid w:val="008249B9"/>
    <w:rsid w:val="008249DA"/>
    <w:rsid w:val="00824A86"/>
    <w:rsid w:val="00824B52"/>
    <w:rsid w:val="00824BB5"/>
    <w:rsid w:val="00824BCE"/>
    <w:rsid w:val="00824BDC"/>
    <w:rsid w:val="00824CA5"/>
    <w:rsid w:val="00824D1A"/>
    <w:rsid w:val="00824E0F"/>
    <w:rsid w:val="00824E28"/>
    <w:rsid w:val="00824E5F"/>
    <w:rsid w:val="00824EE6"/>
    <w:rsid w:val="00824F37"/>
    <w:rsid w:val="00824F85"/>
    <w:rsid w:val="00824FA5"/>
    <w:rsid w:val="00824FFD"/>
    <w:rsid w:val="0082507F"/>
    <w:rsid w:val="0082509F"/>
    <w:rsid w:val="008250F2"/>
    <w:rsid w:val="0082511C"/>
    <w:rsid w:val="00825206"/>
    <w:rsid w:val="00825213"/>
    <w:rsid w:val="0082525F"/>
    <w:rsid w:val="00825344"/>
    <w:rsid w:val="0082536A"/>
    <w:rsid w:val="008253C7"/>
    <w:rsid w:val="00825483"/>
    <w:rsid w:val="00825516"/>
    <w:rsid w:val="00825533"/>
    <w:rsid w:val="00825537"/>
    <w:rsid w:val="0082556B"/>
    <w:rsid w:val="008255B5"/>
    <w:rsid w:val="00825623"/>
    <w:rsid w:val="0082569C"/>
    <w:rsid w:val="008256CE"/>
    <w:rsid w:val="0082575A"/>
    <w:rsid w:val="00825783"/>
    <w:rsid w:val="008257E7"/>
    <w:rsid w:val="008257F6"/>
    <w:rsid w:val="008259D9"/>
    <w:rsid w:val="008259DE"/>
    <w:rsid w:val="008259E9"/>
    <w:rsid w:val="00825A19"/>
    <w:rsid w:val="00825B03"/>
    <w:rsid w:val="00825B4E"/>
    <w:rsid w:val="00825B75"/>
    <w:rsid w:val="00825BB5"/>
    <w:rsid w:val="00825C55"/>
    <w:rsid w:val="00825C88"/>
    <w:rsid w:val="00825F41"/>
    <w:rsid w:val="00825FC1"/>
    <w:rsid w:val="00826025"/>
    <w:rsid w:val="00826082"/>
    <w:rsid w:val="00826099"/>
    <w:rsid w:val="00826105"/>
    <w:rsid w:val="0082618E"/>
    <w:rsid w:val="008261ED"/>
    <w:rsid w:val="0082620F"/>
    <w:rsid w:val="00826315"/>
    <w:rsid w:val="00826365"/>
    <w:rsid w:val="008263B0"/>
    <w:rsid w:val="008263B5"/>
    <w:rsid w:val="008263B6"/>
    <w:rsid w:val="00826412"/>
    <w:rsid w:val="00826474"/>
    <w:rsid w:val="00826493"/>
    <w:rsid w:val="00826682"/>
    <w:rsid w:val="008266F4"/>
    <w:rsid w:val="0082670F"/>
    <w:rsid w:val="00826721"/>
    <w:rsid w:val="00826760"/>
    <w:rsid w:val="00826788"/>
    <w:rsid w:val="00826854"/>
    <w:rsid w:val="0082688B"/>
    <w:rsid w:val="00826897"/>
    <w:rsid w:val="00826929"/>
    <w:rsid w:val="00826946"/>
    <w:rsid w:val="00826955"/>
    <w:rsid w:val="0082697B"/>
    <w:rsid w:val="00826990"/>
    <w:rsid w:val="00826B77"/>
    <w:rsid w:val="00826C0D"/>
    <w:rsid w:val="00826C5D"/>
    <w:rsid w:val="00826D3F"/>
    <w:rsid w:val="0082702B"/>
    <w:rsid w:val="008270F1"/>
    <w:rsid w:val="00827120"/>
    <w:rsid w:val="00827230"/>
    <w:rsid w:val="0082735D"/>
    <w:rsid w:val="0082738A"/>
    <w:rsid w:val="008273B2"/>
    <w:rsid w:val="008273E5"/>
    <w:rsid w:val="008275D1"/>
    <w:rsid w:val="00827614"/>
    <w:rsid w:val="008276CF"/>
    <w:rsid w:val="00827707"/>
    <w:rsid w:val="00827713"/>
    <w:rsid w:val="00827790"/>
    <w:rsid w:val="008277A6"/>
    <w:rsid w:val="00827834"/>
    <w:rsid w:val="00827885"/>
    <w:rsid w:val="00827939"/>
    <w:rsid w:val="008279FD"/>
    <w:rsid w:val="00827A54"/>
    <w:rsid w:val="00827AE6"/>
    <w:rsid w:val="00827B25"/>
    <w:rsid w:val="00827B7A"/>
    <w:rsid w:val="00827BCC"/>
    <w:rsid w:val="00827C74"/>
    <w:rsid w:val="00827E02"/>
    <w:rsid w:val="00827E85"/>
    <w:rsid w:val="00827E87"/>
    <w:rsid w:val="00827EA4"/>
    <w:rsid w:val="00827EFB"/>
    <w:rsid w:val="00827F9F"/>
    <w:rsid w:val="0083002A"/>
    <w:rsid w:val="0083003D"/>
    <w:rsid w:val="00830065"/>
    <w:rsid w:val="00830074"/>
    <w:rsid w:val="008300C9"/>
    <w:rsid w:val="00830104"/>
    <w:rsid w:val="0083010F"/>
    <w:rsid w:val="00830137"/>
    <w:rsid w:val="008301EC"/>
    <w:rsid w:val="0083028E"/>
    <w:rsid w:val="0083030B"/>
    <w:rsid w:val="008303FC"/>
    <w:rsid w:val="00830432"/>
    <w:rsid w:val="00830463"/>
    <w:rsid w:val="00830478"/>
    <w:rsid w:val="00830616"/>
    <w:rsid w:val="0083062E"/>
    <w:rsid w:val="00830655"/>
    <w:rsid w:val="00830690"/>
    <w:rsid w:val="008306B3"/>
    <w:rsid w:val="008306D5"/>
    <w:rsid w:val="008306FF"/>
    <w:rsid w:val="0083077C"/>
    <w:rsid w:val="00830807"/>
    <w:rsid w:val="00830878"/>
    <w:rsid w:val="00830893"/>
    <w:rsid w:val="008308FE"/>
    <w:rsid w:val="0083093C"/>
    <w:rsid w:val="00830940"/>
    <w:rsid w:val="00830A5E"/>
    <w:rsid w:val="00830A86"/>
    <w:rsid w:val="00830A9D"/>
    <w:rsid w:val="00830AFA"/>
    <w:rsid w:val="00830B5B"/>
    <w:rsid w:val="00830B84"/>
    <w:rsid w:val="00830B86"/>
    <w:rsid w:val="00830C3C"/>
    <w:rsid w:val="00830C7A"/>
    <w:rsid w:val="00830F22"/>
    <w:rsid w:val="00830F64"/>
    <w:rsid w:val="00831045"/>
    <w:rsid w:val="0083104B"/>
    <w:rsid w:val="00831051"/>
    <w:rsid w:val="0083108C"/>
    <w:rsid w:val="008310DA"/>
    <w:rsid w:val="008310F3"/>
    <w:rsid w:val="008311B1"/>
    <w:rsid w:val="008311C1"/>
    <w:rsid w:val="0083121C"/>
    <w:rsid w:val="00831239"/>
    <w:rsid w:val="0083124B"/>
    <w:rsid w:val="00831271"/>
    <w:rsid w:val="008312A9"/>
    <w:rsid w:val="008313B6"/>
    <w:rsid w:val="00831424"/>
    <w:rsid w:val="0083156D"/>
    <w:rsid w:val="0083158A"/>
    <w:rsid w:val="008315E5"/>
    <w:rsid w:val="0083163A"/>
    <w:rsid w:val="0083163D"/>
    <w:rsid w:val="0083172E"/>
    <w:rsid w:val="00831730"/>
    <w:rsid w:val="00831795"/>
    <w:rsid w:val="008317E4"/>
    <w:rsid w:val="00831824"/>
    <w:rsid w:val="00831914"/>
    <w:rsid w:val="00831978"/>
    <w:rsid w:val="008319C4"/>
    <w:rsid w:val="008319D5"/>
    <w:rsid w:val="00831AA6"/>
    <w:rsid w:val="00831AE4"/>
    <w:rsid w:val="00831C33"/>
    <w:rsid w:val="00831C48"/>
    <w:rsid w:val="00831CB3"/>
    <w:rsid w:val="00831D9D"/>
    <w:rsid w:val="00831E87"/>
    <w:rsid w:val="00831F8F"/>
    <w:rsid w:val="0083201A"/>
    <w:rsid w:val="0083204F"/>
    <w:rsid w:val="008320AF"/>
    <w:rsid w:val="00832200"/>
    <w:rsid w:val="00832218"/>
    <w:rsid w:val="00832471"/>
    <w:rsid w:val="00832525"/>
    <w:rsid w:val="0083260E"/>
    <w:rsid w:val="00832614"/>
    <w:rsid w:val="00832663"/>
    <w:rsid w:val="008326A3"/>
    <w:rsid w:val="008328AA"/>
    <w:rsid w:val="008328E6"/>
    <w:rsid w:val="00832929"/>
    <w:rsid w:val="00832941"/>
    <w:rsid w:val="00832A8D"/>
    <w:rsid w:val="00832BCD"/>
    <w:rsid w:val="00832C64"/>
    <w:rsid w:val="00832CA6"/>
    <w:rsid w:val="00832D31"/>
    <w:rsid w:val="00832D8F"/>
    <w:rsid w:val="00832DAE"/>
    <w:rsid w:val="00832DFA"/>
    <w:rsid w:val="00832E5B"/>
    <w:rsid w:val="00832F7A"/>
    <w:rsid w:val="00832F93"/>
    <w:rsid w:val="008331D8"/>
    <w:rsid w:val="008331FE"/>
    <w:rsid w:val="008332AD"/>
    <w:rsid w:val="008332B2"/>
    <w:rsid w:val="008332EC"/>
    <w:rsid w:val="0083333F"/>
    <w:rsid w:val="008333A3"/>
    <w:rsid w:val="008333AA"/>
    <w:rsid w:val="008334A7"/>
    <w:rsid w:val="008334C6"/>
    <w:rsid w:val="008334F5"/>
    <w:rsid w:val="008335A8"/>
    <w:rsid w:val="0083362E"/>
    <w:rsid w:val="00833687"/>
    <w:rsid w:val="0083368A"/>
    <w:rsid w:val="008337D0"/>
    <w:rsid w:val="0083387B"/>
    <w:rsid w:val="008338E2"/>
    <w:rsid w:val="00833967"/>
    <w:rsid w:val="008339AF"/>
    <w:rsid w:val="00833A96"/>
    <w:rsid w:val="00833AEB"/>
    <w:rsid w:val="00833B8F"/>
    <w:rsid w:val="00833C69"/>
    <w:rsid w:val="00833C86"/>
    <w:rsid w:val="00833D40"/>
    <w:rsid w:val="00833DDA"/>
    <w:rsid w:val="00833E58"/>
    <w:rsid w:val="00833E79"/>
    <w:rsid w:val="00833F3E"/>
    <w:rsid w:val="00833F8C"/>
    <w:rsid w:val="00833F9D"/>
    <w:rsid w:val="00833FDE"/>
    <w:rsid w:val="00834001"/>
    <w:rsid w:val="008340F6"/>
    <w:rsid w:val="0083413B"/>
    <w:rsid w:val="00834163"/>
    <w:rsid w:val="0083419F"/>
    <w:rsid w:val="008341E2"/>
    <w:rsid w:val="008341ED"/>
    <w:rsid w:val="00834288"/>
    <w:rsid w:val="00834299"/>
    <w:rsid w:val="00834304"/>
    <w:rsid w:val="00834394"/>
    <w:rsid w:val="00834490"/>
    <w:rsid w:val="0083453B"/>
    <w:rsid w:val="008345F7"/>
    <w:rsid w:val="0083464B"/>
    <w:rsid w:val="0083468E"/>
    <w:rsid w:val="008346E8"/>
    <w:rsid w:val="0083473C"/>
    <w:rsid w:val="00834751"/>
    <w:rsid w:val="008347E3"/>
    <w:rsid w:val="00834810"/>
    <w:rsid w:val="0083483F"/>
    <w:rsid w:val="00834868"/>
    <w:rsid w:val="008348C2"/>
    <w:rsid w:val="008348C6"/>
    <w:rsid w:val="008348D1"/>
    <w:rsid w:val="008349AF"/>
    <w:rsid w:val="00834ACB"/>
    <w:rsid w:val="00834AFA"/>
    <w:rsid w:val="00834B73"/>
    <w:rsid w:val="00834B8F"/>
    <w:rsid w:val="00834BFA"/>
    <w:rsid w:val="00834C10"/>
    <w:rsid w:val="00834CDA"/>
    <w:rsid w:val="00834D4E"/>
    <w:rsid w:val="00834E29"/>
    <w:rsid w:val="00834EBF"/>
    <w:rsid w:val="0083523D"/>
    <w:rsid w:val="0083527C"/>
    <w:rsid w:val="008352A1"/>
    <w:rsid w:val="008352C7"/>
    <w:rsid w:val="008353FD"/>
    <w:rsid w:val="00835486"/>
    <w:rsid w:val="008354FC"/>
    <w:rsid w:val="0083552A"/>
    <w:rsid w:val="0083556D"/>
    <w:rsid w:val="00835580"/>
    <w:rsid w:val="008355EF"/>
    <w:rsid w:val="008355F0"/>
    <w:rsid w:val="0083564D"/>
    <w:rsid w:val="00835665"/>
    <w:rsid w:val="008356C5"/>
    <w:rsid w:val="008356E1"/>
    <w:rsid w:val="008357A2"/>
    <w:rsid w:val="008357CD"/>
    <w:rsid w:val="00835860"/>
    <w:rsid w:val="008358FB"/>
    <w:rsid w:val="00835A9A"/>
    <w:rsid w:val="00835AD2"/>
    <w:rsid w:val="00835AE3"/>
    <w:rsid w:val="00835AF8"/>
    <w:rsid w:val="00835B40"/>
    <w:rsid w:val="00835BF0"/>
    <w:rsid w:val="00835C4B"/>
    <w:rsid w:val="00835D0C"/>
    <w:rsid w:val="00835D96"/>
    <w:rsid w:val="00835E3E"/>
    <w:rsid w:val="00835ED6"/>
    <w:rsid w:val="00835F85"/>
    <w:rsid w:val="00835FB9"/>
    <w:rsid w:val="0083605D"/>
    <w:rsid w:val="00836086"/>
    <w:rsid w:val="0083615E"/>
    <w:rsid w:val="0083619D"/>
    <w:rsid w:val="00836296"/>
    <w:rsid w:val="0083629A"/>
    <w:rsid w:val="008362CE"/>
    <w:rsid w:val="008363C7"/>
    <w:rsid w:val="008363E4"/>
    <w:rsid w:val="008363EB"/>
    <w:rsid w:val="0083641F"/>
    <w:rsid w:val="0083658A"/>
    <w:rsid w:val="008365DE"/>
    <w:rsid w:val="00836663"/>
    <w:rsid w:val="00836697"/>
    <w:rsid w:val="008366BD"/>
    <w:rsid w:val="008366D3"/>
    <w:rsid w:val="0083682E"/>
    <w:rsid w:val="00836859"/>
    <w:rsid w:val="008368B3"/>
    <w:rsid w:val="008368E8"/>
    <w:rsid w:val="008369C1"/>
    <w:rsid w:val="00836B5B"/>
    <w:rsid w:val="00836B5C"/>
    <w:rsid w:val="00836CB2"/>
    <w:rsid w:val="00836CCF"/>
    <w:rsid w:val="00836D4B"/>
    <w:rsid w:val="00836DCD"/>
    <w:rsid w:val="00836E1F"/>
    <w:rsid w:val="00836E55"/>
    <w:rsid w:val="00837057"/>
    <w:rsid w:val="00837066"/>
    <w:rsid w:val="008370CD"/>
    <w:rsid w:val="008371B7"/>
    <w:rsid w:val="008371BE"/>
    <w:rsid w:val="0083744A"/>
    <w:rsid w:val="0083744B"/>
    <w:rsid w:val="0083752A"/>
    <w:rsid w:val="008375B6"/>
    <w:rsid w:val="00837664"/>
    <w:rsid w:val="00837674"/>
    <w:rsid w:val="0083767F"/>
    <w:rsid w:val="008376FB"/>
    <w:rsid w:val="00837820"/>
    <w:rsid w:val="00837956"/>
    <w:rsid w:val="008379FC"/>
    <w:rsid w:val="00837ADC"/>
    <w:rsid w:val="00837BBF"/>
    <w:rsid w:val="00837C02"/>
    <w:rsid w:val="00837C6D"/>
    <w:rsid w:val="00837CD2"/>
    <w:rsid w:val="00837D37"/>
    <w:rsid w:val="00837DEC"/>
    <w:rsid w:val="00837E07"/>
    <w:rsid w:val="00837EB4"/>
    <w:rsid w:val="00837EB7"/>
    <w:rsid w:val="00837EC5"/>
    <w:rsid w:val="00837F31"/>
    <w:rsid w:val="00837F3D"/>
    <w:rsid w:val="00840061"/>
    <w:rsid w:val="00840185"/>
    <w:rsid w:val="008402A0"/>
    <w:rsid w:val="008402D7"/>
    <w:rsid w:val="00840433"/>
    <w:rsid w:val="00840437"/>
    <w:rsid w:val="00840484"/>
    <w:rsid w:val="008404BC"/>
    <w:rsid w:val="00840513"/>
    <w:rsid w:val="0084055E"/>
    <w:rsid w:val="00840570"/>
    <w:rsid w:val="00840578"/>
    <w:rsid w:val="008406B0"/>
    <w:rsid w:val="008406FB"/>
    <w:rsid w:val="0084081A"/>
    <w:rsid w:val="0084084F"/>
    <w:rsid w:val="00840992"/>
    <w:rsid w:val="008409D0"/>
    <w:rsid w:val="00840A08"/>
    <w:rsid w:val="00840A2E"/>
    <w:rsid w:val="00840A92"/>
    <w:rsid w:val="00840B13"/>
    <w:rsid w:val="00840BD5"/>
    <w:rsid w:val="00840C66"/>
    <w:rsid w:val="00840CBD"/>
    <w:rsid w:val="00840D70"/>
    <w:rsid w:val="00840D85"/>
    <w:rsid w:val="00840DAE"/>
    <w:rsid w:val="00840DE5"/>
    <w:rsid w:val="00840E45"/>
    <w:rsid w:val="00840EBE"/>
    <w:rsid w:val="00840EC2"/>
    <w:rsid w:val="00840F15"/>
    <w:rsid w:val="00840F32"/>
    <w:rsid w:val="00840F3F"/>
    <w:rsid w:val="00840FCD"/>
    <w:rsid w:val="00840FF5"/>
    <w:rsid w:val="008410B4"/>
    <w:rsid w:val="00841127"/>
    <w:rsid w:val="00841175"/>
    <w:rsid w:val="00841189"/>
    <w:rsid w:val="008411A2"/>
    <w:rsid w:val="008411B9"/>
    <w:rsid w:val="008411C2"/>
    <w:rsid w:val="008411CF"/>
    <w:rsid w:val="00841217"/>
    <w:rsid w:val="0084121F"/>
    <w:rsid w:val="00841253"/>
    <w:rsid w:val="00841263"/>
    <w:rsid w:val="008412EA"/>
    <w:rsid w:val="00841422"/>
    <w:rsid w:val="00841441"/>
    <w:rsid w:val="00841462"/>
    <w:rsid w:val="008414C3"/>
    <w:rsid w:val="00841537"/>
    <w:rsid w:val="00841573"/>
    <w:rsid w:val="00841600"/>
    <w:rsid w:val="00841619"/>
    <w:rsid w:val="00841712"/>
    <w:rsid w:val="0084171E"/>
    <w:rsid w:val="00841722"/>
    <w:rsid w:val="008417B9"/>
    <w:rsid w:val="00841807"/>
    <w:rsid w:val="0084191F"/>
    <w:rsid w:val="00841935"/>
    <w:rsid w:val="00841960"/>
    <w:rsid w:val="008419A8"/>
    <w:rsid w:val="00841AF5"/>
    <w:rsid w:val="00841BD0"/>
    <w:rsid w:val="00841BF5"/>
    <w:rsid w:val="00841C04"/>
    <w:rsid w:val="00841D22"/>
    <w:rsid w:val="00841DCD"/>
    <w:rsid w:val="00841F2D"/>
    <w:rsid w:val="00842020"/>
    <w:rsid w:val="0084203E"/>
    <w:rsid w:val="00842089"/>
    <w:rsid w:val="008421EB"/>
    <w:rsid w:val="008421F1"/>
    <w:rsid w:val="00842210"/>
    <w:rsid w:val="0084227E"/>
    <w:rsid w:val="00842281"/>
    <w:rsid w:val="008422E2"/>
    <w:rsid w:val="00842313"/>
    <w:rsid w:val="0084233A"/>
    <w:rsid w:val="00842436"/>
    <w:rsid w:val="00842508"/>
    <w:rsid w:val="00842510"/>
    <w:rsid w:val="008425C4"/>
    <w:rsid w:val="008426A8"/>
    <w:rsid w:val="008426B6"/>
    <w:rsid w:val="008427C1"/>
    <w:rsid w:val="008427C5"/>
    <w:rsid w:val="0084288F"/>
    <w:rsid w:val="008428A7"/>
    <w:rsid w:val="008428C9"/>
    <w:rsid w:val="008429E4"/>
    <w:rsid w:val="008429EF"/>
    <w:rsid w:val="00842A02"/>
    <w:rsid w:val="00842A12"/>
    <w:rsid w:val="00842A1E"/>
    <w:rsid w:val="00842B0C"/>
    <w:rsid w:val="00842B77"/>
    <w:rsid w:val="00842B7B"/>
    <w:rsid w:val="00842BFC"/>
    <w:rsid w:val="00842C30"/>
    <w:rsid w:val="00842C49"/>
    <w:rsid w:val="00842C5B"/>
    <w:rsid w:val="00842CC5"/>
    <w:rsid w:val="00842D36"/>
    <w:rsid w:val="00842DCD"/>
    <w:rsid w:val="00842DF3"/>
    <w:rsid w:val="00842E50"/>
    <w:rsid w:val="00842F5E"/>
    <w:rsid w:val="00842F95"/>
    <w:rsid w:val="00842FD9"/>
    <w:rsid w:val="00843006"/>
    <w:rsid w:val="00843093"/>
    <w:rsid w:val="008430BF"/>
    <w:rsid w:val="008430E0"/>
    <w:rsid w:val="00843154"/>
    <w:rsid w:val="00843181"/>
    <w:rsid w:val="00843240"/>
    <w:rsid w:val="008432C9"/>
    <w:rsid w:val="008432F6"/>
    <w:rsid w:val="0084334D"/>
    <w:rsid w:val="008433FA"/>
    <w:rsid w:val="00843439"/>
    <w:rsid w:val="0084343B"/>
    <w:rsid w:val="0084346F"/>
    <w:rsid w:val="0084351C"/>
    <w:rsid w:val="0084355F"/>
    <w:rsid w:val="00843569"/>
    <w:rsid w:val="00843609"/>
    <w:rsid w:val="0084367E"/>
    <w:rsid w:val="008436C3"/>
    <w:rsid w:val="00843912"/>
    <w:rsid w:val="00843980"/>
    <w:rsid w:val="008439B9"/>
    <w:rsid w:val="00843A9C"/>
    <w:rsid w:val="00843AEA"/>
    <w:rsid w:val="00843B2F"/>
    <w:rsid w:val="00843B4A"/>
    <w:rsid w:val="00843B98"/>
    <w:rsid w:val="00843BE7"/>
    <w:rsid w:val="00843D43"/>
    <w:rsid w:val="00843D5F"/>
    <w:rsid w:val="00843DC9"/>
    <w:rsid w:val="00843EA7"/>
    <w:rsid w:val="00843F01"/>
    <w:rsid w:val="00843F12"/>
    <w:rsid w:val="00843FEE"/>
    <w:rsid w:val="00844023"/>
    <w:rsid w:val="0084402E"/>
    <w:rsid w:val="00844103"/>
    <w:rsid w:val="00844118"/>
    <w:rsid w:val="0084418E"/>
    <w:rsid w:val="0084434E"/>
    <w:rsid w:val="008443AD"/>
    <w:rsid w:val="008443C0"/>
    <w:rsid w:val="00844404"/>
    <w:rsid w:val="0084449A"/>
    <w:rsid w:val="0084450B"/>
    <w:rsid w:val="008445F5"/>
    <w:rsid w:val="00844645"/>
    <w:rsid w:val="0084465E"/>
    <w:rsid w:val="0084468D"/>
    <w:rsid w:val="008446DD"/>
    <w:rsid w:val="008447FD"/>
    <w:rsid w:val="0084481B"/>
    <w:rsid w:val="00844852"/>
    <w:rsid w:val="008449C9"/>
    <w:rsid w:val="00844B0C"/>
    <w:rsid w:val="00844B13"/>
    <w:rsid w:val="00844B3C"/>
    <w:rsid w:val="00844BA1"/>
    <w:rsid w:val="00844BE6"/>
    <w:rsid w:val="00844C31"/>
    <w:rsid w:val="00844CB8"/>
    <w:rsid w:val="00844D99"/>
    <w:rsid w:val="00844DD7"/>
    <w:rsid w:val="00845019"/>
    <w:rsid w:val="008450F0"/>
    <w:rsid w:val="0084517E"/>
    <w:rsid w:val="00845221"/>
    <w:rsid w:val="00845247"/>
    <w:rsid w:val="00845333"/>
    <w:rsid w:val="00845346"/>
    <w:rsid w:val="00845391"/>
    <w:rsid w:val="008453D6"/>
    <w:rsid w:val="008453E8"/>
    <w:rsid w:val="0084546E"/>
    <w:rsid w:val="008454C8"/>
    <w:rsid w:val="00845527"/>
    <w:rsid w:val="00845572"/>
    <w:rsid w:val="00845627"/>
    <w:rsid w:val="00845640"/>
    <w:rsid w:val="008456DD"/>
    <w:rsid w:val="008456E5"/>
    <w:rsid w:val="008457B5"/>
    <w:rsid w:val="008457CB"/>
    <w:rsid w:val="008457F7"/>
    <w:rsid w:val="0084596F"/>
    <w:rsid w:val="00845A21"/>
    <w:rsid w:val="00845A66"/>
    <w:rsid w:val="00845AAF"/>
    <w:rsid w:val="00845ABE"/>
    <w:rsid w:val="00845BC8"/>
    <w:rsid w:val="00845BF1"/>
    <w:rsid w:val="00845C7E"/>
    <w:rsid w:val="00845C84"/>
    <w:rsid w:val="00845CB0"/>
    <w:rsid w:val="00845CCA"/>
    <w:rsid w:val="00845D0A"/>
    <w:rsid w:val="00845D28"/>
    <w:rsid w:val="00845E05"/>
    <w:rsid w:val="00845E4B"/>
    <w:rsid w:val="00845E86"/>
    <w:rsid w:val="00845F1F"/>
    <w:rsid w:val="00845F21"/>
    <w:rsid w:val="00845F3B"/>
    <w:rsid w:val="00845F46"/>
    <w:rsid w:val="00845F56"/>
    <w:rsid w:val="00845F95"/>
    <w:rsid w:val="008460C7"/>
    <w:rsid w:val="008460E0"/>
    <w:rsid w:val="008461D7"/>
    <w:rsid w:val="008462C7"/>
    <w:rsid w:val="008462CE"/>
    <w:rsid w:val="008462F8"/>
    <w:rsid w:val="00846309"/>
    <w:rsid w:val="00846335"/>
    <w:rsid w:val="00846385"/>
    <w:rsid w:val="0084647E"/>
    <w:rsid w:val="0084658E"/>
    <w:rsid w:val="008465A9"/>
    <w:rsid w:val="0084664F"/>
    <w:rsid w:val="008466CA"/>
    <w:rsid w:val="0084671D"/>
    <w:rsid w:val="008467AB"/>
    <w:rsid w:val="008467B2"/>
    <w:rsid w:val="008467CD"/>
    <w:rsid w:val="008467D2"/>
    <w:rsid w:val="008467E6"/>
    <w:rsid w:val="0084681C"/>
    <w:rsid w:val="0084685B"/>
    <w:rsid w:val="008468A3"/>
    <w:rsid w:val="008468EE"/>
    <w:rsid w:val="00846975"/>
    <w:rsid w:val="0084698C"/>
    <w:rsid w:val="00846AC1"/>
    <w:rsid w:val="00846ACB"/>
    <w:rsid w:val="00846BBE"/>
    <w:rsid w:val="00846BE4"/>
    <w:rsid w:val="00846C1A"/>
    <w:rsid w:val="00846C80"/>
    <w:rsid w:val="00846C95"/>
    <w:rsid w:val="00846D0B"/>
    <w:rsid w:val="00846D13"/>
    <w:rsid w:val="00846DF0"/>
    <w:rsid w:val="00846F06"/>
    <w:rsid w:val="00846F11"/>
    <w:rsid w:val="00846F5E"/>
    <w:rsid w:val="00846F89"/>
    <w:rsid w:val="00846F94"/>
    <w:rsid w:val="00847024"/>
    <w:rsid w:val="00847025"/>
    <w:rsid w:val="0084705B"/>
    <w:rsid w:val="008471EF"/>
    <w:rsid w:val="008471F5"/>
    <w:rsid w:val="00847493"/>
    <w:rsid w:val="008474B4"/>
    <w:rsid w:val="0084754B"/>
    <w:rsid w:val="00847565"/>
    <w:rsid w:val="00847584"/>
    <w:rsid w:val="00847595"/>
    <w:rsid w:val="00847630"/>
    <w:rsid w:val="00847731"/>
    <w:rsid w:val="008477A8"/>
    <w:rsid w:val="00847858"/>
    <w:rsid w:val="008478AC"/>
    <w:rsid w:val="00847930"/>
    <w:rsid w:val="00847994"/>
    <w:rsid w:val="00847A44"/>
    <w:rsid w:val="00847A65"/>
    <w:rsid w:val="00847B02"/>
    <w:rsid w:val="00847B4C"/>
    <w:rsid w:val="00847B64"/>
    <w:rsid w:val="00847B6E"/>
    <w:rsid w:val="00847CDE"/>
    <w:rsid w:val="00847CFA"/>
    <w:rsid w:val="00847D5F"/>
    <w:rsid w:val="00847E55"/>
    <w:rsid w:val="00847E6F"/>
    <w:rsid w:val="00847ECB"/>
    <w:rsid w:val="00847F41"/>
    <w:rsid w:val="00850001"/>
    <w:rsid w:val="00850106"/>
    <w:rsid w:val="008501C0"/>
    <w:rsid w:val="008501C6"/>
    <w:rsid w:val="008501D8"/>
    <w:rsid w:val="00850253"/>
    <w:rsid w:val="0085026B"/>
    <w:rsid w:val="008502B6"/>
    <w:rsid w:val="008502F6"/>
    <w:rsid w:val="0085033E"/>
    <w:rsid w:val="0085037E"/>
    <w:rsid w:val="00850398"/>
    <w:rsid w:val="008503B5"/>
    <w:rsid w:val="008503B6"/>
    <w:rsid w:val="0085043F"/>
    <w:rsid w:val="0085044B"/>
    <w:rsid w:val="008504AE"/>
    <w:rsid w:val="00850521"/>
    <w:rsid w:val="008505BE"/>
    <w:rsid w:val="00850723"/>
    <w:rsid w:val="00850790"/>
    <w:rsid w:val="0085079E"/>
    <w:rsid w:val="00850869"/>
    <w:rsid w:val="0085091E"/>
    <w:rsid w:val="008509EE"/>
    <w:rsid w:val="00850A73"/>
    <w:rsid w:val="00850B1C"/>
    <w:rsid w:val="00850BCE"/>
    <w:rsid w:val="00850BD7"/>
    <w:rsid w:val="00850D29"/>
    <w:rsid w:val="00850D2E"/>
    <w:rsid w:val="00850D72"/>
    <w:rsid w:val="00850DE5"/>
    <w:rsid w:val="00850E24"/>
    <w:rsid w:val="00850E9F"/>
    <w:rsid w:val="00850ECD"/>
    <w:rsid w:val="00850EE1"/>
    <w:rsid w:val="00850F05"/>
    <w:rsid w:val="00850F53"/>
    <w:rsid w:val="0085102A"/>
    <w:rsid w:val="008510C8"/>
    <w:rsid w:val="00851137"/>
    <w:rsid w:val="008511A5"/>
    <w:rsid w:val="008513AA"/>
    <w:rsid w:val="00851551"/>
    <w:rsid w:val="008516B8"/>
    <w:rsid w:val="008516D5"/>
    <w:rsid w:val="00851786"/>
    <w:rsid w:val="008517E8"/>
    <w:rsid w:val="00851883"/>
    <w:rsid w:val="008518F0"/>
    <w:rsid w:val="00851A22"/>
    <w:rsid w:val="00851AC6"/>
    <w:rsid w:val="00851ADC"/>
    <w:rsid w:val="00851B0F"/>
    <w:rsid w:val="00851C01"/>
    <w:rsid w:val="00851C29"/>
    <w:rsid w:val="00851C70"/>
    <w:rsid w:val="00851C77"/>
    <w:rsid w:val="00851C8E"/>
    <w:rsid w:val="00851CC9"/>
    <w:rsid w:val="00851CE0"/>
    <w:rsid w:val="00851D18"/>
    <w:rsid w:val="00851D5C"/>
    <w:rsid w:val="00851D9D"/>
    <w:rsid w:val="00851E04"/>
    <w:rsid w:val="00851EF1"/>
    <w:rsid w:val="00851F88"/>
    <w:rsid w:val="00851FCF"/>
    <w:rsid w:val="0085204D"/>
    <w:rsid w:val="00852255"/>
    <w:rsid w:val="00852268"/>
    <w:rsid w:val="00852271"/>
    <w:rsid w:val="00852321"/>
    <w:rsid w:val="00852339"/>
    <w:rsid w:val="008523D5"/>
    <w:rsid w:val="008524BB"/>
    <w:rsid w:val="008524F1"/>
    <w:rsid w:val="00852542"/>
    <w:rsid w:val="00852595"/>
    <w:rsid w:val="008525C7"/>
    <w:rsid w:val="008525F5"/>
    <w:rsid w:val="0085261E"/>
    <w:rsid w:val="00852652"/>
    <w:rsid w:val="008526F7"/>
    <w:rsid w:val="00852802"/>
    <w:rsid w:val="00852857"/>
    <w:rsid w:val="00852889"/>
    <w:rsid w:val="008529E3"/>
    <w:rsid w:val="00852A6D"/>
    <w:rsid w:val="00852B66"/>
    <w:rsid w:val="00852BC3"/>
    <w:rsid w:val="00852BEF"/>
    <w:rsid w:val="00852D2F"/>
    <w:rsid w:val="00852D6D"/>
    <w:rsid w:val="00852D9D"/>
    <w:rsid w:val="00852F81"/>
    <w:rsid w:val="00852FAD"/>
    <w:rsid w:val="00853059"/>
    <w:rsid w:val="00853123"/>
    <w:rsid w:val="00853196"/>
    <w:rsid w:val="0085328F"/>
    <w:rsid w:val="008532AA"/>
    <w:rsid w:val="008532ED"/>
    <w:rsid w:val="00853310"/>
    <w:rsid w:val="00853340"/>
    <w:rsid w:val="0085337E"/>
    <w:rsid w:val="00853392"/>
    <w:rsid w:val="00853464"/>
    <w:rsid w:val="00853477"/>
    <w:rsid w:val="00853482"/>
    <w:rsid w:val="008534B6"/>
    <w:rsid w:val="00853501"/>
    <w:rsid w:val="00853504"/>
    <w:rsid w:val="0085373A"/>
    <w:rsid w:val="00853811"/>
    <w:rsid w:val="0085385F"/>
    <w:rsid w:val="008538B2"/>
    <w:rsid w:val="008538C8"/>
    <w:rsid w:val="00853904"/>
    <w:rsid w:val="00853935"/>
    <w:rsid w:val="00853996"/>
    <w:rsid w:val="008539A7"/>
    <w:rsid w:val="00853A35"/>
    <w:rsid w:val="00853A59"/>
    <w:rsid w:val="00853AE5"/>
    <w:rsid w:val="00853B0E"/>
    <w:rsid w:val="00853B20"/>
    <w:rsid w:val="00853B35"/>
    <w:rsid w:val="00853D6A"/>
    <w:rsid w:val="00853E17"/>
    <w:rsid w:val="00853EB3"/>
    <w:rsid w:val="00853F05"/>
    <w:rsid w:val="00853F09"/>
    <w:rsid w:val="0085403D"/>
    <w:rsid w:val="00854042"/>
    <w:rsid w:val="00854081"/>
    <w:rsid w:val="008540AD"/>
    <w:rsid w:val="008540C3"/>
    <w:rsid w:val="008542E6"/>
    <w:rsid w:val="008542E7"/>
    <w:rsid w:val="008542EC"/>
    <w:rsid w:val="00854387"/>
    <w:rsid w:val="008543B2"/>
    <w:rsid w:val="0085440E"/>
    <w:rsid w:val="0085440F"/>
    <w:rsid w:val="0085443B"/>
    <w:rsid w:val="008544A9"/>
    <w:rsid w:val="008544F8"/>
    <w:rsid w:val="00854513"/>
    <w:rsid w:val="00854573"/>
    <w:rsid w:val="0085458C"/>
    <w:rsid w:val="00854613"/>
    <w:rsid w:val="008547D2"/>
    <w:rsid w:val="0085481A"/>
    <w:rsid w:val="0085493D"/>
    <w:rsid w:val="00854967"/>
    <w:rsid w:val="008549C5"/>
    <w:rsid w:val="00854A54"/>
    <w:rsid w:val="00854A86"/>
    <w:rsid w:val="00854AAB"/>
    <w:rsid w:val="00854B26"/>
    <w:rsid w:val="00854B5B"/>
    <w:rsid w:val="00854B75"/>
    <w:rsid w:val="00854BF6"/>
    <w:rsid w:val="00854C07"/>
    <w:rsid w:val="00854D35"/>
    <w:rsid w:val="00854E06"/>
    <w:rsid w:val="00854E6D"/>
    <w:rsid w:val="00854E89"/>
    <w:rsid w:val="00854ECE"/>
    <w:rsid w:val="00854F1A"/>
    <w:rsid w:val="00854F38"/>
    <w:rsid w:val="00854FFF"/>
    <w:rsid w:val="0085500D"/>
    <w:rsid w:val="00855091"/>
    <w:rsid w:val="008550B8"/>
    <w:rsid w:val="008551F0"/>
    <w:rsid w:val="00855247"/>
    <w:rsid w:val="00855277"/>
    <w:rsid w:val="008552FD"/>
    <w:rsid w:val="00855319"/>
    <w:rsid w:val="0085536D"/>
    <w:rsid w:val="0085556F"/>
    <w:rsid w:val="008555D9"/>
    <w:rsid w:val="00855642"/>
    <w:rsid w:val="00855669"/>
    <w:rsid w:val="00855694"/>
    <w:rsid w:val="008556D9"/>
    <w:rsid w:val="008556F8"/>
    <w:rsid w:val="0085571A"/>
    <w:rsid w:val="00855738"/>
    <w:rsid w:val="008557B7"/>
    <w:rsid w:val="008557C6"/>
    <w:rsid w:val="008558FB"/>
    <w:rsid w:val="00855934"/>
    <w:rsid w:val="0085599E"/>
    <w:rsid w:val="008559E0"/>
    <w:rsid w:val="00855A3A"/>
    <w:rsid w:val="00855A42"/>
    <w:rsid w:val="00855A6A"/>
    <w:rsid w:val="00855B20"/>
    <w:rsid w:val="00855B5C"/>
    <w:rsid w:val="00855C36"/>
    <w:rsid w:val="00855D25"/>
    <w:rsid w:val="00855DE2"/>
    <w:rsid w:val="00855E28"/>
    <w:rsid w:val="00855E3A"/>
    <w:rsid w:val="00855E9A"/>
    <w:rsid w:val="00855EAE"/>
    <w:rsid w:val="00855EFC"/>
    <w:rsid w:val="00855F1E"/>
    <w:rsid w:val="00855FA6"/>
    <w:rsid w:val="00855FF7"/>
    <w:rsid w:val="00856092"/>
    <w:rsid w:val="00856180"/>
    <w:rsid w:val="008561F1"/>
    <w:rsid w:val="00856250"/>
    <w:rsid w:val="008562AF"/>
    <w:rsid w:val="0085632C"/>
    <w:rsid w:val="0085635B"/>
    <w:rsid w:val="0085639D"/>
    <w:rsid w:val="008564F2"/>
    <w:rsid w:val="008564F9"/>
    <w:rsid w:val="00856526"/>
    <w:rsid w:val="0085654F"/>
    <w:rsid w:val="008565E9"/>
    <w:rsid w:val="008566CD"/>
    <w:rsid w:val="00856780"/>
    <w:rsid w:val="008567DA"/>
    <w:rsid w:val="008567DC"/>
    <w:rsid w:val="008567EE"/>
    <w:rsid w:val="008568CC"/>
    <w:rsid w:val="00856953"/>
    <w:rsid w:val="0085699E"/>
    <w:rsid w:val="008569F9"/>
    <w:rsid w:val="00856A95"/>
    <w:rsid w:val="00856AC1"/>
    <w:rsid w:val="00856AEA"/>
    <w:rsid w:val="00856B1C"/>
    <w:rsid w:val="00856B39"/>
    <w:rsid w:val="00856B5D"/>
    <w:rsid w:val="00856B70"/>
    <w:rsid w:val="00856BC7"/>
    <w:rsid w:val="00856D1D"/>
    <w:rsid w:val="00856D8C"/>
    <w:rsid w:val="00856FD6"/>
    <w:rsid w:val="0085721C"/>
    <w:rsid w:val="0085726C"/>
    <w:rsid w:val="0085729A"/>
    <w:rsid w:val="00857474"/>
    <w:rsid w:val="0085749C"/>
    <w:rsid w:val="008574A3"/>
    <w:rsid w:val="008574C5"/>
    <w:rsid w:val="008574D6"/>
    <w:rsid w:val="0085762C"/>
    <w:rsid w:val="008576F2"/>
    <w:rsid w:val="00857782"/>
    <w:rsid w:val="008577AD"/>
    <w:rsid w:val="008578A1"/>
    <w:rsid w:val="00857984"/>
    <w:rsid w:val="0085799D"/>
    <w:rsid w:val="00857A60"/>
    <w:rsid w:val="00857ABC"/>
    <w:rsid w:val="00857B81"/>
    <w:rsid w:val="00857B86"/>
    <w:rsid w:val="00857BE5"/>
    <w:rsid w:val="00857C18"/>
    <w:rsid w:val="00857CCB"/>
    <w:rsid w:val="00857ECE"/>
    <w:rsid w:val="00857F36"/>
    <w:rsid w:val="00857FA3"/>
    <w:rsid w:val="00860050"/>
    <w:rsid w:val="0086008D"/>
    <w:rsid w:val="008600DA"/>
    <w:rsid w:val="0086019D"/>
    <w:rsid w:val="008601C2"/>
    <w:rsid w:val="00860268"/>
    <w:rsid w:val="008603D9"/>
    <w:rsid w:val="00860474"/>
    <w:rsid w:val="008604CA"/>
    <w:rsid w:val="00860512"/>
    <w:rsid w:val="0086051F"/>
    <w:rsid w:val="00860582"/>
    <w:rsid w:val="008605F1"/>
    <w:rsid w:val="0086062F"/>
    <w:rsid w:val="00860698"/>
    <w:rsid w:val="008606FD"/>
    <w:rsid w:val="00860771"/>
    <w:rsid w:val="008607F2"/>
    <w:rsid w:val="00860814"/>
    <w:rsid w:val="008609D3"/>
    <w:rsid w:val="00860AA2"/>
    <w:rsid w:val="00860AC3"/>
    <w:rsid w:val="00860B42"/>
    <w:rsid w:val="00860C4C"/>
    <w:rsid w:val="00860D34"/>
    <w:rsid w:val="00860DF2"/>
    <w:rsid w:val="00860E1A"/>
    <w:rsid w:val="00860EAC"/>
    <w:rsid w:val="00860EE4"/>
    <w:rsid w:val="00860F26"/>
    <w:rsid w:val="00860FFA"/>
    <w:rsid w:val="008610C2"/>
    <w:rsid w:val="008610F1"/>
    <w:rsid w:val="008610FC"/>
    <w:rsid w:val="008611E4"/>
    <w:rsid w:val="008611F4"/>
    <w:rsid w:val="0086121E"/>
    <w:rsid w:val="00861293"/>
    <w:rsid w:val="00861299"/>
    <w:rsid w:val="00861352"/>
    <w:rsid w:val="00861430"/>
    <w:rsid w:val="008614F3"/>
    <w:rsid w:val="00861533"/>
    <w:rsid w:val="00861551"/>
    <w:rsid w:val="008615F6"/>
    <w:rsid w:val="00861680"/>
    <w:rsid w:val="00861729"/>
    <w:rsid w:val="00861771"/>
    <w:rsid w:val="00861841"/>
    <w:rsid w:val="008618CA"/>
    <w:rsid w:val="00861A7F"/>
    <w:rsid w:val="00861A83"/>
    <w:rsid w:val="00861A84"/>
    <w:rsid w:val="00861ABC"/>
    <w:rsid w:val="00861ADE"/>
    <w:rsid w:val="00861BF0"/>
    <w:rsid w:val="00861CB6"/>
    <w:rsid w:val="00861D24"/>
    <w:rsid w:val="00861D29"/>
    <w:rsid w:val="00861D93"/>
    <w:rsid w:val="00861E33"/>
    <w:rsid w:val="00861E6E"/>
    <w:rsid w:val="00861E84"/>
    <w:rsid w:val="00861EB1"/>
    <w:rsid w:val="00861F22"/>
    <w:rsid w:val="00861F31"/>
    <w:rsid w:val="00861F84"/>
    <w:rsid w:val="00862021"/>
    <w:rsid w:val="00862043"/>
    <w:rsid w:val="00862051"/>
    <w:rsid w:val="0086210C"/>
    <w:rsid w:val="008621D9"/>
    <w:rsid w:val="008621DF"/>
    <w:rsid w:val="008621FD"/>
    <w:rsid w:val="00862245"/>
    <w:rsid w:val="008622C3"/>
    <w:rsid w:val="00862315"/>
    <w:rsid w:val="00862349"/>
    <w:rsid w:val="00862383"/>
    <w:rsid w:val="0086254F"/>
    <w:rsid w:val="008625B4"/>
    <w:rsid w:val="00862604"/>
    <w:rsid w:val="00862607"/>
    <w:rsid w:val="00862642"/>
    <w:rsid w:val="0086269F"/>
    <w:rsid w:val="0086278A"/>
    <w:rsid w:val="0086279C"/>
    <w:rsid w:val="008627A0"/>
    <w:rsid w:val="008627F2"/>
    <w:rsid w:val="00862841"/>
    <w:rsid w:val="008628DF"/>
    <w:rsid w:val="00862900"/>
    <w:rsid w:val="00862907"/>
    <w:rsid w:val="00862908"/>
    <w:rsid w:val="00862949"/>
    <w:rsid w:val="00862962"/>
    <w:rsid w:val="00862A4B"/>
    <w:rsid w:val="00862B1C"/>
    <w:rsid w:val="00862B38"/>
    <w:rsid w:val="00862B3D"/>
    <w:rsid w:val="00862BDD"/>
    <w:rsid w:val="00862C1E"/>
    <w:rsid w:val="00862C5D"/>
    <w:rsid w:val="00862D16"/>
    <w:rsid w:val="00862D74"/>
    <w:rsid w:val="00862E3B"/>
    <w:rsid w:val="00862E4F"/>
    <w:rsid w:val="00862E52"/>
    <w:rsid w:val="00862ED5"/>
    <w:rsid w:val="00862F9D"/>
    <w:rsid w:val="00862FB2"/>
    <w:rsid w:val="00862FCA"/>
    <w:rsid w:val="0086302D"/>
    <w:rsid w:val="00863062"/>
    <w:rsid w:val="00863093"/>
    <w:rsid w:val="008630C6"/>
    <w:rsid w:val="0086315D"/>
    <w:rsid w:val="00863184"/>
    <w:rsid w:val="008631BF"/>
    <w:rsid w:val="0086323F"/>
    <w:rsid w:val="00863261"/>
    <w:rsid w:val="0086329D"/>
    <w:rsid w:val="00863334"/>
    <w:rsid w:val="0086340F"/>
    <w:rsid w:val="00863445"/>
    <w:rsid w:val="00863485"/>
    <w:rsid w:val="0086348F"/>
    <w:rsid w:val="008634E2"/>
    <w:rsid w:val="00863512"/>
    <w:rsid w:val="008635C5"/>
    <w:rsid w:val="0086364D"/>
    <w:rsid w:val="00863666"/>
    <w:rsid w:val="008636AF"/>
    <w:rsid w:val="008636D7"/>
    <w:rsid w:val="00863786"/>
    <w:rsid w:val="0086379F"/>
    <w:rsid w:val="00863841"/>
    <w:rsid w:val="008638BF"/>
    <w:rsid w:val="0086393D"/>
    <w:rsid w:val="00863A06"/>
    <w:rsid w:val="00863AE3"/>
    <w:rsid w:val="00863B7A"/>
    <w:rsid w:val="00863B95"/>
    <w:rsid w:val="00863BAC"/>
    <w:rsid w:val="00863BBA"/>
    <w:rsid w:val="00863BD2"/>
    <w:rsid w:val="00863C39"/>
    <w:rsid w:val="00863C45"/>
    <w:rsid w:val="00863C50"/>
    <w:rsid w:val="00863C5D"/>
    <w:rsid w:val="00863D7D"/>
    <w:rsid w:val="00863DDE"/>
    <w:rsid w:val="00863E0F"/>
    <w:rsid w:val="00863E27"/>
    <w:rsid w:val="00863E44"/>
    <w:rsid w:val="00863E71"/>
    <w:rsid w:val="00863EED"/>
    <w:rsid w:val="00863F48"/>
    <w:rsid w:val="00863F58"/>
    <w:rsid w:val="00863F69"/>
    <w:rsid w:val="00863FD6"/>
    <w:rsid w:val="0086408D"/>
    <w:rsid w:val="008640BA"/>
    <w:rsid w:val="00864121"/>
    <w:rsid w:val="008641F4"/>
    <w:rsid w:val="00864312"/>
    <w:rsid w:val="00864374"/>
    <w:rsid w:val="008643A5"/>
    <w:rsid w:val="00864409"/>
    <w:rsid w:val="0086455C"/>
    <w:rsid w:val="00864636"/>
    <w:rsid w:val="00864660"/>
    <w:rsid w:val="00864687"/>
    <w:rsid w:val="0086468A"/>
    <w:rsid w:val="00864774"/>
    <w:rsid w:val="008647E0"/>
    <w:rsid w:val="008647E3"/>
    <w:rsid w:val="00864907"/>
    <w:rsid w:val="0086490B"/>
    <w:rsid w:val="00864944"/>
    <w:rsid w:val="0086496B"/>
    <w:rsid w:val="00864A1C"/>
    <w:rsid w:val="00864A66"/>
    <w:rsid w:val="00864AA5"/>
    <w:rsid w:val="00864B1E"/>
    <w:rsid w:val="00864B7F"/>
    <w:rsid w:val="00864BAA"/>
    <w:rsid w:val="00864BF2"/>
    <w:rsid w:val="00864C51"/>
    <w:rsid w:val="00864C64"/>
    <w:rsid w:val="00864CFA"/>
    <w:rsid w:val="00864D56"/>
    <w:rsid w:val="00864D77"/>
    <w:rsid w:val="00864E48"/>
    <w:rsid w:val="00864EE4"/>
    <w:rsid w:val="008650CA"/>
    <w:rsid w:val="00865142"/>
    <w:rsid w:val="00865169"/>
    <w:rsid w:val="0086519D"/>
    <w:rsid w:val="00865200"/>
    <w:rsid w:val="00865213"/>
    <w:rsid w:val="008652D8"/>
    <w:rsid w:val="00865342"/>
    <w:rsid w:val="008653BD"/>
    <w:rsid w:val="0086541E"/>
    <w:rsid w:val="00865461"/>
    <w:rsid w:val="00865476"/>
    <w:rsid w:val="00865485"/>
    <w:rsid w:val="008654D1"/>
    <w:rsid w:val="00865504"/>
    <w:rsid w:val="00865590"/>
    <w:rsid w:val="008655CC"/>
    <w:rsid w:val="0086568F"/>
    <w:rsid w:val="00865714"/>
    <w:rsid w:val="00865790"/>
    <w:rsid w:val="00865859"/>
    <w:rsid w:val="0086586C"/>
    <w:rsid w:val="00865878"/>
    <w:rsid w:val="008659DB"/>
    <w:rsid w:val="00865A1D"/>
    <w:rsid w:val="00865A8C"/>
    <w:rsid w:val="00865AED"/>
    <w:rsid w:val="00865B03"/>
    <w:rsid w:val="00865B45"/>
    <w:rsid w:val="00865BBA"/>
    <w:rsid w:val="00865BDD"/>
    <w:rsid w:val="00865BE7"/>
    <w:rsid w:val="00865C20"/>
    <w:rsid w:val="00865CA9"/>
    <w:rsid w:val="00865D18"/>
    <w:rsid w:val="00865D57"/>
    <w:rsid w:val="00865DA7"/>
    <w:rsid w:val="00865E20"/>
    <w:rsid w:val="00865E35"/>
    <w:rsid w:val="00865E78"/>
    <w:rsid w:val="00865FE0"/>
    <w:rsid w:val="00866008"/>
    <w:rsid w:val="00866028"/>
    <w:rsid w:val="0086605B"/>
    <w:rsid w:val="0086606A"/>
    <w:rsid w:val="00866088"/>
    <w:rsid w:val="008660F8"/>
    <w:rsid w:val="00866130"/>
    <w:rsid w:val="00866144"/>
    <w:rsid w:val="00866172"/>
    <w:rsid w:val="008661F5"/>
    <w:rsid w:val="0086623F"/>
    <w:rsid w:val="008662AD"/>
    <w:rsid w:val="008662F8"/>
    <w:rsid w:val="00866330"/>
    <w:rsid w:val="0086637D"/>
    <w:rsid w:val="00866389"/>
    <w:rsid w:val="008663C7"/>
    <w:rsid w:val="00866481"/>
    <w:rsid w:val="00866526"/>
    <w:rsid w:val="00866542"/>
    <w:rsid w:val="008665C4"/>
    <w:rsid w:val="008665E3"/>
    <w:rsid w:val="008665E5"/>
    <w:rsid w:val="00866621"/>
    <w:rsid w:val="008666B8"/>
    <w:rsid w:val="00866877"/>
    <w:rsid w:val="0086692F"/>
    <w:rsid w:val="00866963"/>
    <w:rsid w:val="00866A0B"/>
    <w:rsid w:val="00866A20"/>
    <w:rsid w:val="00866A5D"/>
    <w:rsid w:val="00866B4E"/>
    <w:rsid w:val="00866C50"/>
    <w:rsid w:val="00866CCA"/>
    <w:rsid w:val="00866CFD"/>
    <w:rsid w:val="00866DB2"/>
    <w:rsid w:val="00866E6E"/>
    <w:rsid w:val="00866E6F"/>
    <w:rsid w:val="00866EA0"/>
    <w:rsid w:val="00866EC1"/>
    <w:rsid w:val="00866EDE"/>
    <w:rsid w:val="00866EF1"/>
    <w:rsid w:val="00866EFA"/>
    <w:rsid w:val="00866F47"/>
    <w:rsid w:val="00866F5E"/>
    <w:rsid w:val="00866FA5"/>
    <w:rsid w:val="00867011"/>
    <w:rsid w:val="00867057"/>
    <w:rsid w:val="008670F2"/>
    <w:rsid w:val="0086711C"/>
    <w:rsid w:val="00867155"/>
    <w:rsid w:val="00867186"/>
    <w:rsid w:val="008671F0"/>
    <w:rsid w:val="0086721E"/>
    <w:rsid w:val="0086726B"/>
    <w:rsid w:val="0086733D"/>
    <w:rsid w:val="00867429"/>
    <w:rsid w:val="008674A9"/>
    <w:rsid w:val="0086750B"/>
    <w:rsid w:val="0086757C"/>
    <w:rsid w:val="008675ED"/>
    <w:rsid w:val="00867656"/>
    <w:rsid w:val="008676D9"/>
    <w:rsid w:val="008677A8"/>
    <w:rsid w:val="008677AB"/>
    <w:rsid w:val="008677D4"/>
    <w:rsid w:val="00867807"/>
    <w:rsid w:val="00867958"/>
    <w:rsid w:val="00867971"/>
    <w:rsid w:val="008679B0"/>
    <w:rsid w:val="00867A20"/>
    <w:rsid w:val="00867A47"/>
    <w:rsid w:val="00867AEA"/>
    <w:rsid w:val="00867B7C"/>
    <w:rsid w:val="00867BA3"/>
    <w:rsid w:val="00867BB5"/>
    <w:rsid w:val="00867C0C"/>
    <w:rsid w:val="00867DF7"/>
    <w:rsid w:val="00867E1A"/>
    <w:rsid w:val="00867E1F"/>
    <w:rsid w:val="00867E24"/>
    <w:rsid w:val="00867E54"/>
    <w:rsid w:val="00867F4C"/>
    <w:rsid w:val="00867FD3"/>
    <w:rsid w:val="00867FD7"/>
    <w:rsid w:val="008700A3"/>
    <w:rsid w:val="008700CF"/>
    <w:rsid w:val="00870182"/>
    <w:rsid w:val="008701F0"/>
    <w:rsid w:val="00870219"/>
    <w:rsid w:val="00870246"/>
    <w:rsid w:val="008703DE"/>
    <w:rsid w:val="0087048F"/>
    <w:rsid w:val="008705DE"/>
    <w:rsid w:val="00870600"/>
    <w:rsid w:val="008706B5"/>
    <w:rsid w:val="0087085F"/>
    <w:rsid w:val="00870992"/>
    <w:rsid w:val="00870A56"/>
    <w:rsid w:val="00870ABD"/>
    <w:rsid w:val="00870B0E"/>
    <w:rsid w:val="00870B9F"/>
    <w:rsid w:val="00870BC0"/>
    <w:rsid w:val="00870BCF"/>
    <w:rsid w:val="00870C1A"/>
    <w:rsid w:val="00870D1E"/>
    <w:rsid w:val="00870D67"/>
    <w:rsid w:val="00870DBA"/>
    <w:rsid w:val="00870EE3"/>
    <w:rsid w:val="00871093"/>
    <w:rsid w:val="0087116A"/>
    <w:rsid w:val="008711BC"/>
    <w:rsid w:val="0087122A"/>
    <w:rsid w:val="00871235"/>
    <w:rsid w:val="00871288"/>
    <w:rsid w:val="008712C3"/>
    <w:rsid w:val="008712FE"/>
    <w:rsid w:val="00871393"/>
    <w:rsid w:val="0087139B"/>
    <w:rsid w:val="00871458"/>
    <w:rsid w:val="0087145B"/>
    <w:rsid w:val="008714D6"/>
    <w:rsid w:val="00871719"/>
    <w:rsid w:val="00871793"/>
    <w:rsid w:val="008717BA"/>
    <w:rsid w:val="0087188F"/>
    <w:rsid w:val="0087192F"/>
    <w:rsid w:val="0087194D"/>
    <w:rsid w:val="0087196A"/>
    <w:rsid w:val="008719A0"/>
    <w:rsid w:val="008719E3"/>
    <w:rsid w:val="00871A56"/>
    <w:rsid w:val="00871AA4"/>
    <w:rsid w:val="00871B09"/>
    <w:rsid w:val="00871B6A"/>
    <w:rsid w:val="00871B76"/>
    <w:rsid w:val="00871B9C"/>
    <w:rsid w:val="00871BBC"/>
    <w:rsid w:val="00871BD9"/>
    <w:rsid w:val="00871C21"/>
    <w:rsid w:val="00871C78"/>
    <w:rsid w:val="00871C7F"/>
    <w:rsid w:val="00871D39"/>
    <w:rsid w:val="00871D55"/>
    <w:rsid w:val="00871D79"/>
    <w:rsid w:val="00871DBF"/>
    <w:rsid w:val="00871E10"/>
    <w:rsid w:val="00871E8A"/>
    <w:rsid w:val="00871ECF"/>
    <w:rsid w:val="00871EE1"/>
    <w:rsid w:val="00871F54"/>
    <w:rsid w:val="00871F96"/>
    <w:rsid w:val="00871FD3"/>
    <w:rsid w:val="00871FDF"/>
    <w:rsid w:val="0087200D"/>
    <w:rsid w:val="00872047"/>
    <w:rsid w:val="00872063"/>
    <w:rsid w:val="0087208D"/>
    <w:rsid w:val="008720FF"/>
    <w:rsid w:val="008721A2"/>
    <w:rsid w:val="0087237B"/>
    <w:rsid w:val="00872427"/>
    <w:rsid w:val="0087242B"/>
    <w:rsid w:val="00872526"/>
    <w:rsid w:val="00872527"/>
    <w:rsid w:val="00872552"/>
    <w:rsid w:val="0087256C"/>
    <w:rsid w:val="008725BE"/>
    <w:rsid w:val="00872667"/>
    <w:rsid w:val="0087268B"/>
    <w:rsid w:val="00872696"/>
    <w:rsid w:val="008726A0"/>
    <w:rsid w:val="008727CE"/>
    <w:rsid w:val="008727F2"/>
    <w:rsid w:val="0087289C"/>
    <w:rsid w:val="008728B9"/>
    <w:rsid w:val="00872AA7"/>
    <w:rsid w:val="00872AC5"/>
    <w:rsid w:val="00872BD2"/>
    <w:rsid w:val="00872C26"/>
    <w:rsid w:val="00872CE3"/>
    <w:rsid w:val="00872CFA"/>
    <w:rsid w:val="00872D35"/>
    <w:rsid w:val="00872D70"/>
    <w:rsid w:val="00872DAE"/>
    <w:rsid w:val="00872E73"/>
    <w:rsid w:val="00872EBA"/>
    <w:rsid w:val="00872FDD"/>
    <w:rsid w:val="00873038"/>
    <w:rsid w:val="00873115"/>
    <w:rsid w:val="00873175"/>
    <w:rsid w:val="008731AD"/>
    <w:rsid w:val="0087333B"/>
    <w:rsid w:val="00873399"/>
    <w:rsid w:val="008733EF"/>
    <w:rsid w:val="008733F5"/>
    <w:rsid w:val="0087341A"/>
    <w:rsid w:val="008734AB"/>
    <w:rsid w:val="008734D3"/>
    <w:rsid w:val="0087353A"/>
    <w:rsid w:val="0087355B"/>
    <w:rsid w:val="00873646"/>
    <w:rsid w:val="0087365F"/>
    <w:rsid w:val="00873666"/>
    <w:rsid w:val="0087366E"/>
    <w:rsid w:val="008737AB"/>
    <w:rsid w:val="008737F3"/>
    <w:rsid w:val="008737FA"/>
    <w:rsid w:val="0087386E"/>
    <w:rsid w:val="00873A02"/>
    <w:rsid w:val="00873AAF"/>
    <w:rsid w:val="00873ABC"/>
    <w:rsid w:val="00873B40"/>
    <w:rsid w:val="00873B56"/>
    <w:rsid w:val="00873B77"/>
    <w:rsid w:val="00873BCF"/>
    <w:rsid w:val="00873BE9"/>
    <w:rsid w:val="00873D8C"/>
    <w:rsid w:val="00873E2D"/>
    <w:rsid w:val="00873E77"/>
    <w:rsid w:val="00873F22"/>
    <w:rsid w:val="00873FD0"/>
    <w:rsid w:val="00874039"/>
    <w:rsid w:val="00874058"/>
    <w:rsid w:val="0087408E"/>
    <w:rsid w:val="008740CD"/>
    <w:rsid w:val="00874108"/>
    <w:rsid w:val="00874167"/>
    <w:rsid w:val="0087417D"/>
    <w:rsid w:val="0087425D"/>
    <w:rsid w:val="0087433E"/>
    <w:rsid w:val="0087434A"/>
    <w:rsid w:val="008743AD"/>
    <w:rsid w:val="00874437"/>
    <w:rsid w:val="0087444C"/>
    <w:rsid w:val="008744B2"/>
    <w:rsid w:val="00874576"/>
    <w:rsid w:val="008746CE"/>
    <w:rsid w:val="008746E0"/>
    <w:rsid w:val="00874829"/>
    <w:rsid w:val="008748F6"/>
    <w:rsid w:val="008749B1"/>
    <w:rsid w:val="00874A93"/>
    <w:rsid w:val="00874ACF"/>
    <w:rsid w:val="00874B2C"/>
    <w:rsid w:val="00874BB0"/>
    <w:rsid w:val="00874BBA"/>
    <w:rsid w:val="00874C2A"/>
    <w:rsid w:val="00874CC0"/>
    <w:rsid w:val="00874CD3"/>
    <w:rsid w:val="00874CD4"/>
    <w:rsid w:val="00874D15"/>
    <w:rsid w:val="00874D44"/>
    <w:rsid w:val="00874D52"/>
    <w:rsid w:val="00874DD9"/>
    <w:rsid w:val="00874E9D"/>
    <w:rsid w:val="00874EE9"/>
    <w:rsid w:val="00874F3F"/>
    <w:rsid w:val="00874F48"/>
    <w:rsid w:val="00874FE4"/>
    <w:rsid w:val="00874FEA"/>
    <w:rsid w:val="00875026"/>
    <w:rsid w:val="008750D2"/>
    <w:rsid w:val="008751BE"/>
    <w:rsid w:val="008751E8"/>
    <w:rsid w:val="00875203"/>
    <w:rsid w:val="0087521B"/>
    <w:rsid w:val="00875233"/>
    <w:rsid w:val="00875253"/>
    <w:rsid w:val="008752B6"/>
    <w:rsid w:val="008752BF"/>
    <w:rsid w:val="008752DD"/>
    <w:rsid w:val="008752FC"/>
    <w:rsid w:val="008752FE"/>
    <w:rsid w:val="0087531E"/>
    <w:rsid w:val="00875329"/>
    <w:rsid w:val="0087534F"/>
    <w:rsid w:val="00875397"/>
    <w:rsid w:val="008753BE"/>
    <w:rsid w:val="0087545B"/>
    <w:rsid w:val="0087547A"/>
    <w:rsid w:val="00875531"/>
    <w:rsid w:val="008755A2"/>
    <w:rsid w:val="0087562F"/>
    <w:rsid w:val="00875698"/>
    <w:rsid w:val="00875758"/>
    <w:rsid w:val="008757D9"/>
    <w:rsid w:val="008757E7"/>
    <w:rsid w:val="008758C1"/>
    <w:rsid w:val="008758D4"/>
    <w:rsid w:val="00875954"/>
    <w:rsid w:val="00875A16"/>
    <w:rsid w:val="00875A7E"/>
    <w:rsid w:val="00875B2A"/>
    <w:rsid w:val="00875B51"/>
    <w:rsid w:val="00875B69"/>
    <w:rsid w:val="00875CAE"/>
    <w:rsid w:val="00875CF4"/>
    <w:rsid w:val="00875D30"/>
    <w:rsid w:val="00875D51"/>
    <w:rsid w:val="00875DF4"/>
    <w:rsid w:val="00875E16"/>
    <w:rsid w:val="00875F7D"/>
    <w:rsid w:val="00875FC3"/>
    <w:rsid w:val="00875FEA"/>
    <w:rsid w:val="0087603A"/>
    <w:rsid w:val="00876067"/>
    <w:rsid w:val="00876073"/>
    <w:rsid w:val="008760A9"/>
    <w:rsid w:val="008760C2"/>
    <w:rsid w:val="00876204"/>
    <w:rsid w:val="0087620C"/>
    <w:rsid w:val="00876212"/>
    <w:rsid w:val="0087623F"/>
    <w:rsid w:val="00876245"/>
    <w:rsid w:val="008762A7"/>
    <w:rsid w:val="008762D5"/>
    <w:rsid w:val="008762E2"/>
    <w:rsid w:val="00876417"/>
    <w:rsid w:val="008764F5"/>
    <w:rsid w:val="008765AC"/>
    <w:rsid w:val="00876607"/>
    <w:rsid w:val="00876657"/>
    <w:rsid w:val="008766F3"/>
    <w:rsid w:val="00876781"/>
    <w:rsid w:val="00876818"/>
    <w:rsid w:val="0087682C"/>
    <w:rsid w:val="0087691E"/>
    <w:rsid w:val="00876988"/>
    <w:rsid w:val="00876C50"/>
    <w:rsid w:val="00876C8D"/>
    <w:rsid w:val="00876CAE"/>
    <w:rsid w:val="00876D30"/>
    <w:rsid w:val="00876D7F"/>
    <w:rsid w:val="00876DBB"/>
    <w:rsid w:val="00876E2F"/>
    <w:rsid w:val="00876E30"/>
    <w:rsid w:val="00876E3D"/>
    <w:rsid w:val="00876F59"/>
    <w:rsid w:val="00876F5A"/>
    <w:rsid w:val="00876F60"/>
    <w:rsid w:val="00876F6F"/>
    <w:rsid w:val="00876FAC"/>
    <w:rsid w:val="00877003"/>
    <w:rsid w:val="0087703F"/>
    <w:rsid w:val="00877046"/>
    <w:rsid w:val="00877059"/>
    <w:rsid w:val="0087717F"/>
    <w:rsid w:val="0087730D"/>
    <w:rsid w:val="00877386"/>
    <w:rsid w:val="00877413"/>
    <w:rsid w:val="008774D3"/>
    <w:rsid w:val="00877531"/>
    <w:rsid w:val="00877535"/>
    <w:rsid w:val="008775C0"/>
    <w:rsid w:val="00877621"/>
    <w:rsid w:val="00877685"/>
    <w:rsid w:val="008776DC"/>
    <w:rsid w:val="00877750"/>
    <w:rsid w:val="008777B4"/>
    <w:rsid w:val="0087780D"/>
    <w:rsid w:val="00877815"/>
    <w:rsid w:val="0087784A"/>
    <w:rsid w:val="00877872"/>
    <w:rsid w:val="008778B5"/>
    <w:rsid w:val="00877976"/>
    <w:rsid w:val="008779F8"/>
    <w:rsid w:val="00877A16"/>
    <w:rsid w:val="00877A4B"/>
    <w:rsid w:val="00877AD8"/>
    <w:rsid w:val="00877B59"/>
    <w:rsid w:val="00877BBA"/>
    <w:rsid w:val="00877C05"/>
    <w:rsid w:val="00877CB6"/>
    <w:rsid w:val="00877D52"/>
    <w:rsid w:val="00877E6C"/>
    <w:rsid w:val="00877EA4"/>
    <w:rsid w:val="00877ED9"/>
    <w:rsid w:val="00877F00"/>
    <w:rsid w:val="00877F87"/>
    <w:rsid w:val="0088011C"/>
    <w:rsid w:val="008801C0"/>
    <w:rsid w:val="008801F6"/>
    <w:rsid w:val="0088020C"/>
    <w:rsid w:val="00880252"/>
    <w:rsid w:val="0088027B"/>
    <w:rsid w:val="008802E4"/>
    <w:rsid w:val="00880300"/>
    <w:rsid w:val="00880304"/>
    <w:rsid w:val="008803FB"/>
    <w:rsid w:val="00880432"/>
    <w:rsid w:val="008804F2"/>
    <w:rsid w:val="0088055F"/>
    <w:rsid w:val="008805EA"/>
    <w:rsid w:val="00880704"/>
    <w:rsid w:val="008807CC"/>
    <w:rsid w:val="00880866"/>
    <w:rsid w:val="00880876"/>
    <w:rsid w:val="008808A4"/>
    <w:rsid w:val="008808B4"/>
    <w:rsid w:val="00880AE9"/>
    <w:rsid w:val="00880BA3"/>
    <w:rsid w:val="00880BC3"/>
    <w:rsid w:val="00880BCF"/>
    <w:rsid w:val="00880CA0"/>
    <w:rsid w:val="00880CE7"/>
    <w:rsid w:val="00880E6E"/>
    <w:rsid w:val="00880EB2"/>
    <w:rsid w:val="00880EBA"/>
    <w:rsid w:val="00880EFE"/>
    <w:rsid w:val="00880F06"/>
    <w:rsid w:val="00880F85"/>
    <w:rsid w:val="00881073"/>
    <w:rsid w:val="0088112B"/>
    <w:rsid w:val="00881162"/>
    <w:rsid w:val="00881181"/>
    <w:rsid w:val="00881215"/>
    <w:rsid w:val="00881216"/>
    <w:rsid w:val="008812BA"/>
    <w:rsid w:val="008812C6"/>
    <w:rsid w:val="00881304"/>
    <w:rsid w:val="0088130A"/>
    <w:rsid w:val="00881365"/>
    <w:rsid w:val="0088136A"/>
    <w:rsid w:val="00881476"/>
    <w:rsid w:val="008815B2"/>
    <w:rsid w:val="008815F3"/>
    <w:rsid w:val="0088160E"/>
    <w:rsid w:val="00881659"/>
    <w:rsid w:val="0088166B"/>
    <w:rsid w:val="008816B8"/>
    <w:rsid w:val="00881867"/>
    <w:rsid w:val="0088188F"/>
    <w:rsid w:val="008818A5"/>
    <w:rsid w:val="00881913"/>
    <w:rsid w:val="0088192C"/>
    <w:rsid w:val="00881951"/>
    <w:rsid w:val="00881A6A"/>
    <w:rsid w:val="00881B72"/>
    <w:rsid w:val="00881C12"/>
    <w:rsid w:val="00881CAB"/>
    <w:rsid w:val="00881D19"/>
    <w:rsid w:val="00881D35"/>
    <w:rsid w:val="00881DA6"/>
    <w:rsid w:val="00881DBD"/>
    <w:rsid w:val="00881E24"/>
    <w:rsid w:val="00881E75"/>
    <w:rsid w:val="00881EDB"/>
    <w:rsid w:val="00881F30"/>
    <w:rsid w:val="00881F9A"/>
    <w:rsid w:val="00881FDF"/>
    <w:rsid w:val="00881FF7"/>
    <w:rsid w:val="00882090"/>
    <w:rsid w:val="008820DB"/>
    <w:rsid w:val="008820E8"/>
    <w:rsid w:val="008820F5"/>
    <w:rsid w:val="00882183"/>
    <w:rsid w:val="00882251"/>
    <w:rsid w:val="00882290"/>
    <w:rsid w:val="00882362"/>
    <w:rsid w:val="0088243D"/>
    <w:rsid w:val="0088244B"/>
    <w:rsid w:val="00882464"/>
    <w:rsid w:val="00882475"/>
    <w:rsid w:val="00882496"/>
    <w:rsid w:val="008824AF"/>
    <w:rsid w:val="008824C2"/>
    <w:rsid w:val="008824E9"/>
    <w:rsid w:val="008825A6"/>
    <w:rsid w:val="008825EF"/>
    <w:rsid w:val="008826CA"/>
    <w:rsid w:val="00882703"/>
    <w:rsid w:val="0088273B"/>
    <w:rsid w:val="008827CA"/>
    <w:rsid w:val="00882971"/>
    <w:rsid w:val="00882A3B"/>
    <w:rsid w:val="00882A68"/>
    <w:rsid w:val="00882B3A"/>
    <w:rsid w:val="00882BCC"/>
    <w:rsid w:val="00882C0E"/>
    <w:rsid w:val="00882C84"/>
    <w:rsid w:val="00882C96"/>
    <w:rsid w:val="00882CE4"/>
    <w:rsid w:val="00882D5E"/>
    <w:rsid w:val="00882DEA"/>
    <w:rsid w:val="00882E4C"/>
    <w:rsid w:val="00882EBF"/>
    <w:rsid w:val="00882F53"/>
    <w:rsid w:val="00882F94"/>
    <w:rsid w:val="00882FB9"/>
    <w:rsid w:val="00883039"/>
    <w:rsid w:val="00883094"/>
    <w:rsid w:val="008830EB"/>
    <w:rsid w:val="0088312D"/>
    <w:rsid w:val="0088326A"/>
    <w:rsid w:val="00883285"/>
    <w:rsid w:val="008832A5"/>
    <w:rsid w:val="00883351"/>
    <w:rsid w:val="0088342B"/>
    <w:rsid w:val="0088348B"/>
    <w:rsid w:val="008834DD"/>
    <w:rsid w:val="0088357F"/>
    <w:rsid w:val="00883593"/>
    <w:rsid w:val="008835AE"/>
    <w:rsid w:val="008835D9"/>
    <w:rsid w:val="008835EE"/>
    <w:rsid w:val="00883624"/>
    <w:rsid w:val="0088364C"/>
    <w:rsid w:val="0088369F"/>
    <w:rsid w:val="00883712"/>
    <w:rsid w:val="0088375D"/>
    <w:rsid w:val="0088376F"/>
    <w:rsid w:val="00883815"/>
    <w:rsid w:val="0088384E"/>
    <w:rsid w:val="008838D2"/>
    <w:rsid w:val="00883944"/>
    <w:rsid w:val="00883AA9"/>
    <w:rsid w:val="00883B18"/>
    <w:rsid w:val="00883B87"/>
    <w:rsid w:val="00883BB9"/>
    <w:rsid w:val="00883BEE"/>
    <w:rsid w:val="00883C23"/>
    <w:rsid w:val="00883C55"/>
    <w:rsid w:val="00883CE5"/>
    <w:rsid w:val="00883D1C"/>
    <w:rsid w:val="00883D20"/>
    <w:rsid w:val="00883D41"/>
    <w:rsid w:val="00883D4C"/>
    <w:rsid w:val="00883E9B"/>
    <w:rsid w:val="00883F5E"/>
    <w:rsid w:val="00883FA1"/>
    <w:rsid w:val="00884054"/>
    <w:rsid w:val="00884064"/>
    <w:rsid w:val="00884079"/>
    <w:rsid w:val="0088426C"/>
    <w:rsid w:val="0088427A"/>
    <w:rsid w:val="008842A1"/>
    <w:rsid w:val="00884302"/>
    <w:rsid w:val="00884306"/>
    <w:rsid w:val="00884462"/>
    <w:rsid w:val="008844AD"/>
    <w:rsid w:val="008844CC"/>
    <w:rsid w:val="00884508"/>
    <w:rsid w:val="00884533"/>
    <w:rsid w:val="0088453F"/>
    <w:rsid w:val="008845CE"/>
    <w:rsid w:val="00884615"/>
    <w:rsid w:val="0088462E"/>
    <w:rsid w:val="00884657"/>
    <w:rsid w:val="0088472D"/>
    <w:rsid w:val="00884768"/>
    <w:rsid w:val="008847A5"/>
    <w:rsid w:val="00884832"/>
    <w:rsid w:val="00884850"/>
    <w:rsid w:val="0088487A"/>
    <w:rsid w:val="00884888"/>
    <w:rsid w:val="00884952"/>
    <w:rsid w:val="00884956"/>
    <w:rsid w:val="008849C0"/>
    <w:rsid w:val="00884A35"/>
    <w:rsid w:val="00884B13"/>
    <w:rsid w:val="00884B68"/>
    <w:rsid w:val="00884B7C"/>
    <w:rsid w:val="00884CA5"/>
    <w:rsid w:val="00884E58"/>
    <w:rsid w:val="00884E60"/>
    <w:rsid w:val="00884E90"/>
    <w:rsid w:val="00884EF5"/>
    <w:rsid w:val="00884F8A"/>
    <w:rsid w:val="00885013"/>
    <w:rsid w:val="00885033"/>
    <w:rsid w:val="008850D6"/>
    <w:rsid w:val="008850F9"/>
    <w:rsid w:val="008850FF"/>
    <w:rsid w:val="00885141"/>
    <w:rsid w:val="00885268"/>
    <w:rsid w:val="008852F6"/>
    <w:rsid w:val="00885347"/>
    <w:rsid w:val="00885505"/>
    <w:rsid w:val="008855BA"/>
    <w:rsid w:val="0088568A"/>
    <w:rsid w:val="008856D6"/>
    <w:rsid w:val="00885701"/>
    <w:rsid w:val="008857E7"/>
    <w:rsid w:val="0088588B"/>
    <w:rsid w:val="0088589F"/>
    <w:rsid w:val="008858A6"/>
    <w:rsid w:val="0088592D"/>
    <w:rsid w:val="00885989"/>
    <w:rsid w:val="008859AC"/>
    <w:rsid w:val="00885A8A"/>
    <w:rsid w:val="00885B6E"/>
    <w:rsid w:val="00885C03"/>
    <w:rsid w:val="00885C99"/>
    <w:rsid w:val="00885CA0"/>
    <w:rsid w:val="00885D63"/>
    <w:rsid w:val="00885D67"/>
    <w:rsid w:val="00885DB2"/>
    <w:rsid w:val="00885DD6"/>
    <w:rsid w:val="00885E4B"/>
    <w:rsid w:val="00885EBC"/>
    <w:rsid w:val="00885EE1"/>
    <w:rsid w:val="00885F1E"/>
    <w:rsid w:val="00885F8F"/>
    <w:rsid w:val="00885FD8"/>
    <w:rsid w:val="008860D1"/>
    <w:rsid w:val="008860D2"/>
    <w:rsid w:val="0088613B"/>
    <w:rsid w:val="00886174"/>
    <w:rsid w:val="00886175"/>
    <w:rsid w:val="008861C9"/>
    <w:rsid w:val="0088622E"/>
    <w:rsid w:val="008862C8"/>
    <w:rsid w:val="008862CF"/>
    <w:rsid w:val="0088632E"/>
    <w:rsid w:val="00886359"/>
    <w:rsid w:val="008863D1"/>
    <w:rsid w:val="0088640F"/>
    <w:rsid w:val="008865FD"/>
    <w:rsid w:val="0088664D"/>
    <w:rsid w:val="00886672"/>
    <w:rsid w:val="0088668F"/>
    <w:rsid w:val="008866A1"/>
    <w:rsid w:val="008866F8"/>
    <w:rsid w:val="00886782"/>
    <w:rsid w:val="00886791"/>
    <w:rsid w:val="008867F0"/>
    <w:rsid w:val="008868B2"/>
    <w:rsid w:val="008868CB"/>
    <w:rsid w:val="00886A43"/>
    <w:rsid w:val="00886B65"/>
    <w:rsid w:val="00886B70"/>
    <w:rsid w:val="00886C25"/>
    <w:rsid w:val="00886CCF"/>
    <w:rsid w:val="00886EC2"/>
    <w:rsid w:val="00886FFC"/>
    <w:rsid w:val="008870CF"/>
    <w:rsid w:val="008870DD"/>
    <w:rsid w:val="008870E9"/>
    <w:rsid w:val="008870F4"/>
    <w:rsid w:val="0088718D"/>
    <w:rsid w:val="008871A7"/>
    <w:rsid w:val="00887200"/>
    <w:rsid w:val="00887255"/>
    <w:rsid w:val="00887285"/>
    <w:rsid w:val="008872E5"/>
    <w:rsid w:val="0088730A"/>
    <w:rsid w:val="00887386"/>
    <w:rsid w:val="00887415"/>
    <w:rsid w:val="0088742F"/>
    <w:rsid w:val="008874B0"/>
    <w:rsid w:val="008875F9"/>
    <w:rsid w:val="008876C8"/>
    <w:rsid w:val="00887751"/>
    <w:rsid w:val="008877D7"/>
    <w:rsid w:val="008878AA"/>
    <w:rsid w:val="008879B4"/>
    <w:rsid w:val="008879C1"/>
    <w:rsid w:val="00887C47"/>
    <w:rsid w:val="00887C86"/>
    <w:rsid w:val="00887C8A"/>
    <w:rsid w:val="00887CA2"/>
    <w:rsid w:val="00887CBD"/>
    <w:rsid w:val="00887D57"/>
    <w:rsid w:val="00887D61"/>
    <w:rsid w:val="00887E66"/>
    <w:rsid w:val="00887F65"/>
    <w:rsid w:val="00887FD3"/>
    <w:rsid w:val="0089011B"/>
    <w:rsid w:val="0089011F"/>
    <w:rsid w:val="00890207"/>
    <w:rsid w:val="00890267"/>
    <w:rsid w:val="0089026A"/>
    <w:rsid w:val="00890288"/>
    <w:rsid w:val="0089028C"/>
    <w:rsid w:val="008902D5"/>
    <w:rsid w:val="00890348"/>
    <w:rsid w:val="0089038B"/>
    <w:rsid w:val="008903D9"/>
    <w:rsid w:val="0089048C"/>
    <w:rsid w:val="008904D9"/>
    <w:rsid w:val="00890578"/>
    <w:rsid w:val="00890589"/>
    <w:rsid w:val="00890590"/>
    <w:rsid w:val="0089071C"/>
    <w:rsid w:val="00890727"/>
    <w:rsid w:val="0089073E"/>
    <w:rsid w:val="00890780"/>
    <w:rsid w:val="008907F8"/>
    <w:rsid w:val="0089087A"/>
    <w:rsid w:val="008908DE"/>
    <w:rsid w:val="008909F8"/>
    <w:rsid w:val="00890AC1"/>
    <w:rsid w:val="00890B5C"/>
    <w:rsid w:val="00890CC8"/>
    <w:rsid w:val="00890CEF"/>
    <w:rsid w:val="00890D18"/>
    <w:rsid w:val="00890D3E"/>
    <w:rsid w:val="00890DD2"/>
    <w:rsid w:val="00890E49"/>
    <w:rsid w:val="00890E84"/>
    <w:rsid w:val="00890F4B"/>
    <w:rsid w:val="00890F53"/>
    <w:rsid w:val="00890FA5"/>
    <w:rsid w:val="00890FD6"/>
    <w:rsid w:val="00891003"/>
    <w:rsid w:val="00891008"/>
    <w:rsid w:val="0089105B"/>
    <w:rsid w:val="00891086"/>
    <w:rsid w:val="0089108A"/>
    <w:rsid w:val="008910D4"/>
    <w:rsid w:val="00891112"/>
    <w:rsid w:val="008911B4"/>
    <w:rsid w:val="008911C0"/>
    <w:rsid w:val="00891261"/>
    <w:rsid w:val="0089149C"/>
    <w:rsid w:val="00891510"/>
    <w:rsid w:val="0089151F"/>
    <w:rsid w:val="0089154E"/>
    <w:rsid w:val="0089156C"/>
    <w:rsid w:val="008915CE"/>
    <w:rsid w:val="008916BA"/>
    <w:rsid w:val="008916C5"/>
    <w:rsid w:val="008916E2"/>
    <w:rsid w:val="00891730"/>
    <w:rsid w:val="008917F7"/>
    <w:rsid w:val="008917FA"/>
    <w:rsid w:val="008917FE"/>
    <w:rsid w:val="00891889"/>
    <w:rsid w:val="00891912"/>
    <w:rsid w:val="00891A0F"/>
    <w:rsid w:val="00891AA8"/>
    <w:rsid w:val="00891ACB"/>
    <w:rsid w:val="00891BA9"/>
    <w:rsid w:val="00891BB7"/>
    <w:rsid w:val="00891BBC"/>
    <w:rsid w:val="00891C1B"/>
    <w:rsid w:val="00891C4D"/>
    <w:rsid w:val="00891D7E"/>
    <w:rsid w:val="00891D9D"/>
    <w:rsid w:val="00891DDB"/>
    <w:rsid w:val="00891E61"/>
    <w:rsid w:val="00891E6A"/>
    <w:rsid w:val="00891E7F"/>
    <w:rsid w:val="00892060"/>
    <w:rsid w:val="0089208C"/>
    <w:rsid w:val="008920AD"/>
    <w:rsid w:val="008920BC"/>
    <w:rsid w:val="0089212D"/>
    <w:rsid w:val="00892276"/>
    <w:rsid w:val="00892296"/>
    <w:rsid w:val="008922CE"/>
    <w:rsid w:val="00892368"/>
    <w:rsid w:val="008923F0"/>
    <w:rsid w:val="00892472"/>
    <w:rsid w:val="0089253E"/>
    <w:rsid w:val="008925F6"/>
    <w:rsid w:val="0089277A"/>
    <w:rsid w:val="008928E3"/>
    <w:rsid w:val="008928EC"/>
    <w:rsid w:val="008929F3"/>
    <w:rsid w:val="00892A1D"/>
    <w:rsid w:val="00892A3B"/>
    <w:rsid w:val="00892ABF"/>
    <w:rsid w:val="00892AE3"/>
    <w:rsid w:val="00892B3E"/>
    <w:rsid w:val="00892B6C"/>
    <w:rsid w:val="00892B91"/>
    <w:rsid w:val="00892C18"/>
    <w:rsid w:val="00892C27"/>
    <w:rsid w:val="00892CB9"/>
    <w:rsid w:val="00892CE1"/>
    <w:rsid w:val="00892E0D"/>
    <w:rsid w:val="00892E43"/>
    <w:rsid w:val="00892E65"/>
    <w:rsid w:val="0089301E"/>
    <w:rsid w:val="00893041"/>
    <w:rsid w:val="0089304A"/>
    <w:rsid w:val="00893089"/>
    <w:rsid w:val="00893112"/>
    <w:rsid w:val="0089314C"/>
    <w:rsid w:val="00893202"/>
    <w:rsid w:val="00893215"/>
    <w:rsid w:val="0089330F"/>
    <w:rsid w:val="0089332B"/>
    <w:rsid w:val="008933C3"/>
    <w:rsid w:val="0089346E"/>
    <w:rsid w:val="008934DB"/>
    <w:rsid w:val="00893557"/>
    <w:rsid w:val="00893560"/>
    <w:rsid w:val="0089360E"/>
    <w:rsid w:val="00893641"/>
    <w:rsid w:val="008936BB"/>
    <w:rsid w:val="008936BC"/>
    <w:rsid w:val="008936FC"/>
    <w:rsid w:val="0089370C"/>
    <w:rsid w:val="0089372C"/>
    <w:rsid w:val="008937BD"/>
    <w:rsid w:val="008937DA"/>
    <w:rsid w:val="008937E6"/>
    <w:rsid w:val="00893835"/>
    <w:rsid w:val="0089388E"/>
    <w:rsid w:val="00893902"/>
    <w:rsid w:val="0089391E"/>
    <w:rsid w:val="00893963"/>
    <w:rsid w:val="0089397D"/>
    <w:rsid w:val="0089398C"/>
    <w:rsid w:val="00893A2D"/>
    <w:rsid w:val="00893BF6"/>
    <w:rsid w:val="00893C9A"/>
    <w:rsid w:val="00893C9B"/>
    <w:rsid w:val="00893CBA"/>
    <w:rsid w:val="00893D8E"/>
    <w:rsid w:val="00893DFA"/>
    <w:rsid w:val="00893F51"/>
    <w:rsid w:val="00893F57"/>
    <w:rsid w:val="00893F66"/>
    <w:rsid w:val="00893F72"/>
    <w:rsid w:val="00893F76"/>
    <w:rsid w:val="00893F78"/>
    <w:rsid w:val="00893F84"/>
    <w:rsid w:val="00894131"/>
    <w:rsid w:val="0089417C"/>
    <w:rsid w:val="008941AB"/>
    <w:rsid w:val="0089425F"/>
    <w:rsid w:val="00894302"/>
    <w:rsid w:val="0089431D"/>
    <w:rsid w:val="00894458"/>
    <w:rsid w:val="00894475"/>
    <w:rsid w:val="0089449B"/>
    <w:rsid w:val="0089452D"/>
    <w:rsid w:val="00894563"/>
    <w:rsid w:val="008946AA"/>
    <w:rsid w:val="00894772"/>
    <w:rsid w:val="0089477A"/>
    <w:rsid w:val="008947BE"/>
    <w:rsid w:val="00894801"/>
    <w:rsid w:val="00894826"/>
    <w:rsid w:val="0089485C"/>
    <w:rsid w:val="00894868"/>
    <w:rsid w:val="008948DC"/>
    <w:rsid w:val="00894905"/>
    <w:rsid w:val="00894A81"/>
    <w:rsid w:val="00894B12"/>
    <w:rsid w:val="00894B20"/>
    <w:rsid w:val="00894D0A"/>
    <w:rsid w:val="00894F16"/>
    <w:rsid w:val="00894F20"/>
    <w:rsid w:val="00894F26"/>
    <w:rsid w:val="00894F70"/>
    <w:rsid w:val="008950E1"/>
    <w:rsid w:val="00895149"/>
    <w:rsid w:val="008951BE"/>
    <w:rsid w:val="00895276"/>
    <w:rsid w:val="0089527C"/>
    <w:rsid w:val="0089528E"/>
    <w:rsid w:val="0089532B"/>
    <w:rsid w:val="00895360"/>
    <w:rsid w:val="008953CF"/>
    <w:rsid w:val="008953D2"/>
    <w:rsid w:val="008953DC"/>
    <w:rsid w:val="008953E8"/>
    <w:rsid w:val="00895413"/>
    <w:rsid w:val="008954FD"/>
    <w:rsid w:val="008955A0"/>
    <w:rsid w:val="00895608"/>
    <w:rsid w:val="00895627"/>
    <w:rsid w:val="00895650"/>
    <w:rsid w:val="0089566E"/>
    <w:rsid w:val="0089576D"/>
    <w:rsid w:val="0089578E"/>
    <w:rsid w:val="00895917"/>
    <w:rsid w:val="00895947"/>
    <w:rsid w:val="00895A0E"/>
    <w:rsid w:val="00895A7E"/>
    <w:rsid w:val="00895B4E"/>
    <w:rsid w:val="00895B64"/>
    <w:rsid w:val="00895BDA"/>
    <w:rsid w:val="00895C7B"/>
    <w:rsid w:val="00895D74"/>
    <w:rsid w:val="00895D96"/>
    <w:rsid w:val="00895E58"/>
    <w:rsid w:val="00895E6F"/>
    <w:rsid w:val="00895EA6"/>
    <w:rsid w:val="00895EE4"/>
    <w:rsid w:val="00895F46"/>
    <w:rsid w:val="00895F68"/>
    <w:rsid w:val="00895F8C"/>
    <w:rsid w:val="00895F97"/>
    <w:rsid w:val="00895FF2"/>
    <w:rsid w:val="0089609F"/>
    <w:rsid w:val="008960C0"/>
    <w:rsid w:val="00896121"/>
    <w:rsid w:val="008961A3"/>
    <w:rsid w:val="00896290"/>
    <w:rsid w:val="0089634A"/>
    <w:rsid w:val="008963B3"/>
    <w:rsid w:val="008963E5"/>
    <w:rsid w:val="0089642B"/>
    <w:rsid w:val="008964B7"/>
    <w:rsid w:val="00896569"/>
    <w:rsid w:val="008965D1"/>
    <w:rsid w:val="008965FA"/>
    <w:rsid w:val="00896652"/>
    <w:rsid w:val="008966D6"/>
    <w:rsid w:val="008966F6"/>
    <w:rsid w:val="008967D4"/>
    <w:rsid w:val="00896968"/>
    <w:rsid w:val="00896978"/>
    <w:rsid w:val="0089698E"/>
    <w:rsid w:val="008969E4"/>
    <w:rsid w:val="00896A00"/>
    <w:rsid w:val="00896A52"/>
    <w:rsid w:val="00896A95"/>
    <w:rsid w:val="00896B51"/>
    <w:rsid w:val="00896B8B"/>
    <w:rsid w:val="00896C70"/>
    <w:rsid w:val="00896CD3"/>
    <w:rsid w:val="00896E5E"/>
    <w:rsid w:val="00896F84"/>
    <w:rsid w:val="00896F87"/>
    <w:rsid w:val="00896FA4"/>
    <w:rsid w:val="00896FB4"/>
    <w:rsid w:val="00896FCD"/>
    <w:rsid w:val="00897006"/>
    <w:rsid w:val="0089707E"/>
    <w:rsid w:val="00897172"/>
    <w:rsid w:val="008971F9"/>
    <w:rsid w:val="0089730D"/>
    <w:rsid w:val="00897320"/>
    <w:rsid w:val="0089742A"/>
    <w:rsid w:val="00897480"/>
    <w:rsid w:val="00897644"/>
    <w:rsid w:val="00897781"/>
    <w:rsid w:val="00897805"/>
    <w:rsid w:val="0089788F"/>
    <w:rsid w:val="00897A2F"/>
    <w:rsid w:val="00897AC3"/>
    <w:rsid w:val="00897B65"/>
    <w:rsid w:val="00897BD3"/>
    <w:rsid w:val="00897BF7"/>
    <w:rsid w:val="00897C19"/>
    <w:rsid w:val="00897C6B"/>
    <w:rsid w:val="00897C96"/>
    <w:rsid w:val="00897DBC"/>
    <w:rsid w:val="00897EEB"/>
    <w:rsid w:val="00897F7F"/>
    <w:rsid w:val="00897FA9"/>
    <w:rsid w:val="00897FBA"/>
    <w:rsid w:val="00897FC5"/>
    <w:rsid w:val="008A009D"/>
    <w:rsid w:val="008A0166"/>
    <w:rsid w:val="008A01B6"/>
    <w:rsid w:val="008A01EF"/>
    <w:rsid w:val="008A02B1"/>
    <w:rsid w:val="008A02C8"/>
    <w:rsid w:val="008A0333"/>
    <w:rsid w:val="008A04F3"/>
    <w:rsid w:val="008A05D1"/>
    <w:rsid w:val="008A0639"/>
    <w:rsid w:val="008A0843"/>
    <w:rsid w:val="008A0862"/>
    <w:rsid w:val="008A08AC"/>
    <w:rsid w:val="008A0AF7"/>
    <w:rsid w:val="008A0B55"/>
    <w:rsid w:val="008A0BAB"/>
    <w:rsid w:val="008A0BCC"/>
    <w:rsid w:val="008A0C4A"/>
    <w:rsid w:val="008A0DBE"/>
    <w:rsid w:val="008A0E34"/>
    <w:rsid w:val="008A0E92"/>
    <w:rsid w:val="008A0EC6"/>
    <w:rsid w:val="008A0F9B"/>
    <w:rsid w:val="008A1048"/>
    <w:rsid w:val="008A1067"/>
    <w:rsid w:val="008A1078"/>
    <w:rsid w:val="008A10E0"/>
    <w:rsid w:val="008A114A"/>
    <w:rsid w:val="008A11A9"/>
    <w:rsid w:val="008A11CC"/>
    <w:rsid w:val="008A121C"/>
    <w:rsid w:val="008A129F"/>
    <w:rsid w:val="008A12A9"/>
    <w:rsid w:val="008A1309"/>
    <w:rsid w:val="008A1380"/>
    <w:rsid w:val="008A13CE"/>
    <w:rsid w:val="008A143C"/>
    <w:rsid w:val="008A146F"/>
    <w:rsid w:val="008A14A1"/>
    <w:rsid w:val="008A156F"/>
    <w:rsid w:val="008A15B8"/>
    <w:rsid w:val="008A15D5"/>
    <w:rsid w:val="008A15FC"/>
    <w:rsid w:val="008A1621"/>
    <w:rsid w:val="008A1631"/>
    <w:rsid w:val="008A1655"/>
    <w:rsid w:val="008A16A6"/>
    <w:rsid w:val="008A1761"/>
    <w:rsid w:val="008A17EE"/>
    <w:rsid w:val="008A189C"/>
    <w:rsid w:val="008A1984"/>
    <w:rsid w:val="008A19D4"/>
    <w:rsid w:val="008A1A28"/>
    <w:rsid w:val="008A1A7B"/>
    <w:rsid w:val="008A1BBD"/>
    <w:rsid w:val="008A1BDC"/>
    <w:rsid w:val="008A1BE6"/>
    <w:rsid w:val="008A1CBA"/>
    <w:rsid w:val="008A1E39"/>
    <w:rsid w:val="008A1E9A"/>
    <w:rsid w:val="008A1EC2"/>
    <w:rsid w:val="008A1F3D"/>
    <w:rsid w:val="008A203C"/>
    <w:rsid w:val="008A207D"/>
    <w:rsid w:val="008A2080"/>
    <w:rsid w:val="008A2137"/>
    <w:rsid w:val="008A21B5"/>
    <w:rsid w:val="008A223E"/>
    <w:rsid w:val="008A225A"/>
    <w:rsid w:val="008A2397"/>
    <w:rsid w:val="008A23F2"/>
    <w:rsid w:val="008A2411"/>
    <w:rsid w:val="008A25B0"/>
    <w:rsid w:val="008A262C"/>
    <w:rsid w:val="008A2633"/>
    <w:rsid w:val="008A2738"/>
    <w:rsid w:val="008A27BF"/>
    <w:rsid w:val="008A2874"/>
    <w:rsid w:val="008A290A"/>
    <w:rsid w:val="008A2920"/>
    <w:rsid w:val="008A2948"/>
    <w:rsid w:val="008A298B"/>
    <w:rsid w:val="008A29DD"/>
    <w:rsid w:val="008A2B42"/>
    <w:rsid w:val="008A2B93"/>
    <w:rsid w:val="008A2BCB"/>
    <w:rsid w:val="008A2C5C"/>
    <w:rsid w:val="008A2C72"/>
    <w:rsid w:val="008A2CAF"/>
    <w:rsid w:val="008A2DD4"/>
    <w:rsid w:val="008A2E2C"/>
    <w:rsid w:val="008A2F23"/>
    <w:rsid w:val="008A2FF1"/>
    <w:rsid w:val="008A3022"/>
    <w:rsid w:val="008A3066"/>
    <w:rsid w:val="008A30B8"/>
    <w:rsid w:val="008A30BF"/>
    <w:rsid w:val="008A3117"/>
    <w:rsid w:val="008A3123"/>
    <w:rsid w:val="008A327D"/>
    <w:rsid w:val="008A3395"/>
    <w:rsid w:val="008A33E6"/>
    <w:rsid w:val="008A3423"/>
    <w:rsid w:val="008A3535"/>
    <w:rsid w:val="008A358C"/>
    <w:rsid w:val="008A35B7"/>
    <w:rsid w:val="008A3720"/>
    <w:rsid w:val="008A373E"/>
    <w:rsid w:val="008A3763"/>
    <w:rsid w:val="008A3885"/>
    <w:rsid w:val="008A38D5"/>
    <w:rsid w:val="008A392A"/>
    <w:rsid w:val="008A3935"/>
    <w:rsid w:val="008A393D"/>
    <w:rsid w:val="008A3953"/>
    <w:rsid w:val="008A398B"/>
    <w:rsid w:val="008A39DA"/>
    <w:rsid w:val="008A3A51"/>
    <w:rsid w:val="008A3A56"/>
    <w:rsid w:val="008A3AB1"/>
    <w:rsid w:val="008A3AD9"/>
    <w:rsid w:val="008A3B78"/>
    <w:rsid w:val="008A3B82"/>
    <w:rsid w:val="008A3D1E"/>
    <w:rsid w:val="008A3D9F"/>
    <w:rsid w:val="008A3DC7"/>
    <w:rsid w:val="008A3E1C"/>
    <w:rsid w:val="008A3FFB"/>
    <w:rsid w:val="008A4086"/>
    <w:rsid w:val="008A4142"/>
    <w:rsid w:val="008A4211"/>
    <w:rsid w:val="008A42AF"/>
    <w:rsid w:val="008A42E4"/>
    <w:rsid w:val="008A43B1"/>
    <w:rsid w:val="008A4465"/>
    <w:rsid w:val="008A4487"/>
    <w:rsid w:val="008A457F"/>
    <w:rsid w:val="008A4642"/>
    <w:rsid w:val="008A4677"/>
    <w:rsid w:val="008A4698"/>
    <w:rsid w:val="008A469C"/>
    <w:rsid w:val="008A46C7"/>
    <w:rsid w:val="008A4703"/>
    <w:rsid w:val="008A47D8"/>
    <w:rsid w:val="008A48A6"/>
    <w:rsid w:val="008A48B6"/>
    <w:rsid w:val="008A48BB"/>
    <w:rsid w:val="008A4932"/>
    <w:rsid w:val="008A4A37"/>
    <w:rsid w:val="008A4ACE"/>
    <w:rsid w:val="008A4B05"/>
    <w:rsid w:val="008A4B5B"/>
    <w:rsid w:val="008A4B86"/>
    <w:rsid w:val="008A4B88"/>
    <w:rsid w:val="008A4BD4"/>
    <w:rsid w:val="008A4CF2"/>
    <w:rsid w:val="008A4CFB"/>
    <w:rsid w:val="008A4D70"/>
    <w:rsid w:val="008A4D7B"/>
    <w:rsid w:val="008A4E01"/>
    <w:rsid w:val="008A4E1C"/>
    <w:rsid w:val="008A4F06"/>
    <w:rsid w:val="008A4FDE"/>
    <w:rsid w:val="008A4FE4"/>
    <w:rsid w:val="008A4FEB"/>
    <w:rsid w:val="008A5162"/>
    <w:rsid w:val="008A51EF"/>
    <w:rsid w:val="008A5216"/>
    <w:rsid w:val="008A5233"/>
    <w:rsid w:val="008A524C"/>
    <w:rsid w:val="008A52BD"/>
    <w:rsid w:val="008A5361"/>
    <w:rsid w:val="008A5396"/>
    <w:rsid w:val="008A53E7"/>
    <w:rsid w:val="008A53F7"/>
    <w:rsid w:val="008A546A"/>
    <w:rsid w:val="008A5472"/>
    <w:rsid w:val="008A5480"/>
    <w:rsid w:val="008A5491"/>
    <w:rsid w:val="008A5589"/>
    <w:rsid w:val="008A561D"/>
    <w:rsid w:val="008A5632"/>
    <w:rsid w:val="008A5643"/>
    <w:rsid w:val="008A56A6"/>
    <w:rsid w:val="008A56D6"/>
    <w:rsid w:val="008A585F"/>
    <w:rsid w:val="008A59B9"/>
    <w:rsid w:val="008A59D5"/>
    <w:rsid w:val="008A5B06"/>
    <w:rsid w:val="008A5B0F"/>
    <w:rsid w:val="008A5C69"/>
    <w:rsid w:val="008A5CCA"/>
    <w:rsid w:val="008A5D87"/>
    <w:rsid w:val="008A5E34"/>
    <w:rsid w:val="008A5E4F"/>
    <w:rsid w:val="008A5E7E"/>
    <w:rsid w:val="008A5E97"/>
    <w:rsid w:val="008A5EC0"/>
    <w:rsid w:val="008A5ED9"/>
    <w:rsid w:val="008A5FA9"/>
    <w:rsid w:val="008A5FD1"/>
    <w:rsid w:val="008A60CC"/>
    <w:rsid w:val="008A6156"/>
    <w:rsid w:val="008A6167"/>
    <w:rsid w:val="008A629F"/>
    <w:rsid w:val="008A62E6"/>
    <w:rsid w:val="008A6300"/>
    <w:rsid w:val="008A634F"/>
    <w:rsid w:val="008A6381"/>
    <w:rsid w:val="008A642B"/>
    <w:rsid w:val="008A6438"/>
    <w:rsid w:val="008A6494"/>
    <w:rsid w:val="008A64C8"/>
    <w:rsid w:val="008A650F"/>
    <w:rsid w:val="008A6523"/>
    <w:rsid w:val="008A6594"/>
    <w:rsid w:val="008A66DD"/>
    <w:rsid w:val="008A6715"/>
    <w:rsid w:val="008A6735"/>
    <w:rsid w:val="008A6753"/>
    <w:rsid w:val="008A676C"/>
    <w:rsid w:val="008A684E"/>
    <w:rsid w:val="008A688A"/>
    <w:rsid w:val="008A68D2"/>
    <w:rsid w:val="008A690B"/>
    <w:rsid w:val="008A6918"/>
    <w:rsid w:val="008A6A50"/>
    <w:rsid w:val="008A6A5D"/>
    <w:rsid w:val="008A6A97"/>
    <w:rsid w:val="008A6B69"/>
    <w:rsid w:val="008A6BC8"/>
    <w:rsid w:val="008A6BE8"/>
    <w:rsid w:val="008A6C92"/>
    <w:rsid w:val="008A6DEE"/>
    <w:rsid w:val="008A6E23"/>
    <w:rsid w:val="008A6FBD"/>
    <w:rsid w:val="008A6FC4"/>
    <w:rsid w:val="008A7100"/>
    <w:rsid w:val="008A72AE"/>
    <w:rsid w:val="008A732E"/>
    <w:rsid w:val="008A73F1"/>
    <w:rsid w:val="008A7461"/>
    <w:rsid w:val="008A74D6"/>
    <w:rsid w:val="008A7557"/>
    <w:rsid w:val="008A7590"/>
    <w:rsid w:val="008A75A1"/>
    <w:rsid w:val="008A75FC"/>
    <w:rsid w:val="008A7641"/>
    <w:rsid w:val="008A76A1"/>
    <w:rsid w:val="008A7817"/>
    <w:rsid w:val="008A7863"/>
    <w:rsid w:val="008A78ED"/>
    <w:rsid w:val="008A7910"/>
    <w:rsid w:val="008A7960"/>
    <w:rsid w:val="008A7974"/>
    <w:rsid w:val="008A79B6"/>
    <w:rsid w:val="008A79F3"/>
    <w:rsid w:val="008A7A29"/>
    <w:rsid w:val="008A7B02"/>
    <w:rsid w:val="008A7BBB"/>
    <w:rsid w:val="008A7BF7"/>
    <w:rsid w:val="008A7C3F"/>
    <w:rsid w:val="008A7C97"/>
    <w:rsid w:val="008A7CB1"/>
    <w:rsid w:val="008A7EF2"/>
    <w:rsid w:val="008A7F12"/>
    <w:rsid w:val="008A7F89"/>
    <w:rsid w:val="008A7FA9"/>
    <w:rsid w:val="008A7FBE"/>
    <w:rsid w:val="008B005A"/>
    <w:rsid w:val="008B008B"/>
    <w:rsid w:val="008B0200"/>
    <w:rsid w:val="008B0233"/>
    <w:rsid w:val="008B0281"/>
    <w:rsid w:val="008B02A4"/>
    <w:rsid w:val="008B0371"/>
    <w:rsid w:val="008B048C"/>
    <w:rsid w:val="008B04CD"/>
    <w:rsid w:val="008B0566"/>
    <w:rsid w:val="008B0588"/>
    <w:rsid w:val="008B058F"/>
    <w:rsid w:val="008B06C6"/>
    <w:rsid w:val="008B080A"/>
    <w:rsid w:val="008B081A"/>
    <w:rsid w:val="008B08FA"/>
    <w:rsid w:val="008B091C"/>
    <w:rsid w:val="008B0A2B"/>
    <w:rsid w:val="008B0ADE"/>
    <w:rsid w:val="008B0B1C"/>
    <w:rsid w:val="008B0B25"/>
    <w:rsid w:val="008B0B4A"/>
    <w:rsid w:val="008B0BC6"/>
    <w:rsid w:val="008B0BE2"/>
    <w:rsid w:val="008B0C30"/>
    <w:rsid w:val="008B0C37"/>
    <w:rsid w:val="008B0CFB"/>
    <w:rsid w:val="008B0D34"/>
    <w:rsid w:val="008B0D3C"/>
    <w:rsid w:val="008B0FAB"/>
    <w:rsid w:val="008B0FDE"/>
    <w:rsid w:val="008B1179"/>
    <w:rsid w:val="008B117C"/>
    <w:rsid w:val="008B118F"/>
    <w:rsid w:val="008B1199"/>
    <w:rsid w:val="008B1215"/>
    <w:rsid w:val="008B128C"/>
    <w:rsid w:val="008B1343"/>
    <w:rsid w:val="008B140D"/>
    <w:rsid w:val="008B14B7"/>
    <w:rsid w:val="008B153E"/>
    <w:rsid w:val="008B1575"/>
    <w:rsid w:val="008B15BF"/>
    <w:rsid w:val="008B15ED"/>
    <w:rsid w:val="008B168C"/>
    <w:rsid w:val="008B1708"/>
    <w:rsid w:val="008B1865"/>
    <w:rsid w:val="008B19B1"/>
    <w:rsid w:val="008B1AEF"/>
    <w:rsid w:val="008B1B7A"/>
    <w:rsid w:val="008B1BFC"/>
    <w:rsid w:val="008B1C01"/>
    <w:rsid w:val="008B1C07"/>
    <w:rsid w:val="008B1D14"/>
    <w:rsid w:val="008B1D34"/>
    <w:rsid w:val="008B1D40"/>
    <w:rsid w:val="008B1D65"/>
    <w:rsid w:val="008B1DC1"/>
    <w:rsid w:val="008B1E34"/>
    <w:rsid w:val="008B1F99"/>
    <w:rsid w:val="008B204C"/>
    <w:rsid w:val="008B2064"/>
    <w:rsid w:val="008B20DC"/>
    <w:rsid w:val="008B211A"/>
    <w:rsid w:val="008B2208"/>
    <w:rsid w:val="008B2363"/>
    <w:rsid w:val="008B241E"/>
    <w:rsid w:val="008B2440"/>
    <w:rsid w:val="008B25B5"/>
    <w:rsid w:val="008B25DC"/>
    <w:rsid w:val="008B2654"/>
    <w:rsid w:val="008B2662"/>
    <w:rsid w:val="008B279C"/>
    <w:rsid w:val="008B2832"/>
    <w:rsid w:val="008B2863"/>
    <w:rsid w:val="008B287B"/>
    <w:rsid w:val="008B2905"/>
    <w:rsid w:val="008B2919"/>
    <w:rsid w:val="008B2935"/>
    <w:rsid w:val="008B293E"/>
    <w:rsid w:val="008B2945"/>
    <w:rsid w:val="008B295F"/>
    <w:rsid w:val="008B29C6"/>
    <w:rsid w:val="008B2A13"/>
    <w:rsid w:val="008B2A39"/>
    <w:rsid w:val="008B2B5F"/>
    <w:rsid w:val="008B2B6A"/>
    <w:rsid w:val="008B2B78"/>
    <w:rsid w:val="008B2BC8"/>
    <w:rsid w:val="008B2C63"/>
    <w:rsid w:val="008B2C6A"/>
    <w:rsid w:val="008B2CEC"/>
    <w:rsid w:val="008B2CF9"/>
    <w:rsid w:val="008B2DB9"/>
    <w:rsid w:val="008B2E69"/>
    <w:rsid w:val="008B2ED2"/>
    <w:rsid w:val="008B2EEA"/>
    <w:rsid w:val="008B2F43"/>
    <w:rsid w:val="008B2FFF"/>
    <w:rsid w:val="008B3034"/>
    <w:rsid w:val="008B3091"/>
    <w:rsid w:val="008B30DA"/>
    <w:rsid w:val="008B31B9"/>
    <w:rsid w:val="008B320C"/>
    <w:rsid w:val="008B325D"/>
    <w:rsid w:val="008B33E4"/>
    <w:rsid w:val="008B35BE"/>
    <w:rsid w:val="008B3699"/>
    <w:rsid w:val="008B3726"/>
    <w:rsid w:val="008B37FC"/>
    <w:rsid w:val="008B394A"/>
    <w:rsid w:val="008B3959"/>
    <w:rsid w:val="008B3996"/>
    <w:rsid w:val="008B3A99"/>
    <w:rsid w:val="008B3AB2"/>
    <w:rsid w:val="008B3AC0"/>
    <w:rsid w:val="008B3B58"/>
    <w:rsid w:val="008B3BF6"/>
    <w:rsid w:val="008B3C68"/>
    <w:rsid w:val="008B3D5D"/>
    <w:rsid w:val="008B3D65"/>
    <w:rsid w:val="008B3DDD"/>
    <w:rsid w:val="008B3E96"/>
    <w:rsid w:val="008B3F2B"/>
    <w:rsid w:val="008B3F4F"/>
    <w:rsid w:val="008B4070"/>
    <w:rsid w:val="008B40D3"/>
    <w:rsid w:val="008B4136"/>
    <w:rsid w:val="008B41D0"/>
    <w:rsid w:val="008B4378"/>
    <w:rsid w:val="008B43ED"/>
    <w:rsid w:val="008B4429"/>
    <w:rsid w:val="008B4434"/>
    <w:rsid w:val="008B44C0"/>
    <w:rsid w:val="008B451F"/>
    <w:rsid w:val="008B45E9"/>
    <w:rsid w:val="008B45F6"/>
    <w:rsid w:val="008B467B"/>
    <w:rsid w:val="008B46AA"/>
    <w:rsid w:val="008B4711"/>
    <w:rsid w:val="008B4754"/>
    <w:rsid w:val="008B482E"/>
    <w:rsid w:val="008B4861"/>
    <w:rsid w:val="008B4A19"/>
    <w:rsid w:val="008B4A59"/>
    <w:rsid w:val="008B4A5E"/>
    <w:rsid w:val="008B4AC3"/>
    <w:rsid w:val="008B4B99"/>
    <w:rsid w:val="008B4C0A"/>
    <w:rsid w:val="008B4CA5"/>
    <w:rsid w:val="008B4D3F"/>
    <w:rsid w:val="008B4DF0"/>
    <w:rsid w:val="008B4E1E"/>
    <w:rsid w:val="008B4E27"/>
    <w:rsid w:val="008B4E3C"/>
    <w:rsid w:val="008B4F17"/>
    <w:rsid w:val="008B4F4A"/>
    <w:rsid w:val="008B4F76"/>
    <w:rsid w:val="008B4F7C"/>
    <w:rsid w:val="008B4FE0"/>
    <w:rsid w:val="008B4FEC"/>
    <w:rsid w:val="008B5011"/>
    <w:rsid w:val="008B502A"/>
    <w:rsid w:val="008B5066"/>
    <w:rsid w:val="008B5067"/>
    <w:rsid w:val="008B50D9"/>
    <w:rsid w:val="008B511A"/>
    <w:rsid w:val="008B5189"/>
    <w:rsid w:val="008B5309"/>
    <w:rsid w:val="008B5343"/>
    <w:rsid w:val="008B534B"/>
    <w:rsid w:val="008B538B"/>
    <w:rsid w:val="008B539A"/>
    <w:rsid w:val="008B53F7"/>
    <w:rsid w:val="008B5423"/>
    <w:rsid w:val="008B543E"/>
    <w:rsid w:val="008B5480"/>
    <w:rsid w:val="008B54A8"/>
    <w:rsid w:val="008B553D"/>
    <w:rsid w:val="008B553E"/>
    <w:rsid w:val="008B5597"/>
    <w:rsid w:val="008B559D"/>
    <w:rsid w:val="008B55C8"/>
    <w:rsid w:val="008B5670"/>
    <w:rsid w:val="008B56F7"/>
    <w:rsid w:val="008B5793"/>
    <w:rsid w:val="008B5836"/>
    <w:rsid w:val="008B5839"/>
    <w:rsid w:val="008B5869"/>
    <w:rsid w:val="008B58D7"/>
    <w:rsid w:val="008B58FF"/>
    <w:rsid w:val="008B5A84"/>
    <w:rsid w:val="008B5AD0"/>
    <w:rsid w:val="008B5B08"/>
    <w:rsid w:val="008B5B0F"/>
    <w:rsid w:val="008B5B21"/>
    <w:rsid w:val="008B5B3C"/>
    <w:rsid w:val="008B5B52"/>
    <w:rsid w:val="008B5BE1"/>
    <w:rsid w:val="008B5C0E"/>
    <w:rsid w:val="008B5C25"/>
    <w:rsid w:val="008B5C5F"/>
    <w:rsid w:val="008B5CB8"/>
    <w:rsid w:val="008B5CBA"/>
    <w:rsid w:val="008B5DD3"/>
    <w:rsid w:val="008B5E12"/>
    <w:rsid w:val="008B5E37"/>
    <w:rsid w:val="008B5E67"/>
    <w:rsid w:val="008B5E9D"/>
    <w:rsid w:val="008B5EAB"/>
    <w:rsid w:val="008B5ED4"/>
    <w:rsid w:val="008B5F13"/>
    <w:rsid w:val="008B5F2A"/>
    <w:rsid w:val="008B5F49"/>
    <w:rsid w:val="008B5F9E"/>
    <w:rsid w:val="008B615B"/>
    <w:rsid w:val="008B61C4"/>
    <w:rsid w:val="008B63F2"/>
    <w:rsid w:val="008B64E4"/>
    <w:rsid w:val="008B6500"/>
    <w:rsid w:val="008B65AB"/>
    <w:rsid w:val="008B66D8"/>
    <w:rsid w:val="008B676B"/>
    <w:rsid w:val="008B676D"/>
    <w:rsid w:val="008B67FC"/>
    <w:rsid w:val="008B6809"/>
    <w:rsid w:val="008B6835"/>
    <w:rsid w:val="008B6839"/>
    <w:rsid w:val="008B683B"/>
    <w:rsid w:val="008B686B"/>
    <w:rsid w:val="008B6890"/>
    <w:rsid w:val="008B691D"/>
    <w:rsid w:val="008B698B"/>
    <w:rsid w:val="008B69C7"/>
    <w:rsid w:val="008B6A05"/>
    <w:rsid w:val="008B6A53"/>
    <w:rsid w:val="008B6AE8"/>
    <w:rsid w:val="008B6C29"/>
    <w:rsid w:val="008B6C35"/>
    <w:rsid w:val="008B6CBF"/>
    <w:rsid w:val="008B6CD2"/>
    <w:rsid w:val="008B6CFD"/>
    <w:rsid w:val="008B6F83"/>
    <w:rsid w:val="008B6FDF"/>
    <w:rsid w:val="008B6FEC"/>
    <w:rsid w:val="008B705C"/>
    <w:rsid w:val="008B7168"/>
    <w:rsid w:val="008B7176"/>
    <w:rsid w:val="008B7290"/>
    <w:rsid w:val="008B7299"/>
    <w:rsid w:val="008B72E9"/>
    <w:rsid w:val="008B737A"/>
    <w:rsid w:val="008B737F"/>
    <w:rsid w:val="008B7384"/>
    <w:rsid w:val="008B7398"/>
    <w:rsid w:val="008B74B8"/>
    <w:rsid w:val="008B753B"/>
    <w:rsid w:val="008B757A"/>
    <w:rsid w:val="008B7590"/>
    <w:rsid w:val="008B75FA"/>
    <w:rsid w:val="008B765F"/>
    <w:rsid w:val="008B7674"/>
    <w:rsid w:val="008B76B5"/>
    <w:rsid w:val="008B7757"/>
    <w:rsid w:val="008B775E"/>
    <w:rsid w:val="008B776B"/>
    <w:rsid w:val="008B7826"/>
    <w:rsid w:val="008B798F"/>
    <w:rsid w:val="008B79BD"/>
    <w:rsid w:val="008B7A1B"/>
    <w:rsid w:val="008B7A71"/>
    <w:rsid w:val="008B7A7B"/>
    <w:rsid w:val="008B7B09"/>
    <w:rsid w:val="008B7B91"/>
    <w:rsid w:val="008B7BFF"/>
    <w:rsid w:val="008B7C3C"/>
    <w:rsid w:val="008B7C86"/>
    <w:rsid w:val="008B7D18"/>
    <w:rsid w:val="008B7D4C"/>
    <w:rsid w:val="008B7DDA"/>
    <w:rsid w:val="008B7E24"/>
    <w:rsid w:val="008B7E42"/>
    <w:rsid w:val="008B7E64"/>
    <w:rsid w:val="008B7EB6"/>
    <w:rsid w:val="008B7EBB"/>
    <w:rsid w:val="008B7F23"/>
    <w:rsid w:val="008B7FBF"/>
    <w:rsid w:val="008C0020"/>
    <w:rsid w:val="008C0080"/>
    <w:rsid w:val="008C0223"/>
    <w:rsid w:val="008C0306"/>
    <w:rsid w:val="008C0335"/>
    <w:rsid w:val="008C0340"/>
    <w:rsid w:val="008C03B7"/>
    <w:rsid w:val="008C0528"/>
    <w:rsid w:val="008C0617"/>
    <w:rsid w:val="008C06B5"/>
    <w:rsid w:val="008C06EE"/>
    <w:rsid w:val="008C07DB"/>
    <w:rsid w:val="008C0849"/>
    <w:rsid w:val="008C0861"/>
    <w:rsid w:val="008C08A2"/>
    <w:rsid w:val="008C091B"/>
    <w:rsid w:val="008C0928"/>
    <w:rsid w:val="008C09BD"/>
    <w:rsid w:val="008C0A69"/>
    <w:rsid w:val="008C0ACC"/>
    <w:rsid w:val="008C0B51"/>
    <w:rsid w:val="008C0BB0"/>
    <w:rsid w:val="008C0BD4"/>
    <w:rsid w:val="008C0C2C"/>
    <w:rsid w:val="008C0C69"/>
    <w:rsid w:val="008C0C73"/>
    <w:rsid w:val="008C0CD0"/>
    <w:rsid w:val="008C0CD3"/>
    <w:rsid w:val="008C0D06"/>
    <w:rsid w:val="008C0E52"/>
    <w:rsid w:val="008C0EA6"/>
    <w:rsid w:val="008C0F2B"/>
    <w:rsid w:val="008C0F9A"/>
    <w:rsid w:val="008C100C"/>
    <w:rsid w:val="008C1045"/>
    <w:rsid w:val="008C1064"/>
    <w:rsid w:val="008C10A0"/>
    <w:rsid w:val="008C10D5"/>
    <w:rsid w:val="008C10D9"/>
    <w:rsid w:val="008C10FF"/>
    <w:rsid w:val="008C110E"/>
    <w:rsid w:val="008C11E5"/>
    <w:rsid w:val="008C1279"/>
    <w:rsid w:val="008C12A3"/>
    <w:rsid w:val="008C12B5"/>
    <w:rsid w:val="008C12E9"/>
    <w:rsid w:val="008C1304"/>
    <w:rsid w:val="008C1311"/>
    <w:rsid w:val="008C137B"/>
    <w:rsid w:val="008C140A"/>
    <w:rsid w:val="008C15A8"/>
    <w:rsid w:val="008C15D4"/>
    <w:rsid w:val="008C1632"/>
    <w:rsid w:val="008C16B4"/>
    <w:rsid w:val="008C171B"/>
    <w:rsid w:val="008C17DB"/>
    <w:rsid w:val="008C1846"/>
    <w:rsid w:val="008C18ED"/>
    <w:rsid w:val="008C1941"/>
    <w:rsid w:val="008C197D"/>
    <w:rsid w:val="008C1A22"/>
    <w:rsid w:val="008C1A48"/>
    <w:rsid w:val="008C1A61"/>
    <w:rsid w:val="008C1A76"/>
    <w:rsid w:val="008C1AA6"/>
    <w:rsid w:val="008C1AE4"/>
    <w:rsid w:val="008C1C74"/>
    <w:rsid w:val="008C1CA0"/>
    <w:rsid w:val="008C1D8E"/>
    <w:rsid w:val="008C1E59"/>
    <w:rsid w:val="008C1FA8"/>
    <w:rsid w:val="008C2051"/>
    <w:rsid w:val="008C2078"/>
    <w:rsid w:val="008C214C"/>
    <w:rsid w:val="008C2232"/>
    <w:rsid w:val="008C225B"/>
    <w:rsid w:val="008C231D"/>
    <w:rsid w:val="008C2340"/>
    <w:rsid w:val="008C2359"/>
    <w:rsid w:val="008C237D"/>
    <w:rsid w:val="008C23F1"/>
    <w:rsid w:val="008C2444"/>
    <w:rsid w:val="008C245B"/>
    <w:rsid w:val="008C2482"/>
    <w:rsid w:val="008C24B4"/>
    <w:rsid w:val="008C2580"/>
    <w:rsid w:val="008C278C"/>
    <w:rsid w:val="008C2884"/>
    <w:rsid w:val="008C2936"/>
    <w:rsid w:val="008C2A85"/>
    <w:rsid w:val="008C2AE2"/>
    <w:rsid w:val="008C2B63"/>
    <w:rsid w:val="008C2C13"/>
    <w:rsid w:val="008C2C24"/>
    <w:rsid w:val="008C2CB0"/>
    <w:rsid w:val="008C2CD1"/>
    <w:rsid w:val="008C2D03"/>
    <w:rsid w:val="008C2D66"/>
    <w:rsid w:val="008C2F0E"/>
    <w:rsid w:val="008C3048"/>
    <w:rsid w:val="008C3224"/>
    <w:rsid w:val="008C32F6"/>
    <w:rsid w:val="008C3370"/>
    <w:rsid w:val="008C338B"/>
    <w:rsid w:val="008C33AF"/>
    <w:rsid w:val="008C33E8"/>
    <w:rsid w:val="008C3455"/>
    <w:rsid w:val="008C352C"/>
    <w:rsid w:val="008C3582"/>
    <w:rsid w:val="008C35A3"/>
    <w:rsid w:val="008C35B5"/>
    <w:rsid w:val="008C35C0"/>
    <w:rsid w:val="008C3662"/>
    <w:rsid w:val="008C36AE"/>
    <w:rsid w:val="008C3722"/>
    <w:rsid w:val="008C3752"/>
    <w:rsid w:val="008C37B8"/>
    <w:rsid w:val="008C37C3"/>
    <w:rsid w:val="008C38AA"/>
    <w:rsid w:val="008C3962"/>
    <w:rsid w:val="008C3972"/>
    <w:rsid w:val="008C39BF"/>
    <w:rsid w:val="008C3A53"/>
    <w:rsid w:val="008C3A83"/>
    <w:rsid w:val="008C3AA8"/>
    <w:rsid w:val="008C3B3B"/>
    <w:rsid w:val="008C3B44"/>
    <w:rsid w:val="008C3BA6"/>
    <w:rsid w:val="008C3BED"/>
    <w:rsid w:val="008C3C76"/>
    <w:rsid w:val="008C3CAC"/>
    <w:rsid w:val="008C3EE3"/>
    <w:rsid w:val="008C3F7A"/>
    <w:rsid w:val="008C400A"/>
    <w:rsid w:val="008C4055"/>
    <w:rsid w:val="008C405E"/>
    <w:rsid w:val="008C41B3"/>
    <w:rsid w:val="008C42DE"/>
    <w:rsid w:val="008C4382"/>
    <w:rsid w:val="008C43E5"/>
    <w:rsid w:val="008C4464"/>
    <w:rsid w:val="008C44A7"/>
    <w:rsid w:val="008C44EE"/>
    <w:rsid w:val="008C452A"/>
    <w:rsid w:val="008C4558"/>
    <w:rsid w:val="008C45DB"/>
    <w:rsid w:val="008C4612"/>
    <w:rsid w:val="008C46DD"/>
    <w:rsid w:val="008C470F"/>
    <w:rsid w:val="008C4781"/>
    <w:rsid w:val="008C479C"/>
    <w:rsid w:val="008C47A9"/>
    <w:rsid w:val="008C4853"/>
    <w:rsid w:val="008C4B23"/>
    <w:rsid w:val="008C4C03"/>
    <w:rsid w:val="008C4CFC"/>
    <w:rsid w:val="008C4DC5"/>
    <w:rsid w:val="008C4E8E"/>
    <w:rsid w:val="008C4EBF"/>
    <w:rsid w:val="008C5041"/>
    <w:rsid w:val="008C506D"/>
    <w:rsid w:val="008C50D7"/>
    <w:rsid w:val="008C519B"/>
    <w:rsid w:val="008C5237"/>
    <w:rsid w:val="008C5244"/>
    <w:rsid w:val="008C5250"/>
    <w:rsid w:val="008C53C7"/>
    <w:rsid w:val="008C5495"/>
    <w:rsid w:val="008C54C5"/>
    <w:rsid w:val="008C5515"/>
    <w:rsid w:val="008C5561"/>
    <w:rsid w:val="008C5581"/>
    <w:rsid w:val="008C5613"/>
    <w:rsid w:val="008C5886"/>
    <w:rsid w:val="008C5924"/>
    <w:rsid w:val="008C59FD"/>
    <w:rsid w:val="008C5A1B"/>
    <w:rsid w:val="008C5A2A"/>
    <w:rsid w:val="008C5B08"/>
    <w:rsid w:val="008C5BD7"/>
    <w:rsid w:val="008C5D09"/>
    <w:rsid w:val="008C5D5D"/>
    <w:rsid w:val="008C5E5A"/>
    <w:rsid w:val="008C5E62"/>
    <w:rsid w:val="008C5ED1"/>
    <w:rsid w:val="008C5F57"/>
    <w:rsid w:val="008C5F90"/>
    <w:rsid w:val="008C5F9A"/>
    <w:rsid w:val="008C60D7"/>
    <w:rsid w:val="008C60F3"/>
    <w:rsid w:val="008C612E"/>
    <w:rsid w:val="008C6286"/>
    <w:rsid w:val="008C62E8"/>
    <w:rsid w:val="008C6349"/>
    <w:rsid w:val="008C64E7"/>
    <w:rsid w:val="008C66B2"/>
    <w:rsid w:val="008C66FE"/>
    <w:rsid w:val="008C67F2"/>
    <w:rsid w:val="008C683A"/>
    <w:rsid w:val="008C6865"/>
    <w:rsid w:val="008C6927"/>
    <w:rsid w:val="008C6993"/>
    <w:rsid w:val="008C6996"/>
    <w:rsid w:val="008C6A10"/>
    <w:rsid w:val="008C6A9F"/>
    <w:rsid w:val="008C6B58"/>
    <w:rsid w:val="008C6B67"/>
    <w:rsid w:val="008C6BA7"/>
    <w:rsid w:val="008C6C26"/>
    <w:rsid w:val="008C6C7C"/>
    <w:rsid w:val="008C6CA3"/>
    <w:rsid w:val="008C6D1C"/>
    <w:rsid w:val="008C6D3B"/>
    <w:rsid w:val="008C6DD9"/>
    <w:rsid w:val="008C6F9D"/>
    <w:rsid w:val="008C6FED"/>
    <w:rsid w:val="008C704F"/>
    <w:rsid w:val="008C7075"/>
    <w:rsid w:val="008C707D"/>
    <w:rsid w:val="008C7120"/>
    <w:rsid w:val="008C724F"/>
    <w:rsid w:val="008C727C"/>
    <w:rsid w:val="008C727F"/>
    <w:rsid w:val="008C7290"/>
    <w:rsid w:val="008C7386"/>
    <w:rsid w:val="008C7435"/>
    <w:rsid w:val="008C7444"/>
    <w:rsid w:val="008C7456"/>
    <w:rsid w:val="008C7496"/>
    <w:rsid w:val="008C755D"/>
    <w:rsid w:val="008C7582"/>
    <w:rsid w:val="008C7633"/>
    <w:rsid w:val="008C767B"/>
    <w:rsid w:val="008C76A1"/>
    <w:rsid w:val="008C76E1"/>
    <w:rsid w:val="008C78DD"/>
    <w:rsid w:val="008C78F5"/>
    <w:rsid w:val="008C7A1D"/>
    <w:rsid w:val="008C7A39"/>
    <w:rsid w:val="008C7B04"/>
    <w:rsid w:val="008C7B33"/>
    <w:rsid w:val="008C7BF1"/>
    <w:rsid w:val="008C7CF8"/>
    <w:rsid w:val="008C7D37"/>
    <w:rsid w:val="008C7D50"/>
    <w:rsid w:val="008C7D77"/>
    <w:rsid w:val="008C7DE3"/>
    <w:rsid w:val="008C7DED"/>
    <w:rsid w:val="008C7E1B"/>
    <w:rsid w:val="008C7EC1"/>
    <w:rsid w:val="008C7F95"/>
    <w:rsid w:val="008C7F9C"/>
    <w:rsid w:val="008D0087"/>
    <w:rsid w:val="008D009F"/>
    <w:rsid w:val="008D00CA"/>
    <w:rsid w:val="008D04B0"/>
    <w:rsid w:val="008D05DA"/>
    <w:rsid w:val="008D05E4"/>
    <w:rsid w:val="008D0614"/>
    <w:rsid w:val="008D0830"/>
    <w:rsid w:val="008D08B4"/>
    <w:rsid w:val="008D08E7"/>
    <w:rsid w:val="008D0A9D"/>
    <w:rsid w:val="008D0AEC"/>
    <w:rsid w:val="008D0B1C"/>
    <w:rsid w:val="008D0B32"/>
    <w:rsid w:val="008D0BAB"/>
    <w:rsid w:val="008D0BB0"/>
    <w:rsid w:val="008D0C5C"/>
    <w:rsid w:val="008D0C89"/>
    <w:rsid w:val="008D0CAD"/>
    <w:rsid w:val="008D0CC8"/>
    <w:rsid w:val="008D0CF4"/>
    <w:rsid w:val="008D0DBC"/>
    <w:rsid w:val="008D0DCC"/>
    <w:rsid w:val="008D0EAF"/>
    <w:rsid w:val="008D0F3F"/>
    <w:rsid w:val="008D0F89"/>
    <w:rsid w:val="008D0F8D"/>
    <w:rsid w:val="008D0F94"/>
    <w:rsid w:val="008D102D"/>
    <w:rsid w:val="008D10B3"/>
    <w:rsid w:val="008D1148"/>
    <w:rsid w:val="008D118D"/>
    <w:rsid w:val="008D11FC"/>
    <w:rsid w:val="008D13D6"/>
    <w:rsid w:val="008D1451"/>
    <w:rsid w:val="008D14FE"/>
    <w:rsid w:val="008D1592"/>
    <w:rsid w:val="008D1645"/>
    <w:rsid w:val="008D169B"/>
    <w:rsid w:val="008D18BE"/>
    <w:rsid w:val="008D18ED"/>
    <w:rsid w:val="008D1930"/>
    <w:rsid w:val="008D1A20"/>
    <w:rsid w:val="008D1AD2"/>
    <w:rsid w:val="008D1C23"/>
    <w:rsid w:val="008D1D9F"/>
    <w:rsid w:val="008D1DDE"/>
    <w:rsid w:val="008D1DE3"/>
    <w:rsid w:val="008D1E25"/>
    <w:rsid w:val="008D1EB0"/>
    <w:rsid w:val="008D1EBB"/>
    <w:rsid w:val="008D1F37"/>
    <w:rsid w:val="008D201B"/>
    <w:rsid w:val="008D203B"/>
    <w:rsid w:val="008D2073"/>
    <w:rsid w:val="008D20AB"/>
    <w:rsid w:val="008D20BC"/>
    <w:rsid w:val="008D20EE"/>
    <w:rsid w:val="008D2152"/>
    <w:rsid w:val="008D21B8"/>
    <w:rsid w:val="008D2268"/>
    <w:rsid w:val="008D22A6"/>
    <w:rsid w:val="008D22C1"/>
    <w:rsid w:val="008D237F"/>
    <w:rsid w:val="008D23E6"/>
    <w:rsid w:val="008D2432"/>
    <w:rsid w:val="008D248F"/>
    <w:rsid w:val="008D252F"/>
    <w:rsid w:val="008D25CB"/>
    <w:rsid w:val="008D25E1"/>
    <w:rsid w:val="008D268F"/>
    <w:rsid w:val="008D26D0"/>
    <w:rsid w:val="008D2708"/>
    <w:rsid w:val="008D279A"/>
    <w:rsid w:val="008D27F3"/>
    <w:rsid w:val="008D282A"/>
    <w:rsid w:val="008D2871"/>
    <w:rsid w:val="008D288D"/>
    <w:rsid w:val="008D2898"/>
    <w:rsid w:val="008D28F7"/>
    <w:rsid w:val="008D2933"/>
    <w:rsid w:val="008D2935"/>
    <w:rsid w:val="008D2998"/>
    <w:rsid w:val="008D29CD"/>
    <w:rsid w:val="008D2B05"/>
    <w:rsid w:val="008D2C32"/>
    <w:rsid w:val="008D2CE3"/>
    <w:rsid w:val="008D2CF5"/>
    <w:rsid w:val="008D2DFE"/>
    <w:rsid w:val="008D2E80"/>
    <w:rsid w:val="008D2E84"/>
    <w:rsid w:val="008D2EFB"/>
    <w:rsid w:val="008D30D6"/>
    <w:rsid w:val="008D30DB"/>
    <w:rsid w:val="008D3119"/>
    <w:rsid w:val="008D3270"/>
    <w:rsid w:val="008D3292"/>
    <w:rsid w:val="008D3342"/>
    <w:rsid w:val="008D3364"/>
    <w:rsid w:val="008D33A6"/>
    <w:rsid w:val="008D3473"/>
    <w:rsid w:val="008D34CD"/>
    <w:rsid w:val="008D3503"/>
    <w:rsid w:val="008D35DE"/>
    <w:rsid w:val="008D3613"/>
    <w:rsid w:val="008D3652"/>
    <w:rsid w:val="008D365C"/>
    <w:rsid w:val="008D3681"/>
    <w:rsid w:val="008D36BF"/>
    <w:rsid w:val="008D36E4"/>
    <w:rsid w:val="008D3712"/>
    <w:rsid w:val="008D3714"/>
    <w:rsid w:val="008D377E"/>
    <w:rsid w:val="008D380E"/>
    <w:rsid w:val="008D3822"/>
    <w:rsid w:val="008D386A"/>
    <w:rsid w:val="008D38BD"/>
    <w:rsid w:val="008D38F6"/>
    <w:rsid w:val="008D390F"/>
    <w:rsid w:val="008D3964"/>
    <w:rsid w:val="008D3A56"/>
    <w:rsid w:val="008D3A90"/>
    <w:rsid w:val="008D3A97"/>
    <w:rsid w:val="008D3ACB"/>
    <w:rsid w:val="008D3C47"/>
    <w:rsid w:val="008D3C4E"/>
    <w:rsid w:val="008D3C92"/>
    <w:rsid w:val="008D3D19"/>
    <w:rsid w:val="008D3D5D"/>
    <w:rsid w:val="008D3D8A"/>
    <w:rsid w:val="008D3DE4"/>
    <w:rsid w:val="008D3EFC"/>
    <w:rsid w:val="008D3EFD"/>
    <w:rsid w:val="008D4025"/>
    <w:rsid w:val="008D40D1"/>
    <w:rsid w:val="008D41EC"/>
    <w:rsid w:val="008D41FE"/>
    <w:rsid w:val="008D4223"/>
    <w:rsid w:val="008D42C3"/>
    <w:rsid w:val="008D4321"/>
    <w:rsid w:val="008D44BD"/>
    <w:rsid w:val="008D44C7"/>
    <w:rsid w:val="008D4526"/>
    <w:rsid w:val="008D4629"/>
    <w:rsid w:val="008D4653"/>
    <w:rsid w:val="008D46A8"/>
    <w:rsid w:val="008D4765"/>
    <w:rsid w:val="008D47A3"/>
    <w:rsid w:val="008D47A7"/>
    <w:rsid w:val="008D4893"/>
    <w:rsid w:val="008D48B8"/>
    <w:rsid w:val="008D48EB"/>
    <w:rsid w:val="008D4904"/>
    <w:rsid w:val="008D493A"/>
    <w:rsid w:val="008D49BB"/>
    <w:rsid w:val="008D4A2A"/>
    <w:rsid w:val="008D4A4B"/>
    <w:rsid w:val="008D4A6B"/>
    <w:rsid w:val="008D4AE6"/>
    <w:rsid w:val="008D4B58"/>
    <w:rsid w:val="008D4BFA"/>
    <w:rsid w:val="008D4C1E"/>
    <w:rsid w:val="008D4C70"/>
    <w:rsid w:val="008D4CF8"/>
    <w:rsid w:val="008D4CFF"/>
    <w:rsid w:val="008D4D40"/>
    <w:rsid w:val="008D4E05"/>
    <w:rsid w:val="008D4E3B"/>
    <w:rsid w:val="008D4F59"/>
    <w:rsid w:val="008D4F80"/>
    <w:rsid w:val="008D4FD0"/>
    <w:rsid w:val="008D4FD7"/>
    <w:rsid w:val="008D5098"/>
    <w:rsid w:val="008D509A"/>
    <w:rsid w:val="008D5119"/>
    <w:rsid w:val="008D51FE"/>
    <w:rsid w:val="008D5251"/>
    <w:rsid w:val="008D52DD"/>
    <w:rsid w:val="008D52E9"/>
    <w:rsid w:val="008D532F"/>
    <w:rsid w:val="008D53BE"/>
    <w:rsid w:val="008D53C2"/>
    <w:rsid w:val="008D53CD"/>
    <w:rsid w:val="008D53EF"/>
    <w:rsid w:val="008D53FC"/>
    <w:rsid w:val="008D5486"/>
    <w:rsid w:val="008D5634"/>
    <w:rsid w:val="008D5679"/>
    <w:rsid w:val="008D575B"/>
    <w:rsid w:val="008D57F6"/>
    <w:rsid w:val="008D583C"/>
    <w:rsid w:val="008D5859"/>
    <w:rsid w:val="008D588C"/>
    <w:rsid w:val="008D597D"/>
    <w:rsid w:val="008D5987"/>
    <w:rsid w:val="008D59FB"/>
    <w:rsid w:val="008D5A3A"/>
    <w:rsid w:val="008D5A61"/>
    <w:rsid w:val="008D5B50"/>
    <w:rsid w:val="008D5C7C"/>
    <w:rsid w:val="008D5CBB"/>
    <w:rsid w:val="008D5CEC"/>
    <w:rsid w:val="008D5D2C"/>
    <w:rsid w:val="008D5D43"/>
    <w:rsid w:val="008D5E54"/>
    <w:rsid w:val="008D5E6C"/>
    <w:rsid w:val="008D5E95"/>
    <w:rsid w:val="008D5EB1"/>
    <w:rsid w:val="008D5ECC"/>
    <w:rsid w:val="008D5F0B"/>
    <w:rsid w:val="008D5F6E"/>
    <w:rsid w:val="008D5F73"/>
    <w:rsid w:val="008D5FE8"/>
    <w:rsid w:val="008D6018"/>
    <w:rsid w:val="008D62B3"/>
    <w:rsid w:val="008D62D2"/>
    <w:rsid w:val="008D6368"/>
    <w:rsid w:val="008D6386"/>
    <w:rsid w:val="008D63CB"/>
    <w:rsid w:val="008D63F6"/>
    <w:rsid w:val="008D6476"/>
    <w:rsid w:val="008D64A7"/>
    <w:rsid w:val="008D64CF"/>
    <w:rsid w:val="008D66FA"/>
    <w:rsid w:val="008D6738"/>
    <w:rsid w:val="008D6750"/>
    <w:rsid w:val="008D67EA"/>
    <w:rsid w:val="008D6879"/>
    <w:rsid w:val="008D6881"/>
    <w:rsid w:val="008D689F"/>
    <w:rsid w:val="008D68A0"/>
    <w:rsid w:val="008D68F9"/>
    <w:rsid w:val="008D69F1"/>
    <w:rsid w:val="008D6A6E"/>
    <w:rsid w:val="008D6B2A"/>
    <w:rsid w:val="008D6BB5"/>
    <w:rsid w:val="008D6C48"/>
    <w:rsid w:val="008D6CC9"/>
    <w:rsid w:val="008D6CD9"/>
    <w:rsid w:val="008D6CDD"/>
    <w:rsid w:val="008D6D1D"/>
    <w:rsid w:val="008D6D5F"/>
    <w:rsid w:val="008D6EC2"/>
    <w:rsid w:val="008D6F45"/>
    <w:rsid w:val="008D6F7A"/>
    <w:rsid w:val="008D6F89"/>
    <w:rsid w:val="008D6FA7"/>
    <w:rsid w:val="008D6FBC"/>
    <w:rsid w:val="008D6FCC"/>
    <w:rsid w:val="008D6FD0"/>
    <w:rsid w:val="008D702A"/>
    <w:rsid w:val="008D711E"/>
    <w:rsid w:val="008D7148"/>
    <w:rsid w:val="008D71F9"/>
    <w:rsid w:val="008D7294"/>
    <w:rsid w:val="008D72F0"/>
    <w:rsid w:val="008D72FD"/>
    <w:rsid w:val="008D740A"/>
    <w:rsid w:val="008D7429"/>
    <w:rsid w:val="008D743B"/>
    <w:rsid w:val="008D744B"/>
    <w:rsid w:val="008D74A5"/>
    <w:rsid w:val="008D753C"/>
    <w:rsid w:val="008D7575"/>
    <w:rsid w:val="008D7667"/>
    <w:rsid w:val="008D766C"/>
    <w:rsid w:val="008D768D"/>
    <w:rsid w:val="008D76CF"/>
    <w:rsid w:val="008D770E"/>
    <w:rsid w:val="008D770F"/>
    <w:rsid w:val="008D77B6"/>
    <w:rsid w:val="008D77CC"/>
    <w:rsid w:val="008D7808"/>
    <w:rsid w:val="008D780A"/>
    <w:rsid w:val="008D797D"/>
    <w:rsid w:val="008D799B"/>
    <w:rsid w:val="008D79DE"/>
    <w:rsid w:val="008D7A31"/>
    <w:rsid w:val="008D7B74"/>
    <w:rsid w:val="008D7D05"/>
    <w:rsid w:val="008D7D7C"/>
    <w:rsid w:val="008D7D8F"/>
    <w:rsid w:val="008D7D95"/>
    <w:rsid w:val="008D7E07"/>
    <w:rsid w:val="008D7F54"/>
    <w:rsid w:val="008D7FBE"/>
    <w:rsid w:val="008E0063"/>
    <w:rsid w:val="008E0087"/>
    <w:rsid w:val="008E0096"/>
    <w:rsid w:val="008E00DE"/>
    <w:rsid w:val="008E00FA"/>
    <w:rsid w:val="008E01D3"/>
    <w:rsid w:val="008E0288"/>
    <w:rsid w:val="008E02DA"/>
    <w:rsid w:val="008E02E9"/>
    <w:rsid w:val="008E032D"/>
    <w:rsid w:val="008E0340"/>
    <w:rsid w:val="008E0395"/>
    <w:rsid w:val="008E0423"/>
    <w:rsid w:val="008E042E"/>
    <w:rsid w:val="008E0448"/>
    <w:rsid w:val="008E049B"/>
    <w:rsid w:val="008E0593"/>
    <w:rsid w:val="008E06A1"/>
    <w:rsid w:val="008E072A"/>
    <w:rsid w:val="008E0743"/>
    <w:rsid w:val="008E075D"/>
    <w:rsid w:val="008E080C"/>
    <w:rsid w:val="008E0839"/>
    <w:rsid w:val="008E08A8"/>
    <w:rsid w:val="008E08CA"/>
    <w:rsid w:val="008E08E8"/>
    <w:rsid w:val="008E093C"/>
    <w:rsid w:val="008E0A9D"/>
    <w:rsid w:val="008E0AA6"/>
    <w:rsid w:val="008E0AC4"/>
    <w:rsid w:val="008E0B9B"/>
    <w:rsid w:val="008E0BAC"/>
    <w:rsid w:val="008E0BD3"/>
    <w:rsid w:val="008E0BE0"/>
    <w:rsid w:val="008E0CBA"/>
    <w:rsid w:val="008E0CD3"/>
    <w:rsid w:val="008E0D1F"/>
    <w:rsid w:val="008E0DE1"/>
    <w:rsid w:val="008E0E61"/>
    <w:rsid w:val="008E0E78"/>
    <w:rsid w:val="008E0FB2"/>
    <w:rsid w:val="008E0FF7"/>
    <w:rsid w:val="008E1047"/>
    <w:rsid w:val="008E10AF"/>
    <w:rsid w:val="008E132B"/>
    <w:rsid w:val="008E13CD"/>
    <w:rsid w:val="008E13DC"/>
    <w:rsid w:val="008E1448"/>
    <w:rsid w:val="008E14D8"/>
    <w:rsid w:val="008E159E"/>
    <w:rsid w:val="008E15BE"/>
    <w:rsid w:val="008E162A"/>
    <w:rsid w:val="008E16C3"/>
    <w:rsid w:val="008E16CF"/>
    <w:rsid w:val="008E1706"/>
    <w:rsid w:val="008E1709"/>
    <w:rsid w:val="008E17A4"/>
    <w:rsid w:val="008E17CB"/>
    <w:rsid w:val="008E17DD"/>
    <w:rsid w:val="008E18A6"/>
    <w:rsid w:val="008E192B"/>
    <w:rsid w:val="008E1995"/>
    <w:rsid w:val="008E1BA3"/>
    <w:rsid w:val="008E1BAD"/>
    <w:rsid w:val="008E1BEE"/>
    <w:rsid w:val="008E1C87"/>
    <w:rsid w:val="008E1C9C"/>
    <w:rsid w:val="008E1DE4"/>
    <w:rsid w:val="008E1F1E"/>
    <w:rsid w:val="008E201C"/>
    <w:rsid w:val="008E202B"/>
    <w:rsid w:val="008E2040"/>
    <w:rsid w:val="008E2041"/>
    <w:rsid w:val="008E2053"/>
    <w:rsid w:val="008E2089"/>
    <w:rsid w:val="008E20BD"/>
    <w:rsid w:val="008E2126"/>
    <w:rsid w:val="008E218E"/>
    <w:rsid w:val="008E21B3"/>
    <w:rsid w:val="008E22DD"/>
    <w:rsid w:val="008E23A6"/>
    <w:rsid w:val="008E2463"/>
    <w:rsid w:val="008E2464"/>
    <w:rsid w:val="008E24E7"/>
    <w:rsid w:val="008E24EA"/>
    <w:rsid w:val="008E250E"/>
    <w:rsid w:val="008E2521"/>
    <w:rsid w:val="008E253B"/>
    <w:rsid w:val="008E2599"/>
    <w:rsid w:val="008E25B2"/>
    <w:rsid w:val="008E25B6"/>
    <w:rsid w:val="008E25EA"/>
    <w:rsid w:val="008E26DA"/>
    <w:rsid w:val="008E270E"/>
    <w:rsid w:val="008E2721"/>
    <w:rsid w:val="008E28AA"/>
    <w:rsid w:val="008E2961"/>
    <w:rsid w:val="008E29BF"/>
    <w:rsid w:val="008E29CD"/>
    <w:rsid w:val="008E2A99"/>
    <w:rsid w:val="008E2AB9"/>
    <w:rsid w:val="008E2AED"/>
    <w:rsid w:val="008E2B70"/>
    <w:rsid w:val="008E2C21"/>
    <w:rsid w:val="008E2E0F"/>
    <w:rsid w:val="008E2E55"/>
    <w:rsid w:val="008E2E6B"/>
    <w:rsid w:val="008E2FE2"/>
    <w:rsid w:val="008E309C"/>
    <w:rsid w:val="008E30ED"/>
    <w:rsid w:val="008E31A7"/>
    <w:rsid w:val="008E3217"/>
    <w:rsid w:val="008E3219"/>
    <w:rsid w:val="008E32F2"/>
    <w:rsid w:val="008E3303"/>
    <w:rsid w:val="008E331E"/>
    <w:rsid w:val="008E336A"/>
    <w:rsid w:val="008E33EA"/>
    <w:rsid w:val="008E33EC"/>
    <w:rsid w:val="008E340F"/>
    <w:rsid w:val="008E3426"/>
    <w:rsid w:val="008E3450"/>
    <w:rsid w:val="008E3492"/>
    <w:rsid w:val="008E34B0"/>
    <w:rsid w:val="008E356B"/>
    <w:rsid w:val="008E35DF"/>
    <w:rsid w:val="008E3638"/>
    <w:rsid w:val="008E3701"/>
    <w:rsid w:val="008E3719"/>
    <w:rsid w:val="008E376F"/>
    <w:rsid w:val="008E3878"/>
    <w:rsid w:val="008E3881"/>
    <w:rsid w:val="008E38CC"/>
    <w:rsid w:val="008E3957"/>
    <w:rsid w:val="008E395E"/>
    <w:rsid w:val="008E3A15"/>
    <w:rsid w:val="008E3A9F"/>
    <w:rsid w:val="008E3B28"/>
    <w:rsid w:val="008E3CAF"/>
    <w:rsid w:val="008E3DAF"/>
    <w:rsid w:val="008E3E24"/>
    <w:rsid w:val="008E3FD0"/>
    <w:rsid w:val="008E3FFF"/>
    <w:rsid w:val="008E405E"/>
    <w:rsid w:val="008E40A5"/>
    <w:rsid w:val="008E40F6"/>
    <w:rsid w:val="008E418E"/>
    <w:rsid w:val="008E41C1"/>
    <w:rsid w:val="008E4211"/>
    <w:rsid w:val="008E437B"/>
    <w:rsid w:val="008E43BD"/>
    <w:rsid w:val="008E43E4"/>
    <w:rsid w:val="008E4450"/>
    <w:rsid w:val="008E4461"/>
    <w:rsid w:val="008E44F6"/>
    <w:rsid w:val="008E44FB"/>
    <w:rsid w:val="008E4505"/>
    <w:rsid w:val="008E45BD"/>
    <w:rsid w:val="008E45C7"/>
    <w:rsid w:val="008E468D"/>
    <w:rsid w:val="008E46AF"/>
    <w:rsid w:val="008E472F"/>
    <w:rsid w:val="008E4747"/>
    <w:rsid w:val="008E4787"/>
    <w:rsid w:val="008E47B2"/>
    <w:rsid w:val="008E4885"/>
    <w:rsid w:val="008E48DB"/>
    <w:rsid w:val="008E48F7"/>
    <w:rsid w:val="008E4930"/>
    <w:rsid w:val="008E497A"/>
    <w:rsid w:val="008E4A75"/>
    <w:rsid w:val="008E4AA1"/>
    <w:rsid w:val="008E4B00"/>
    <w:rsid w:val="008E4B5C"/>
    <w:rsid w:val="008E4B88"/>
    <w:rsid w:val="008E4B96"/>
    <w:rsid w:val="008E4BA9"/>
    <w:rsid w:val="008E4C58"/>
    <w:rsid w:val="008E4C6B"/>
    <w:rsid w:val="008E4C83"/>
    <w:rsid w:val="008E4D4D"/>
    <w:rsid w:val="008E4DD9"/>
    <w:rsid w:val="008E4F41"/>
    <w:rsid w:val="008E4FF2"/>
    <w:rsid w:val="008E5007"/>
    <w:rsid w:val="008E5020"/>
    <w:rsid w:val="008E5092"/>
    <w:rsid w:val="008E50C0"/>
    <w:rsid w:val="008E5113"/>
    <w:rsid w:val="008E51D9"/>
    <w:rsid w:val="008E51F7"/>
    <w:rsid w:val="008E5325"/>
    <w:rsid w:val="008E5400"/>
    <w:rsid w:val="008E5537"/>
    <w:rsid w:val="008E5540"/>
    <w:rsid w:val="008E5588"/>
    <w:rsid w:val="008E568E"/>
    <w:rsid w:val="008E5732"/>
    <w:rsid w:val="008E594E"/>
    <w:rsid w:val="008E59FA"/>
    <w:rsid w:val="008E5A9C"/>
    <w:rsid w:val="008E5C5A"/>
    <w:rsid w:val="008E5DA3"/>
    <w:rsid w:val="008E5DA7"/>
    <w:rsid w:val="008E5DF3"/>
    <w:rsid w:val="008E5E1E"/>
    <w:rsid w:val="008E5F43"/>
    <w:rsid w:val="008E5FBF"/>
    <w:rsid w:val="008E606F"/>
    <w:rsid w:val="008E60A8"/>
    <w:rsid w:val="008E60FC"/>
    <w:rsid w:val="008E6170"/>
    <w:rsid w:val="008E61EA"/>
    <w:rsid w:val="008E6310"/>
    <w:rsid w:val="008E6399"/>
    <w:rsid w:val="008E63DD"/>
    <w:rsid w:val="008E63FE"/>
    <w:rsid w:val="008E6426"/>
    <w:rsid w:val="008E6447"/>
    <w:rsid w:val="008E6467"/>
    <w:rsid w:val="008E6471"/>
    <w:rsid w:val="008E653D"/>
    <w:rsid w:val="008E6574"/>
    <w:rsid w:val="008E6596"/>
    <w:rsid w:val="008E65C6"/>
    <w:rsid w:val="008E669B"/>
    <w:rsid w:val="008E66B4"/>
    <w:rsid w:val="008E679B"/>
    <w:rsid w:val="008E67AE"/>
    <w:rsid w:val="008E689D"/>
    <w:rsid w:val="008E695C"/>
    <w:rsid w:val="008E69CE"/>
    <w:rsid w:val="008E6A41"/>
    <w:rsid w:val="008E6B5A"/>
    <w:rsid w:val="008E6C9E"/>
    <w:rsid w:val="008E6DC3"/>
    <w:rsid w:val="008E6E4C"/>
    <w:rsid w:val="008E6E58"/>
    <w:rsid w:val="008E6EC2"/>
    <w:rsid w:val="008E6ECD"/>
    <w:rsid w:val="008E6F45"/>
    <w:rsid w:val="008E6FFA"/>
    <w:rsid w:val="008E7005"/>
    <w:rsid w:val="008E7020"/>
    <w:rsid w:val="008E7030"/>
    <w:rsid w:val="008E709D"/>
    <w:rsid w:val="008E70E6"/>
    <w:rsid w:val="008E7140"/>
    <w:rsid w:val="008E7191"/>
    <w:rsid w:val="008E71EB"/>
    <w:rsid w:val="008E724D"/>
    <w:rsid w:val="008E72BF"/>
    <w:rsid w:val="008E72EF"/>
    <w:rsid w:val="008E7363"/>
    <w:rsid w:val="008E73AB"/>
    <w:rsid w:val="008E7418"/>
    <w:rsid w:val="008E7432"/>
    <w:rsid w:val="008E7442"/>
    <w:rsid w:val="008E74D9"/>
    <w:rsid w:val="008E751A"/>
    <w:rsid w:val="008E7545"/>
    <w:rsid w:val="008E75A8"/>
    <w:rsid w:val="008E75BE"/>
    <w:rsid w:val="008E763C"/>
    <w:rsid w:val="008E7642"/>
    <w:rsid w:val="008E7668"/>
    <w:rsid w:val="008E76B3"/>
    <w:rsid w:val="008E76D0"/>
    <w:rsid w:val="008E773C"/>
    <w:rsid w:val="008E778C"/>
    <w:rsid w:val="008E7883"/>
    <w:rsid w:val="008E7908"/>
    <w:rsid w:val="008E7914"/>
    <w:rsid w:val="008E7A81"/>
    <w:rsid w:val="008E7AF7"/>
    <w:rsid w:val="008E7B1B"/>
    <w:rsid w:val="008E7B21"/>
    <w:rsid w:val="008E7B2F"/>
    <w:rsid w:val="008E7CD1"/>
    <w:rsid w:val="008F0017"/>
    <w:rsid w:val="008F00A6"/>
    <w:rsid w:val="008F00CB"/>
    <w:rsid w:val="008F0115"/>
    <w:rsid w:val="008F01B5"/>
    <w:rsid w:val="008F01B8"/>
    <w:rsid w:val="008F028C"/>
    <w:rsid w:val="008F02A4"/>
    <w:rsid w:val="008F02CA"/>
    <w:rsid w:val="008F02E8"/>
    <w:rsid w:val="008F0429"/>
    <w:rsid w:val="008F0444"/>
    <w:rsid w:val="008F0456"/>
    <w:rsid w:val="008F0460"/>
    <w:rsid w:val="008F047A"/>
    <w:rsid w:val="008F0529"/>
    <w:rsid w:val="008F0590"/>
    <w:rsid w:val="008F05D4"/>
    <w:rsid w:val="008F0653"/>
    <w:rsid w:val="008F073B"/>
    <w:rsid w:val="008F0817"/>
    <w:rsid w:val="008F08C9"/>
    <w:rsid w:val="008F0926"/>
    <w:rsid w:val="008F09B5"/>
    <w:rsid w:val="008F09DD"/>
    <w:rsid w:val="008F0A13"/>
    <w:rsid w:val="008F0A20"/>
    <w:rsid w:val="008F0AA9"/>
    <w:rsid w:val="008F0AAD"/>
    <w:rsid w:val="008F0ABB"/>
    <w:rsid w:val="008F0B25"/>
    <w:rsid w:val="008F0B80"/>
    <w:rsid w:val="008F0B9E"/>
    <w:rsid w:val="008F0BDE"/>
    <w:rsid w:val="008F0C4A"/>
    <w:rsid w:val="008F0CA2"/>
    <w:rsid w:val="008F0CD2"/>
    <w:rsid w:val="008F0CE0"/>
    <w:rsid w:val="008F0D0C"/>
    <w:rsid w:val="008F0D3C"/>
    <w:rsid w:val="008F0DC6"/>
    <w:rsid w:val="008F0DE7"/>
    <w:rsid w:val="008F0E08"/>
    <w:rsid w:val="008F0F37"/>
    <w:rsid w:val="008F0F78"/>
    <w:rsid w:val="008F1066"/>
    <w:rsid w:val="008F10C5"/>
    <w:rsid w:val="008F10D9"/>
    <w:rsid w:val="008F1103"/>
    <w:rsid w:val="008F1142"/>
    <w:rsid w:val="008F12C5"/>
    <w:rsid w:val="008F136E"/>
    <w:rsid w:val="008F1396"/>
    <w:rsid w:val="008F13BF"/>
    <w:rsid w:val="008F13DF"/>
    <w:rsid w:val="008F13EE"/>
    <w:rsid w:val="008F140B"/>
    <w:rsid w:val="008F142B"/>
    <w:rsid w:val="008F1462"/>
    <w:rsid w:val="008F14A1"/>
    <w:rsid w:val="008F171F"/>
    <w:rsid w:val="008F1840"/>
    <w:rsid w:val="008F18FA"/>
    <w:rsid w:val="008F1934"/>
    <w:rsid w:val="008F1978"/>
    <w:rsid w:val="008F197B"/>
    <w:rsid w:val="008F1985"/>
    <w:rsid w:val="008F19F2"/>
    <w:rsid w:val="008F1A4E"/>
    <w:rsid w:val="008F1AB2"/>
    <w:rsid w:val="008F1AD4"/>
    <w:rsid w:val="008F1B5E"/>
    <w:rsid w:val="008F1BAE"/>
    <w:rsid w:val="008F1C16"/>
    <w:rsid w:val="008F1C30"/>
    <w:rsid w:val="008F1CBF"/>
    <w:rsid w:val="008F1D31"/>
    <w:rsid w:val="008F1D4A"/>
    <w:rsid w:val="008F1D61"/>
    <w:rsid w:val="008F1FCD"/>
    <w:rsid w:val="008F1FE1"/>
    <w:rsid w:val="008F2017"/>
    <w:rsid w:val="008F2019"/>
    <w:rsid w:val="008F202A"/>
    <w:rsid w:val="008F2148"/>
    <w:rsid w:val="008F2182"/>
    <w:rsid w:val="008F218F"/>
    <w:rsid w:val="008F21DA"/>
    <w:rsid w:val="008F21DE"/>
    <w:rsid w:val="008F2233"/>
    <w:rsid w:val="008F2310"/>
    <w:rsid w:val="008F234C"/>
    <w:rsid w:val="008F2376"/>
    <w:rsid w:val="008F23DB"/>
    <w:rsid w:val="008F241C"/>
    <w:rsid w:val="008F2420"/>
    <w:rsid w:val="008F2428"/>
    <w:rsid w:val="008F2458"/>
    <w:rsid w:val="008F2474"/>
    <w:rsid w:val="008F24E2"/>
    <w:rsid w:val="008F24E6"/>
    <w:rsid w:val="008F255E"/>
    <w:rsid w:val="008F259C"/>
    <w:rsid w:val="008F25A4"/>
    <w:rsid w:val="008F25D6"/>
    <w:rsid w:val="008F25EB"/>
    <w:rsid w:val="008F2646"/>
    <w:rsid w:val="008F2664"/>
    <w:rsid w:val="008F2671"/>
    <w:rsid w:val="008F26A5"/>
    <w:rsid w:val="008F26FC"/>
    <w:rsid w:val="008F2783"/>
    <w:rsid w:val="008F2813"/>
    <w:rsid w:val="008F282C"/>
    <w:rsid w:val="008F28DD"/>
    <w:rsid w:val="008F292A"/>
    <w:rsid w:val="008F294E"/>
    <w:rsid w:val="008F295F"/>
    <w:rsid w:val="008F2AB4"/>
    <w:rsid w:val="008F2B0E"/>
    <w:rsid w:val="008F2B53"/>
    <w:rsid w:val="008F2CCB"/>
    <w:rsid w:val="008F2D1F"/>
    <w:rsid w:val="008F2D49"/>
    <w:rsid w:val="008F2D97"/>
    <w:rsid w:val="008F2E5D"/>
    <w:rsid w:val="008F2E7B"/>
    <w:rsid w:val="008F2EC9"/>
    <w:rsid w:val="008F3011"/>
    <w:rsid w:val="008F308A"/>
    <w:rsid w:val="008F32F0"/>
    <w:rsid w:val="008F337F"/>
    <w:rsid w:val="008F3425"/>
    <w:rsid w:val="008F34B7"/>
    <w:rsid w:val="008F3504"/>
    <w:rsid w:val="008F357F"/>
    <w:rsid w:val="008F360E"/>
    <w:rsid w:val="008F36D4"/>
    <w:rsid w:val="008F36E0"/>
    <w:rsid w:val="008F37EC"/>
    <w:rsid w:val="008F3857"/>
    <w:rsid w:val="008F3917"/>
    <w:rsid w:val="008F3948"/>
    <w:rsid w:val="008F3A99"/>
    <w:rsid w:val="008F3B60"/>
    <w:rsid w:val="008F3CF0"/>
    <w:rsid w:val="008F3D5B"/>
    <w:rsid w:val="008F3EB8"/>
    <w:rsid w:val="008F3EE5"/>
    <w:rsid w:val="008F3F9F"/>
    <w:rsid w:val="008F3FEA"/>
    <w:rsid w:val="008F4072"/>
    <w:rsid w:val="008F40FB"/>
    <w:rsid w:val="008F4291"/>
    <w:rsid w:val="008F432A"/>
    <w:rsid w:val="008F433F"/>
    <w:rsid w:val="008F4346"/>
    <w:rsid w:val="008F4366"/>
    <w:rsid w:val="008F440B"/>
    <w:rsid w:val="008F446F"/>
    <w:rsid w:val="008F44C9"/>
    <w:rsid w:val="008F4544"/>
    <w:rsid w:val="008F45B1"/>
    <w:rsid w:val="008F462C"/>
    <w:rsid w:val="008F4676"/>
    <w:rsid w:val="008F4695"/>
    <w:rsid w:val="008F4768"/>
    <w:rsid w:val="008F479F"/>
    <w:rsid w:val="008F4958"/>
    <w:rsid w:val="008F49F7"/>
    <w:rsid w:val="008F49FB"/>
    <w:rsid w:val="008F4A10"/>
    <w:rsid w:val="008F4AB9"/>
    <w:rsid w:val="008F4B17"/>
    <w:rsid w:val="008F4B80"/>
    <w:rsid w:val="008F4C3F"/>
    <w:rsid w:val="008F4C62"/>
    <w:rsid w:val="008F4D64"/>
    <w:rsid w:val="008F4DDF"/>
    <w:rsid w:val="008F4E7C"/>
    <w:rsid w:val="008F4EC6"/>
    <w:rsid w:val="008F4F1E"/>
    <w:rsid w:val="008F4F67"/>
    <w:rsid w:val="008F4F78"/>
    <w:rsid w:val="008F50D8"/>
    <w:rsid w:val="008F5151"/>
    <w:rsid w:val="008F51F8"/>
    <w:rsid w:val="008F5202"/>
    <w:rsid w:val="008F5270"/>
    <w:rsid w:val="008F531B"/>
    <w:rsid w:val="008F5322"/>
    <w:rsid w:val="008F53D1"/>
    <w:rsid w:val="008F545B"/>
    <w:rsid w:val="008F54B7"/>
    <w:rsid w:val="008F555A"/>
    <w:rsid w:val="008F55B0"/>
    <w:rsid w:val="008F56A4"/>
    <w:rsid w:val="008F56D1"/>
    <w:rsid w:val="008F56F6"/>
    <w:rsid w:val="008F5722"/>
    <w:rsid w:val="008F578D"/>
    <w:rsid w:val="008F57E7"/>
    <w:rsid w:val="008F5854"/>
    <w:rsid w:val="008F5860"/>
    <w:rsid w:val="008F58F1"/>
    <w:rsid w:val="008F5966"/>
    <w:rsid w:val="008F59A9"/>
    <w:rsid w:val="008F59FC"/>
    <w:rsid w:val="008F5B38"/>
    <w:rsid w:val="008F5B60"/>
    <w:rsid w:val="008F5B85"/>
    <w:rsid w:val="008F5BA5"/>
    <w:rsid w:val="008F5C02"/>
    <w:rsid w:val="008F5CDD"/>
    <w:rsid w:val="008F5D0C"/>
    <w:rsid w:val="008F5DD9"/>
    <w:rsid w:val="008F5E2C"/>
    <w:rsid w:val="008F5E2E"/>
    <w:rsid w:val="008F606B"/>
    <w:rsid w:val="008F6128"/>
    <w:rsid w:val="008F6212"/>
    <w:rsid w:val="008F6261"/>
    <w:rsid w:val="008F6285"/>
    <w:rsid w:val="008F62B8"/>
    <w:rsid w:val="008F6334"/>
    <w:rsid w:val="008F637E"/>
    <w:rsid w:val="008F6399"/>
    <w:rsid w:val="008F63B2"/>
    <w:rsid w:val="008F63D9"/>
    <w:rsid w:val="008F6407"/>
    <w:rsid w:val="008F6444"/>
    <w:rsid w:val="008F647C"/>
    <w:rsid w:val="008F649D"/>
    <w:rsid w:val="008F64A6"/>
    <w:rsid w:val="008F6653"/>
    <w:rsid w:val="008F666E"/>
    <w:rsid w:val="008F66E2"/>
    <w:rsid w:val="008F670F"/>
    <w:rsid w:val="008F6785"/>
    <w:rsid w:val="008F678B"/>
    <w:rsid w:val="008F6931"/>
    <w:rsid w:val="008F693C"/>
    <w:rsid w:val="008F69D1"/>
    <w:rsid w:val="008F6A08"/>
    <w:rsid w:val="008F6A0D"/>
    <w:rsid w:val="008F6A35"/>
    <w:rsid w:val="008F6AA9"/>
    <w:rsid w:val="008F6AE6"/>
    <w:rsid w:val="008F6AEB"/>
    <w:rsid w:val="008F6B82"/>
    <w:rsid w:val="008F6BD0"/>
    <w:rsid w:val="008F6C3F"/>
    <w:rsid w:val="008F6C6D"/>
    <w:rsid w:val="008F6CA4"/>
    <w:rsid w:val="008F6CF8"/>
    <w:rsid w:val="008F6D25"/>
    <w:rsid w:val="008F6D28"/>
    <w:rsid w:val="008F6D66"/>
    <w:rsid w:val="008F6D95"/>
    <w:rsid w:val="008F6E34"/>
    <w:rsid w:val="008F6EAA"/>
    <w:rsid w:val="008F704E"/>
    <w:rsid w:val="008F7129"/>
    <w:rsid w:val="008F72FB"/>
    <w:rsid w:val="008F7316"/>
    <w:rsid w:val="008F733D"/>
    <w:rsid w:val="008F743B"/>
    <w:rsid w:val="008F75EC"/>
    <w:rsid w:val="008F768A"/>
    <w:rsid w:val="008F76A1"/>
    <w:rsid w:val="008F76DB"/>
    <w:rsid w:val="008F772F"/>
    <w:rsid w:val="008F773A"/>
    <w:rsid w:val="008F777A"/>
    <w:rsid w:val="008F789F"/>
    <w:rsid w:val="008F78BA"/>
    <w:rsid w:val="008F79D2"/>
    <w:rsid w:val="008F7B78"/>
    <w:rsid w:val="008F7CDB"/>
    <w:rsid w:val="008F7CDC"/>
    <w:rsid w:val="008F7D1A"/>
    <w:rsid w:val="008F7D88"/>
    <w:rsid w:val="008F7E36"/>
    <w:rsid w:val="008F7E95"/>
    <w:rsid w:val="008F7EAA"/>
    <w:rsid w:val="008F7ECB"/>
    <w:rsid w:val="008F7ED3"/>
    <w:rsid w:val="008F7EF8"/>
    <w:rsid w:val="008F7F9A"/>
    <w:rsid w:val="008F7FC2"/>
    <w:rsid w:val="00900091"/>
    <w:rsid w:val="0090011C"/>
    <w:rsid w:val="009001D7"/>
    <w:rsid w:val="009001D9"/>
    <w:rsid w:val="00900213"/>
    <w:rsid w:val="00900275"/>
    <w:rsid w:val="009002C4"/>
    <w:rsid w:val="009002C8"/>
    <w:rsid w:val="009002F7"/>
    <w:rsid w:val="0090038B"/>
    <w:rsid w:val="00900418"/>
    <w:rsid w:val="0090046E"/>
    <w:rsid w:val="009005FE"/>
    <w:rsid w:val="00900611"/>
    <w:rsid w:val="00900630"/>
    <w:rsid w:val="00900668"/>
    <w:rsid w:val="009006AF"/>
    <w:rsid w:val="009006F2"/>
    <w:rsid w:val="0090070B"/>
    <w:rsid w:val="00900735"/>
    <w:rsid w:val="009007E3"/>
    <w:rsid w:val="00900859"/>
    <w:rsid w:val="00900895"/>
    <w:rsid w:val="009008B7"/>
    <w:rsid w:val="009008D3"/>
    <w:rsid w:val="00900966"/>
    <w:rsid w:val="00900A78"/>
    <w:rsid w:val="00900AC1"/>
    <w:rsid w:val="00900ACC"/>
    <w:rsid w:val="00900B47"/>
    <w:rsid w:val="00900BB4"/>
    <w:rsid w:val="00900BBD"/>
    <w:rsid w:val="00900C05"/>
    <w:rsid w:val="00900C6A"/>
    <w:rsid w:val="00900C77"/>
    <w:rsid w:val="00900C82"/>
    <w:rsid w:val="00900CE1"/>
    <w:rsid w:val="00900D42"/>
    <w:rsid w:val="00900D52"/>
    <w:rsid w:val="00900D9B"/>
    <w:rsid w:val="00900E3E"/>
    <w:rsid w:val="00900E95"/>
    <w:rsid w:val="00900E9F"/>
    <w:rsid w:val="00900ECC"/>
    <w:rsid w:val="00900F20"/>
    <w:rsid w:val="00900F49"/>
    <w:rsid w:val="00900F5B"/>
    <w:rsid w:val="00900FF9"/>
    <w:rsid w:val="00901089"/>
    <w:rsid w:val="0090111C"/>
    <w:rsid w:val="0090115A"/>
    <w:rsid w:val="009011CC"/>
    <w:rsid w:val="00901231"/>
    <w:rsid w:val="009012C6"/>
    <w:rsid w:val="00901325"/>
    <w:rsid w:val="00901353"/>
    <w:rsid w:val="009013D5"/>
    <w:rsid w:val="0090140A"/>
    <w:rsid w:val="00901411"/>
    <w:rsid w:val="0090155E"/>
    <w:rsid w:val="009015A4"/>
    <w:rsid w:val="009015C3"/>
    <w:rsid w:val="009015CE"/>
    <w:rsid w:val="0090161F"/>
    <w:rsid w:val="00901621"/>
    <w:rsid w:val="009016FE"/>
    <w:rsid w:val="0090178C"/>
    <w:rsid w:val="00901845"/>
    <w:rsid w:val="00901934"/>
    <w:rsid w:val="00901941"/>
    <w:rsid w:val="00901945"/>
    <w:rsid w:val="009019C1"/>
    <w:rsid w:val="009019CA"/>
    <w:rsid w:val="009019D9"/>
    <w:rsid w:val="009019DA"/>
    <w:rsid w:val="00901A30"/>
    <w:rsid w:val="00901BEE"/>
    <w:rsid w:val="00901CC3"/>
    <w:rsid w:val="00901D25"/>
    <w:rsid w:val="00901D6A"/>
    <w:rsid w:val="00901D80"/>
    <w:rsid w:val="00901E96"/>
    <w:rsid w:val="00901EC7"/>
    <w:rsid w:val="00901F3E"/>
    <w:rsid w:val="00901F4E"/>
    <w:rsid w:val="00901F9F"/>
    <w:rsid w:val="00901FA0"/>
    <w:rsid w:val="00901FDB"/>
    <w:rsid w:val="00901FE1"/>
    <w:rsid w:val="00902120"/>
    <w:rsid w:val="0090223B"/>
    <w:rsid w:val="0090234D"/>
    <w:rsid w:val="0090244E"/>
    <w:rsid w:val="00902654"/>
    <w:rsid w:val="00902700"/>
    <w:rsid w:val="00902733"/>
    <w:rsid w:val="0090273E"/>
    <w:rsid w:val="009027A0"/>
    <w:rsid w:val="009027A2"/>
    <w:rsid w:val="009027B9"/>
    <w:rsid w:val="0090292D"/>
    <w:rsid w:val="009029C4"/>
    <w:rsid w:val="009029FF"/>
    <w:rsid w:val="00902A1C"/>
    <w:rsid w:val="00902A2E"/>
    <w:rsid w:val="00902AC2"/>
    <w:rsid w:val="00902AD7"/>
    <w:rsid w:val="00902AE6"/>
    <w:rsid w:val="00902BD6"/>
    <w:rsid w:val="00902C29"/>
    <w:rsid w:val="00902CA1"/>
    <w:rsid w:val="00902D46"/>
    <w:rsid w:val="00902D5A"/>
    <w:rsid w:val="00902DB6"/>
    <w:rsid w:val="00902E24"/>
    <w:rsid w:val="00902E82"/>
    <w:rsid w:val="00902F09"/>
    <w:rsid w:val="00902F3A"/>
    <w:rsid w:val="00902F4C"/>
    <w:rsid w:val="00902F51"/>
    <w:rsid w:val="00902FCC"/>
    <w:rsid w:val="0090306E"/>
    <w:rsid w:val="00903103"/>
    <w:rsid w:val="0090313C"/>
    <w:rsid w:val="00903143"/>
    <w:rsid w:val="00903176"/>
    <w:rsid w:val="00903182"/>
    <w:rsid w:val="00903261"/>
    <w:rsid w:val="00903292"/>
    <w:rsid w:val="00903307"/>
    <w:rsid w:val="0090335F"/>
    <w:rsid w:val="009033DC"/>
    <w:rsid w:val="009034FB"/>
    <w:rsid w:val="0090352C"/>
    <w:rsid w:val="00903550"/>
    <w:rsid w:val="0090355F"/>
    <w:rsid w:val="0090356A"/>
    <w:rsid w:val="00903598"/>
    <w:rsid w:val="009035C2"/>
    <w:rsid w:val="0090361F"/>
    <w:rsid w:val="0090362E"/>
    <w:rsid w:val="00903640"/>
    <w:rsid w:val="00903648"/>
    <w:rsid w:val="0090370A"/>
    <w:rsid w:val="009037F6"/>
    <w:rsid w:val="0090380C"/>
    <w:rsid w:val="00903819"/>
    <w:rsid w:val="00903B17"/>
    <w:rsid w:val="00903BA7"/>
    <w:rsid w:val="00903BEB"/>
    <w:rsid w:val="00903C02"/>
    <w:rsid w:val="00903C11"/>
    <w:rsid w:val="00903CCB"/>
    <w:rsid w:val="00903D0B"/>
    <w:rsid w:val="00903D0C"/>
    <w:rsid w:val="00903D33"/>
    <w:rsid w:val="00903D49"/>
    <w:rsid w:val="00903D69"/>
    <w:rsid w:val="00903DB2"/>
    <w:rsid w:val="00903E1C"/>
    <w:rsid w:val="00903E64"/>
    <w:rsid w:val="00903E95"/>
    <w:rsid w:val="00903EB3"/>
    <w:rsid w:val="00903FAF"/>
    <w:rsid w:val="00904032"/>
    <w:rsid w:val="009040A0"/>
    <w:rsid w:val="009040D9"/>
    <w:rsid w:val="00904141"/>
    <w:rsid w:val="00904190"/>
    <w:rsid w:val="009041B0"/>
    <w:rsid w:val="00904225"/>
    <w:rsid w:val="0090438C"/>
    <w:rsid w:val="00904397"/>
    <w:rsid w:val="00904596"/>
    <w:rsid w:val="009046B1"/>
    <w:rsid w:val="00904744"/>
    <w:rsid w:val="00904794"/>
    <w:rsid w:val="0090479A"/>
    <w:rsid w:val="00904841"/>
    <w:rsid w:val="0090494A"/>
    <w:rsid w:val="009049C9"/>
    <w:rsid w:val="00904A25"/>
    <w:rsid w:val="00904AF7"/>
    <w:rsid w:val="00904B9B"/>
    <w:rsid w:val="00904C34"/>
    <w:rsid w:val="00904C46"/>
    <w:rsid w:val="00904C7F"/>
    <w:rsid w:val="00904C85"/>
    <w:rsid w:val="00904D80"/>
    <w:rsid w:val="00904DD0"/>
    <w:rsid w:val="00904DF3"/>
    <w:rsid w:val="00904E0F"/>
    <w:rsid w:val="00904E27"/>
    <w:rsid w:val="00904E30"/>
    <w:rsid w:val="00904E60"/>
    <w:rsid w:val="00904E65"/>
    <w:rsid w:val="00904EFB"/>
    <w:rsid w:val="00904F3B"/>
    <w:rsid w:val="00904F95"/>
    <w:rsid w:val="00904FF0"/>
    <w:rsid w:val="0090502D"/>
    <w:rsid w:val="00905072"/>
    <w:rsid w:val="009050C6"/>
    <w:rsid w:val="00905129"/>
    <w:rsid w:val="00905157"/>
    <w:rsid w:val="009052BB"/>
    <w:rsid w:val="009052CC"/>
    <w:rsid w:val="009052FD"/>
    <w:rsid w:val="0090538B"/>
    <w:rsid w:val="009053FD"/>
    <w:rsid w:val="009054A4"/>
    <w:rsid w:val="009054D8"/>
    <w:rsid w:val="00905552"/>
    <w:rsid w:val="00905576"/>
    <w:rsid w:val="009055DD"/>
    <w:rsid w:val="00905649"/>
    <w:rsid w:val="0090565D"/>
    <w:rsid w:val="009056BD"/>
    <w:rsid w:val="009056C2"/>
    <w:rsid w:val="0090574A"/>
    <w:rsid w:val="0090576D"/>
    <w:rsid w:val="009058C0"/>
    <w:rsid w:val="00905A5E"/>
    <w:rsid w:val="00905A64"/>
    <w:rsid w:val="00905AAE"/>
    <w:rsid w:val="00905AB8"/>
    <w:rsid w:val="00905B6B"/>
    <w:rsid w:val="00905BE7"/>
    <w:rsid w:val="00905CB5"/>
    <w:rsid w:val="00905CF7"/>
    <w:rsid w:val="00905E95"/>
    <w:rsid w:val="00905EA4"/>
    <w:rsid w:val="00905EA8"/>
    <w:rsid w:val="00905EC1"/>
    <w:rsid w:val="00905FBA"/>
    <w:rsid w:val="0090601B"/>
    <w:rsid w:val="00906050"/>
    <w:rsid w:val="009060DB"/>
    <w:rsid w:val="00906176"/>
    <w:rsid w:val="009061B2"/>
    <w:rsid w:val="009061E0"/>
    <w:rsid w:val="0090621D"/>
    <w:rsid w:val="009062CC"/>
    <w:rsid w:val="0090631E"/>
    <w:rsid w:val="009063A1"/>
    <w:rsid w:val="009064FF"/>
    <w:rsid w:val="00906516"/>
    <w:rsid w:val="0090664D"/>
    <w:rsid w:val="00906699"/>
    <w:rsid w:val="0090678A"/>
    <w:rsid w:val="009067DC"/>
    <w:rsid w:val="00906886"/>
    <w:rsid w:val="00906928"/>
    <w:rsid w:val="009069E3"/>
    <w:rsid w:val="009069FA"/>
    <w:rsid w:val="00906A22"/>
    <w:rsid w:val="00906AFD"/>
    <w:rsid w:val="00906B9A"/>
    <w:rsid w:val="00906C0D"/>
    <w:rsid w:val="00906CE6"/>
    <w:rsid w:val="00906D93"/>
    <w:rsid w:val="00906E57"/>
    <w:rsid w:val="00906FCD"/>
    <w:rsid w:val="00907065"/>
    <w:rsid w:val="00907082"/>
    <w:rsid w:val="00907111"/>
    <w:rsid w:val="0090716B"/>
    <w:rsid w:val="00907232"/>
    <w:rsid w:val="009072EB"/>
    <w:rsid w:val="0090731A"/>
    <w:rsid w:val="009073A4"/>
    <w:rsid w:val="0090744E"/>
    <w:rsid w:val="0090745D"/>
    <w:rsid w:val="009074A3"/>
    <w:rsid w:val="009074DD"/>
    <w:rsid w:val="009074F6"/>
    <w:rsid w:val="0090753B"/>
    <w:rsid w:val="009075AC"/>
    <w:rsid w:val="009075B3"/>
    <w:rsid w:val="009076D9"/>
    <w:rsid w:val="009077AD"/>
    <w:rsid w:val="00907849"/>
    <w:rsid w:val="00907879"/>
    <w:rsid w:val="00907888"/>
    <w:rsid w:val="00907892"/>
    <w:rsid w:val="00907896"/>
    <w:rsid w:val="00907900"/>
    <w:rsid w:val="00907972"/>
    <w:rsid w:val="00907A00"/>
    <w:rsid w:val="00907A54"/>
    <w:rsid w:val="00907AFA"/>
    <w:rsid w:val="00907BE2"/>
    <w:rsid w:val="00907D84"/>
    <w:rsid w:val="00907EEC"/>
    <w:rsid w:val="00907F1E"/>
    <w:rsid w:val="00907F3B"/>
    <w:rsid w:val="00907F8F"/>
    <w:rsid w:val="00907F92"/>
    <w:rsid w:val="00907FCE"/>
    <w:rsid w:val="00907FF6"/>
    <w:rsid w:val="0091001B"/>
    <w:rsid w:val="0091009A"/>
    <w:rsid w:val="009100D8"/>
    <w:rsid w:val="00910139"/>
    <w:rsid w:val="00910155"/>
    <w:rsid w:val="009101A3"/>
    <w:rsid w:val="009101B3"/>
    <w:rsid w:val="00910223"/>
    <w:rsid w:val="0091024F"/>
    <w:rsid w:val="0091037D"/>
    <w:rsid w:val="0091049E"/>
    <w:rsid w:val="00910613"/>
    <w:rsid w:val="0091073F"/>
    <w:rsid w:val="00910799"/>
    <w:rsid w:val="009107C9"/>
    <w:rsid w:val="009107EC"/>
    <w:rsid w:val="0091083C"/>
    <w:rsid w:val="0091084A"/>
    <w:rsid w:val="0091086B"/>
    <w:rsid w:val="009108AC"/>
    <w:rsid w:val="009109C0"/>
    <w:rsid w:val="00910AA5"/>
    <w:rsid w:val="00910AD8"/>
    <w:rsid w:val="00910ADF"/>
    <w:rsid w:val="00910AF7"/>
    <w:rsid w:val="00910B8D"/>
    <w:rsid w:val="00910BDF"/>
    <w:rsid w:val="00910BF7"/>
    <w:rsid w:val="00910CE0"/>
    <w:rsid w:val="00910D0E"/>
    <w:rsid w:val="00910D15"/>
    <w:rsid w:val="00910E46"/>
    <w:rsid w:val="00910F4B"/>
    <w:rsid w:val="00910F82"/>
    <w:rsid w:val="0091110A"/>
    <w:rsid w:val="00911119"/>
    <w:rsid w:val="00911225"/>
    <w:rsid w:val="009112C4"/>
    <w:rsid w:val="0091147B"/>
    <w:rsid w:val="00911485"/>
    <w:rsid w:val="009114D1"/>
    <w:rsid w:val="009115B9"/>
    <w:rsid w:val="00911667"/>
    <w:rsid w:val="009116A4"/>
    <w:rsid w:val="009116F9"/>
    <w:rsid w:val="00911829"/>
    <w:rsid w:val="009118C5"/>
    <w:rsid w:val="009118EC"/>
    <w:rsid w:val="009119E1"/>
    <w:rsid w:val="00911A83"/>
    <w:rsid w:val="00911A86"/>
    <w:rsid w:val="00911AD8"/>
    <w:rsid w:val="00911B19"/>
    <w:rsid w:val="00911B21"/>
    <w:rsid w:val="00911BA6"/>
    <w:rsid w:val="00911BC7"/>
    <w:rsid w:val="00911BEF"/>
    <w:rsid w:val="00911C01"/>
    <w:rsid w:val="00911C22"/>
    <w:rsid w:val="00911CB9"/>
    <w:rsid w:val="00911E1A"/>
    <w:rsid w:val="00911EA5"/>
    <w:rsid w:val="00911ED5"/>
    <w:rsid w:val="00911F0D"/>
    <w:rsid w:val="0091201B"/>
    <w:rsid w:val="0091202D"/>
    <w:rsid w:val="00912073"/>
    <w:rsid w:val="00912089"/>
    <w:rsid w:val="009120C3"/>
    <w:rsid w:val="009120FA"/>
    <w:rsid w:val="00912156"/>
    <w:rsid w:val="00912162"/>
    <w:rsid w:val="00912209"/>
    <w:rsid w:val="00912218"/>
    <w:rsid w:val="0091223B"/>
    <w:rsid w:val="009122E1"/>
    <w:rsid w:val="00912301"/>
    <w:rsid w:val="00912326"/>
    <w:rsid w:val="0091239D"/>
    <w:rsid w:val="009123BF"/>
    <w:rsid w:val="009123CA"/>
    <w:rsid w:val="00912410"/>
    <w:rsid w:val="00912448"/>
    <w:rsid w:val="009125D3"/>
    <w:rsid w:val="009125DB"/>
    <w:rsid w:val="009125F7"/>
    <w:rsid w:val="0091264C"/>
    <w:rsid w:val="0091266E"/>
    <w:rsid w:val="0091268C"/>
    <w:rsid w:val="0091275F"/>
    <w:rsid w:val="00912770"/>
    <w:rsid w:val="009127DC"/>
    <w:rsid w:val="00912802"/>
    <w:rsid w:val="0091282B"/>
    <w:rsid w:val="0091284E"/>
    <w:rsid w:val="00912878"/>
    <w:rsid w:val="009128BC"/>
    <w:rsid w:val="009128F6"/>
    <w:rsid w:val="00912A25"/>
    <w:rsid w:val="00912AA3"/>
    <w:rsid w:val="00912ABD"/>
    <w:rsid w:val="00912AC4"/>
    <w:rsid w:val="00912B8E"/>
    <w:rsid w:val="00912BAE"/>
    <w:rsid w:val="00912C23"/>
    <w:rsid w:val="00912C36"/>
    <w:rsid w:val="00912CB7"/>
    <w:rsid w:val="00912D38"/>
    <w:rsid w:val="00912D6C"/>
    <w:rsid w:val="00912E52"/>
    <w:rsid w:val="00912F4B"/>
    <w:rsid w:val="00912FEE"/>
    <w:rsid w:val="0091304F"/>
    <w:rsid w:val="00913050"/>
    <w:rsid w:val="0091305D"/>
    <w:rsid w:val="0091306E"/>
    <w:rsid w:val="009130E8"/>
    <w:rsid w:val="009130F5"/>
    <w:rsid w:val="00913128"/>
    <w:rsid w:val="009131D5"/>
    <w:rsid w:val="00913320"/>
    <w:rsid w:val="00913331"/>
    <w:rsid w:val="0091339E"/>
    <w:rsid w:val="00913597"/>
    <w:rsid w:val="009135B9"/>
    <w:rsid w:val="00913619"/>
    <w:rsid w:val="00913823"/>
    <w:rsid w:val="0091383F"/>
    <w:rsid w:val="009138C2"/>
    <w:rsid w:val="00913A41"/>
    <w:rsid w:val="00913B5A"/>
    <w:rsid w:val="00913B81"/>
    <w:rsid w:val="00913B9C"/>
    <w:rsid w:val="00913D39"/>
    <w:rsid w:val="00913DEE"/>
    <w:rsid w:val="00913ED3"/>
    <w:rsid w:val="00913F14"/>
    <w:rsid w:val="00913FF9"/>
    <w:rsid w:val="00914098"/>
    <w:rsid w:val="009140FB"/>
    <w:rsid w:val="00914187"/>
    <w:rsid w:val="00914240"/>
    <w:rsid w:val="00914255"/>
    <w:rsid w:val="0091426F"/>
    <w:rsid w:val="0091427B"/>
    <w:rsid w:val="00914288"/>
    <w:rsid w:val="009142F0"/>
    <w:rsid w:val="00914349"/>
    <w:rsid w:val="009143CA"/>
    <w:rsid w:val="0091444A"/>
    <w:rsid w:val="0091445C"/>
    <w:rsid w:val="009144B3"/>
    <w:rsid w:val="0091453F"/>
    <w:rsid w:val="009145FE"/>
    <w:rsid w:val="00914700"/>
    <w:rsid w:val="00914701"/>
    <w:rsid w:val="00914756"/>
    <w:rsid w:val="009147F3"/>
    <w:rsid w:val="009148C1"/>
    <w:rsid w:val="00914991"/>
    <w:rsid w:val="009149DE"/>
    <w:rsid w:val="00914A09"/>
    <w:rsid w:val="00914B4B"/>
    <w:rsid w:val="00914C20"/>
    <w:rsid w:val="00914E36"/>
    <w:rsid w:val="00915134"/>
    <w:rsid w:val="009152B8"/>
    <w:rsid w:val="009152DD"/>
    <w:rsid w:val="00915345"/>
    <w:rsid w:val="00915357"/>
    <w:rsid w:val="009153C9"/>
    <w:rsid w:val="0091548E"/>
    <w:rsid w:val="009154DD"/>
    <w:rsid w:val="00915588"/>
    <w:rsid w:val="009156AF"/>
    <w:rsid w:val="009156C8"/>
    <w:rsid w:val="009157F8"/>
    <w:rsid w:val="00915845"/>
    <w:rsid w:val="00915852"/>
    <w:rsid w:val="00915859"/>
    <w:rsid w:val="009158AF"/>
    <w:rsid w:val="009159F4"/>
    <w:rsid w:val="00915A29"/>
    <w:rsid w:val="00915A34"/>
    <w:rsid w:val="00915A76"/>
    <w:rsid w:val="00915A9C"/>
    <w:rsid w:val="00915AD2"/>
    <w:rsid w:val="00915B03"/>
    <w:rsid w:val="00915B27"/>
    <w:rsid w:val="00915B71"/>
    <w:rsid w:val="00915BCA"/>
    <w:rsid w:val="00915E92"/>
    <w:rsid w:val="00915ECC"/>
    <w:rsid w:val="00915EE4"/>
    <w:rsid w:val="00915EE9"/>
    <w:rsid w:val="00916013"/>
    <w:rsid w:val="0091609C"/>
    <w:rsid w:val="0091609F"/>
    <w:rsid w:val="009161AF"/>
    <w:rsid w:val="00916272"/>
    <w:rsid w:val="009162B0"/>
    <w:rsid w:val="009162EB"/>
    <w:rsid w:val="00916357"/>
    <w:rsid w:val="0091635A"/>
    <w:rsid w:val="0091643E"/>
    <w:rsid w:val="00916468"/>
    <w:rsid w:val="009164EA"/>
    <w:rsid w:val="009164F6"/>
    <w:rsid w:val="009165D1"/>
    <w:rsid w:val="009167A8"/>
    <w:rsid w:val="009167BA"/>
    <w:rsid w:val="009167C3"/>
    <w:rsid w:val="009167EF"/>
    <w:rsid w:val="00916928"/>
    <w:rsid w:val="0091697B"/>
    <w:rsid w:val="009169E8"/>
    <w:rsid w:val="00916ADC"/>
    <w:rsid w:val="00916B12"/>
    <w:rsid w:val="00916BEE"/>
    <w:rsid w:val="00916C5D"/>
    <w:rsid w:val="00916CE9"/>
    <w:rsid w:val="00916D01"/>
    <w:rsid w:val="00916D67"/>
    <w:rsid w:val="00916E55"/>
    <w:rsid w:val="00916E7C"/>
    <w:rsid w:val="00916ED1"/>
    <w:rsid w:val="00916F43"/>
    <w:rsid w:val="0091705E"/>
    <w:rsid w:val="0091707A"/>
    <w:rsid w:val="0091709C"/>
    <w:rsid w:val="009170E0"/>
    <w:rsid w:val="00917174"/>
    <w:rsid w:val="009171AC"/>
    <w:rsid w:val="009171BE"/>
    <w:rsid w:val="009171F6"/>
    <w:rsid w:val="0091720A"/>
    <w:rsid w:val="0091725C"/>
    <w:rsid w:val="009173C9"/>
    <w:rsid w:val="009173E8"/>
    <w:rsid w:val="0091745C"/>
    <w:rsid w:val="0091746E"/>
    <w:rsid w:val="00917473"/>
    <w:rsid w:val="00917519"/>
    <w:rsid w:val="00917595"/>
    <w:rsid w:val="009175AD"/>
    <w:rsid w:val="009175C3"/>
    <w:rsid w:val="009176B9"/>
    <w:rsid w:val="009176DC"/>
    <w:rsid w:val="0091772D"/>
    <w:rsid w:val="00917784"/>
    <w:rsid w:val="0091781F"/>
    <w:rsid w:val="00917824"/>
    <w:rsid w:val="009178B5"/>
    <w:rsid w:val="009179FD"/>
    <w:rsid w:val="00917A88"/>
    <w:rsid w:val="00917A90"/>
    <w:rsid w:val="00917AB6"/>
    <w:rsid w:val="00917B37"/>
    <w:rsid w:val="00917C02"/>
    <w:rsid w:val="00917C3E"/>
    <w:rsid w:val="00917C47"/>
    <w:rsid w:val="00917D7B"/>
    <w:rsid w:val="00917DD5"/>
    <w:rsid w:val="00917DF2"/>
    <w:rsid w:val="00917E7F"/>
    <w:rsid w:val="00917EA0"/>
    <w:rsid w:val="00917ECC"/>
    <w:rsid w:val="00917F1E"/>
    <w:rsid w:val="00917FED"/>
    <w:rsid w:val="00917FFB"/>
    <w:rsid w:val="00920000"/>
    <w:rsid w:val="00920047"/>
    <w:rsid w:val="00920068"/>
    <w:rsid w:val="009200A2"/>
    <w:rsid w:val="009200FF"/>
    <w:rsid w:val="009201C5"/>
    <w:rsid w:val="0092024C"/>
    <w:rsid w:val="009202F7"/>
    <w:rsid w:val="009202F9"/>
    <w:rsid w:val="00920358"/>
    <w:rsid w:val="00920399"/>
    <w:rsid w:val="009203D0"/>
    <w:rsid w:val="00920432"/>
    <w:rsid w:val="00920508"/>
    <w:rsid w:val="00920637"/>
    <w:rsid w:val="009206BB"/>
    <w:rsid w:val="00920774"/>
    <w:rsid w:val="009207C2"/>
    <w:rsid w:val="009208A6"/>
    <w:rsid w:val="009208DC"/>
    <w:rsid w:val="009208E0"/>
    <w:rsid w:val="0092090B"/>
    <w:rsid w:val="00920968"/>
    <w:rsid w:val="009209F6"/>
    <w:rsid w:val="00920A1D"/>
    <w:rsid w:val="00920B73"/>
    <w:rsid w:val="00920BAC"/>
    <w:rsid w:val="00920BBD"/>
    <w:rsid w:val="00920C23"/>
    <w:rsid w:val="00920C2E"/>
    <w:rsid w:val="00920D08"/>
    <w:rsid w:val="00920D7F"/>
    <w:rsid w:val="00920DDE"/>
    <w:rsid w:val="00920E1B"/>
    <w:rsid w:val="00920E7E"/>
    <w:rsid w:val="00920ED3"/>
    <w:rsid w:val="00920F39"/>
    <w:rsid w:val="00921123"/>
    <w:rsid w:val="00921128"/>
    <w:rsid w:val="00921255"/>
    <w:rsid w:val="009212D5"/>
    <w:rsid w:val="00921347"/>
    <w:rsid w:val="00921378"/>
    <w:rsid w:val="009213EF"/>
    <w:rsid w:val="009213F6"/>
    <w:rsid w:val="00921401"/>
    <w:rsid w:val="00921402"/>
    <w:rsid w:val="0092154F"/>
    <w:rsid w:val="009215C1"/>
    <w:rsid w:val="00921605"/>
    <w:rsid w:val="0092161D"/>
    <w:rsid w:val="00921665"/>
    <w:rsid w:val="00921732"/>
    <w:rsid w:val="0092184A"/>
    <w:rsid w:val="0092191E"/>
    <w:rsid w:val="0092192D"/>
    <w:rsid w:val="00921994"/>
    <w:rsid w:val="009219BC"/>
    <w:rsid w:val="009219C5"/>
    <w:rsid w:val="00921A0E"/>
    <w:rsid w:val="00921A3F"/>
    <w:rsid w:val="00921AE4"/>
    <w:rsid w:val="00921B04"/>
    <w:rsid w:val="00921B56"/>
    <w:rsid w:val="00921B5A"/>
    <w:rsid w:val="00921BB4"/>
    <w:rsid w:val="00921BD5"/>
    <w:rsid w:val="00921D25"/>
    <w:rsid w:val="00921DFA"/>
    <w:rsid w:val="00921F32"/>
    <w:rsid w:val="009220AE"/>
    <w:rsid w:val="00922113"/>
    <w:rsid w:val="0092213F"/>
    <w:rsid w:val="00922147"/>
    <w:rsid w:val="00922174"/>
    <w:rsid w:val="00922201"/>
    <w:rsid w:val="0092220A"/>
    <w:rsid w:val="009222A6"/>
    <w:rsid w:val="009224B3"/>
    <w:rsid w:val="00922504"/>
    <w:rsid w:val="00922686"/>
    <w:rsid w:val="009226A9"/>
    <w:rsid w:val="0092270D"/>
    <w:rsid w:val="00922984"/>
    <w:rsid w:val="00922A6E"/>
    <w:rsid w:val="00922A8C"/>
    <w:rsid w:val="00922ACF"/>
    <w:rsid w:val="00922B4F"/>
    <w:rsid w:val="00922CB8"/>
    <w:rsid w:val="00922D1E"/>
    <w:rsid w:val="00922D45"/>
    <w:rsid w:val="00922D59"/>
    <w:rsid w:val="00922D8C"/>
    <w:rsid w:val="00922E8D"/>
    <w:rsid w:val="00922EFC"/>
    <w:rsid w:val="00923057"/>
    <w:rsid w:val="009230AF"/>
    <w:rsid w:val="00923131"/>
    <w:rsid w:val="00923145"/>
    <w:rsid w:val="009232DC"/>
    <w:rsid w:val="009233B4"/>
    <w:rsid w:val="00923447"/>
    <w:rsid w:val="00923502"/>
    <w:rsid w:val="009235F0"/>
    <w:rsid w:val="00923608"/>
    <w:rsid w:val="009237F0"/>
    <w:rsid w:val="00923846"/>
    <w:rsid w:val="00923847"/>
    <w:rsid w:val="0092386C"/>
    <w:rsid w:val="00923870"/>
    <w:rsid w:val="00923974"/>
    <w:rsid w:val="00923A02"/>
    <w:rsid w:val="00923B0C"/>
    <w:rsid w:val="00923B0F"/>
    <w:rsid w:val="00923B1E"/>
    <w:rsid w:val="00923B28"/>
    <w:rsid w:val="00923BDF"/>
    <w:rsid w:val="00923C51"/>
    <w:rsid w:val="00923C94"/>
    <w:rsid w:val="00923CC4"/>
    <w:rsid w:val="00923D91"/>
    <w:rsid w:val="00923E98"/>
    <w:rsid w:val="00923EC0"/>
    <w:rsid w:val="00923FE9"/>
    <w:rsid w:val="0092406A"/>
    <w:rsid w:val="009240CD"/>
    <w:rsid w:val="009240D2"/>
    <w:rsid w:val="00924216"/>
    <w:rsid w:val="0092427A"/>
    <w:rsid w:val="00924365"/>
    <w:rsid w:val="009243E8"/>
    <w:rsid w:val="009243F9"/>
    <w:rsid w:val="0092448D"/>
    <w:rsid w:val="0092458A"/>
    <w:rsid w:val="009245BC"/>
    <w:rsid w:val="00924628"/>
    <w:rsid w:val="00924636"/>
    <w:rsid w:val="00924667"/>
    <w:rsid w:val="0092468B"/>
    <w:rsid w:val="00924780"/>
    <w:rsid w:val="009247F6"/>
    <w:rsid w:val="0092481D"/>
    <w:rsid w:val="00924947"/>
    <w:rsid w:val="0092495D"/>
    <w:rsid w:val="009249AF"/>
    <w:rsid w:val="00924B2D"/>
    <w:rsid w:val="00924B3E"/>
    <w:rsid w:val="00924BAF"/>
    <w:rsid w:val="00924C54"/>
    <w:rsid w:val="00924CAB"/>
    <w:rsid w:val="00924CF6"/>
    <w:rsid w:val="00924D16"/>
    <w:rsid w:val="00924D9E"/>
    <w:rsid w:val="00924DC1"/>
    <w:rsid w:val="00924E99"/>
    <w:rsid w:val="00924F64"/>
    <w:rsid w:val="00924F91"/>
    <w:rsid w:val="00924FAD"/>
    <w:rsid w:val="00925163"/>
    <w:rsid w:val="009251AA"/>
    <w:rsid w:val="009251F7"/>
    <w:rsid w:val="00925230"/>
    <w:rsid w:val="00925277"/>
    <w:rsid w:val="0092529C"/>
    <w:rsid w:val="00925312"/>
    <w:rsid w:val="00925343"/>
    <w:rsid w:val="0092541F"/>
    <w:rsid w:val="0092549C"/>
    <w:rsid w:val="009254D3"/>
    <w:rsid w:val="00925582"/>
    <w:rsid w:val="00925629"/>
    <w:rsid w:val="00925683"/>
    <w:rsid w:val="0092578C"/>
    <w:rsid w:val="009257C2"/>
    <w:rsid w:val="00925928"/>
    <w:rsid w:val="0092595F"/>
    <w:rsid w:val="00925965"/>
    <w:rsid w:val="00925987"/>
    <w:rsid w:val="00925990"/>
    <w:rsid w:val="00925A64"/>
    <w:rsid w:val="00925B24"/>
    <w:rsid w:val="00925B3E"/>
    <w:rsid w:val="00925C47"/>
    <w:rsid w:val="00925CEF"/>
    <w:rsid w:val="00925D21"/>
    <w:rsid w:val="00925D8B"/>
    <w:rsid w:val="00925DDF"/>
    <w:rsid w:val="00925EC2"/>
    <w:rsid w:val="00925FC7"/>
    <w:rsid w:val="00926063"/>
    <w:rsid w:val="00926092"/>
    <w:rsid w:val="0092611E"/>
    <w:rsid w:val="00926150"/>
    <w:rsid w:val="0092629D"/>
    <w:rsid w:val="009263CA"/>
    <w:rsid w:val="00926435"/>
    <w:rsid w:val="0092644C"/>
    <w:rsid w:val="00926492"/>
    <w:rsid w:val="009264BA"/>
    <w:rsid w:val="009264E5"/>
    <w:rsid w:val="0092657B"/>
    <w:rsid w:val="0092668F"/>
    <w:rsid w:val="0092669E"/>
    <w:rsid w:val="00926735"/>
    <w:rsid w:val="00926800"/>
    <w:rsid w:val="009268B1"/>
    <w:rsid w:val="009268B2"/>
    <w:rsid w:val="009268F1"/>
    <w:rsid w:val="00926969"/>
    <w:rsid w:val="009269A3"/>
    <w:rsid w:val="00926B0C"/>
    <w:rsid w:val="00926B30"/>
    <w:rsid w:val="00926C56"/>
    <w:rsid w:val="00926CA5"/>
    <w:rsid w:val="00926CB4"/>
    <w:rsid w:val="00926D44"/>
    <w:rsid w:val="00926D86"/>
    <w:rsid w:val="00926E01"/>
    <w:rsid w:val="00926E38"/>
    <w:rsid w:val="00926EE4"/>
    <w:rsid w:val="00926F5F"/>
    <w:rsid w:val="0092708A"/>
    <w:rsid w:val="009270AE"/>
    <w:rsid w:val="00927104"/>
    <w:rsid w:val="0092735C"/>
    <w:rsid w:val="009273AF"/>
    <w:rsid w:val="00927562"/>
    <w:rsid w:val="0092771B"/>
    <w:rsid w:val="00927757"/>
    <w:rsid w:val="00927884"/>
    <w:rsid w:val="009278BE"/>
    <w:rsid w:val="00927907"/>
    <w:rsid w:val="009279A5"/>
    <w:rsid w:val="009279B7"/>
    <w:rsid w:val="00927A34"/>
    <w:rsid w:val="00927A4D"/>
    <w:rsid w:val="00927A64"/>
    <w:rsid w:val="00927ACC"/>
    <w:rsid w:val="00927B86"/>
    <w:rsid w:val="00927CD8"/>
    <w:rsid w:val="00927CFB"/>
    <w:rsid w:val="00927DAE"/>
    <w:rsid w:val="00927F2B"/>
    <w:rsid w:val="00930084"/>
    <w:rsid w:val="00930238"/>
    <w:rsid w:val="00930460"/>
    <w:rsid w:val="009304CF"/>
    <w:rsid w:val="0093056B"/>
    <w:rsid w:val="00930588"/>
    <w:rsid w:val="00930598"/>
    <w:rsid w:val="009305A4"/>
    <w:rsid w:val="009305CB"/>
    <w:rsid w:val="009305DF"/>
    <w:rsid w:val="00930622"/>
    <w:rsid w:val="0093071C"/>
    <w:rsid w:val="00930762"/>
    <w:rsid w:val="00930784"/>
    <w:rsid w:val="00930838"/>
    <w:rsid w:val="00930878"/>
    <w:rsid w:val="00930962"/>
    <w:rsid w:val="00930B8E"/>
    <w:rsid w:val="00930C2D"/>
    <w:rsid w:val="00930C83"/>
    <w:rsid w:val="00930D19"/>
    <w:rsid w:val="00930D45"/>
    <w:rsid w:val="00930DC1"/>
    <w:rsid w:val="00930E3B"/>
    <w:rsid w:val="00930E73"/>
    <w:rsid w:val="00930EBD"/>
    <w:rsid w:val="00930F35"/>
    <w:rsid w:val="009310DD"/>
    <w:rsid w:val="0093113D"/>
    <w:rsid w:val="00931159"/>
    <w:rsid w:val="0093118D"/>
    <w:rsid w:val="00931225"/>
    <w:rsid w:val="0093141C"/>
    <w:rsid w:val="009314E0"/>
    <w:rsid w:val="009314F3"/>
    <w:rsid w:val="00931524"/>
    <w:rsid w:val="009316EB"/>
    <w:rsid w:val="0093171A"/>
    <w:rsid w:val="00931828"/>
    <w:rsid w:val="00931872"/>
    <w:rsid w:val="0093196B"/>
    <w:rsid w:val="00931974"/>
    <w:rsid w:val="0093197E"/>
    <w:rsid w:val="009319AD"/>
    <w:rsid w:val="00931A42"/>
    <w:rsid w:val="00931B1A"/>
    <w:rsid w:val="00931B2A"/>
    <w:rsid w:val="00931CBB"/>
    <w:rsid w:val="00931CD5"/>
    <w:rsid w:val="00931D02"/>
    <w:rsid w:val="00931E0A"/>
    <w:rsid w:val="00931E4D"/>
    <w:rsid w:val="00931E89"/>
    <w:rsid w:val="00931F41"/>
    <w:rsid w:val="00931FC3"/>
    <w:rsid w:val="0093200E"/>
    <w:rsid w:val="00932019"/>
    <w:rsid w:val="0093203C"/>
    <w:rsid w:val="0093214A"/>
    <w:rsid w:val="00932234"/>
    <w:rsid w:val="00932286"/>
    <w:rsid w:val="00932309"/>
    <w:rsid w:val="00932354"/>
    <w:rsid w:val="00932375"/>
    <w:rsid w:val="009323F6"/>
    <w:rsid w:val="009324D7"/>
    <w:rsid w:val="0093252D"/>
    <w:rsid w:val="009325CB"/>
    <w:rsid w:val="00932640"/>
    <w:rsid w:val="009326B7"/>
    <w:rsid w:val="00932713"/>
    <w:rsid w:val="00932780"/>
    <w:rsid w:val="00932890"/>
    <w:rsid w:val="009328EE"/>
    <w:rsid w:val="009329A4"/>
    <w:rsid w:val="00932A29"/>
    <w:rsid w:val="00932A89"/>
    <w:rsid w:val="00932ABE"/>
    <w:rsid w:val="00932B73"/>
    <w:rsid w:val="00932C6B"/>
    <w:rsid w:val="00932C76"/>
    <w:rsid w:val="00932CF0"/>
    <w:rsid w:val="00932D72"/>
    <w:rsid w:val="00932D77"/>
    <w:rsid w:val="00932D7D"/>
    <w:rsid w:val="00932EB2"/>
    <w:rsid w:val="00932EBA"/>
    <w:rsid w:val="00932EF0"/>
    <w:rsid w:val="00932EF1"/>
    <w:rsid w:val="00932F02"/>
    <w:rsid w:val="00932F42"/>
    <w:rsid w:val="0093306C"/>
    <w:rsid w:val="009330F2"/>
    <w:rsid w:val="0093323C"/>
    <w:rsid w:val="00933276"/>
    <w:rsid w:val="00933298"/>
    <w:rsid w:val="009332FE"/>
    <w:rsid w:val="0093333F"/>
    <w:rsid w:val="00933352"/>
    <w:rsid w:val="00933406"/>
    <w:rsid w:val="009334EA"/>
    <w:rsid w:val="00933559"/>
    <w:rsid w:val="00933629"/>
    <w:rsid w:val="0093370A"/>
    <w:rsid w:val="00933733"/>
    <w:rsid w:val="0093376D"/>
    <w:rsid w:val="0093376F"/>
    <w:rsid w:val="00933794"/>
    <w:rsid w:val="00933821"/>
    <w:rsid w:val="00933850"/>
    <w:rsid w:val="00933867"/>
    <w:rsid w:val="009338B0"/>
    <w:rsid w:val="009338BD"/>
    <w:rsid w:val="00933937"/>
    <w:rsid w:val="00933955"/>
    <w:rsid w:val="009339AD"/>
    <w:rsid w:val="00933A4A"/>
    <w:rsid w:val="00933A5E"/>
    <w:rsid w:val="00933ABD"/>
    <w:rsid w:val="00933AC9"/>
    <w:rsid w:val="00933AD3"/>
    <w:rsid w:val="00933B21"/>
    <w:rsid w:val="00933B80"/>
    <w:rsid w:val="00933BAD"/>
    <w:rsid w:val="00933C75"/>
    <w:rsid w:val="00933C7B"/>
    <w:rsid w:val="00933D1D"/>
    <w:rsid w:val="00933D60"/>
    <w:rsid w:val="00933DB2"/>
    <w:rsid w:val="00933E55"/>
    <w:rsid w:val="00933EA8"/>
    <w:rsid w:val="00933EB2"/>
    <w:rsid w:val="00933EC4"/>
    <w:rsid w:val="00933EFC"/>
    <w:rsid w:val="00933F4D"/>
    <w:rsid w:val="00933F9C"/>
    <w:rsid w:val="00934013"/>
    <w:rsid w:val="00934022"/>
    <w:rsid w:val="00934059"/>
    <w:rsid w:val="009340EE"/>
    <w:rsid w:val="00934109"/>
    <w:rsid w:val="0093418F"/>
    <w:rsid w:val="009341A7"/>
    <w:rsid w:val="00934253"/>
    <w:rsid w:val="009342E7"/>
    <w:rsid w:val="00934313"/>
    <w:rsid w:val="00934396"/>
    <w:rsid w:val="009343B3"/>
    <w:rsid w:val="009343D5"/>
    <w:rsid w:val="009343E6"/>
    <w:rsid w:val="0093447E"/>
    <w:rsid w:val="009344B4"/>
    <w:rsid w:val="0093459F"/>
    <w:rsid w:val="00934613"/>
    <w:rsid w:val="0093462C"/>
    <w:rsid w:val="00934686"/>
    <w:rsid w:val="0093473F"/>
    <w:rsid w:val="00934771"/>
    <w:rsid w:val="009347B8"/>
    <w:rsid w:val="009347C1"/>
    <w:rsid w:val="009348A8"/>
    <w:rsid w:val="009348AB"/>
    <w:rsid w:val="0093495E"/>
    <w:rsid w:val="00934987"/>
    <w:rsid w:val="009349FB"/>
    <w:rsid w:val="00934A5B"/>
    <w:rsid w:val="00934B24"/>
    <w:rsid w:val="00934BD4"/>
    <w:rsid w:val="00934D02"/>
    <w:rsid w:val="00934E19"/>
    <w:rsid w:val="00934E44"/>
    <w:rsid w:val="00934E8A"/>
    <w:rsid w:val="00934FAB"/>
    <w:rsid w:val="00934FB3"/>
    <w:rsid w:val="0093500A"/>
    <w:rsid w:val="00935049"/>
    <w:rsid w:val="0093505A"/>
    <w:rsid w:val="00935091"/>
    <w:rsid w:val="009351AF"/>
    <w:rsid w:val="009351D6"/>
    <w:rsid w:val="00935237"/>
    <w:rsid w:val="0093530F"/>
    <w:rsid w:val="009354E3"/>
    <w:rsid w:val="009354F0"/>
    <w:rsid w:val="009354FB"/>
    <w:rsid w:val="00935535"/>
    <w:rsid w:val="009355C3"/>
    <w:rsid w:val="009356B9"/>
    <w:rsid w:val="009356E8"/>
    <w:rsid w:val="00935755"/>
    <w:rsid w:val="009358AF"/>
    <w:rsid w:val="009358F9"/>
    <w:rsid w:val="0093591C"/>
    <w:rsid w:val="00935930"/>
    <w:rsid w:val="00935AD3"/>
    <w:rsid w:val="00935AE6"/>
    <w:rsid w:val="00935B13"/>
    <w:rsid w:val="00935BA9"/>
    <w:rsid w:val="00935C25"/>
    <w:rsid w:val="00935DDC"/>
    <w:rsid w:val="00935E43"/>
    <w:rsid w:val="00935ED7"/>
    <w:rsid w:val="00935F1F"/>
    <w:rsid w:val="00935F24"/>
    <w:rsid w:val="00936030"/>
    <w:rsid w:val="0093607A"/>
    <w:rsid w:val="009360BC"/>
    <w:rsid w:val="009360E2"/>
    <w:rsid w:val="00936121"/>
    <w:rsid w:val="00936277"/>
    <w:rsid w:val="00936302"/>
    <w:rsid w:val="00936329"/>
    <w:rsid w:val="00936343"/>
    <w:rsid w:val="00936406"/>
    <w:rsid w:val="0093646A"/>
    <w:rsid w:val="00936471"/>
    <w:rsid w:val="0093649E"/>
    <w:rsid w:val="009364C9"/>
    <w:rsid w:val="00936520"/>
    <w:rsid w:val="00936629"/>
    <w:rsid w:val="00936743"/>
    <w:rsid w:val="009367E9"/>
    <w:rsid w:val="00936B45"/>
    <w:rsid w:val="00936B4F"/>
    <w:rsid w:val="00936BDC"/>
    <w:rsid w:val="00936C2D"/>
    <w:rsid w:val="00936C32"/>
    <w:rsid w:val="00936D2A"/>
    <w:rsid w:val="00936DC6"/>
    <w:rsid w:val="00936DCB"/>
    <w:rsid w:val="00936DD4"/>
    <w:rsid w:val="00936E1A"/>
    <w:rsid w:val="00936E81"/>
    <w:rsid w:val="00936EE5"/>
    <w:rsid w:val="00936F59"/>
    <w:rsid w:val="00936FB6"/>
    <w:rsid w:val="00936FD0"/>
    <w:rsid w:val="0093702A"/>
    <w:rsid w:val="009370B8"/>
    <w:rsid w:val="0093712D"/>
    <w:rsid w:val="0093713D"/>
    <w:rsid w:val="00937161"/>
    <w:rsid w:val="00937208"/>
    <w:rsid w:val="00937276"/>
    <w:rsid w:val="009372B0"/>
    <w:rsid w:val="0093735E"/>
    <w:rsid w:val="009373FA"/>
    <w:rsid w:val="009375C6"/>
    <w:rsid w:val="00937626"/>
    <w:rsid w:val="0093764A"/>
    <w:rsid w:val="009376E9"/>
    <w:rsid w:val="009377A4"/>
    <w:rsid w:val="0093781F"/>
    <w:rsid w:val="00937837"/>
    <w:rsid w:val="00937951"/>
    <w:rsid w:val="00937A05"/>
    <w:rsid w:val="00937AD9"/>
    <w:rsid w:val="00937B4B"/>
    <w:rsid w:val="00937B85"/>
    <w:rsid w:val="00937B90"/>
    <w:rsid w:val="00937BAA"/>
    <w:rsid w:val="00937C74"/>
    <w:rsid w:val="00937DFC"/>
    <w:rsid w:val="00937F34"/>
    <w:rsid w:val="00940039"/>
    <w:rsid w:val="00940148"/>
    <w:rsid w:val="0094024D"/>
    <w:rsid w:val="009403AA"/>
    <w:rsid w:val="009403FE"/>
    <w:rsid w:val="00940428"/>
    <w:rsid w:val="00940441"/>
    <w:rsid w:val="00940526"/>
    <w:rsid w:val="00940550"/>
    <w:rsid w:val="00940623"/>
    <w:rsid w:val="00940641"/>
    <w:rsid w:val="00940671"/>
    <w:rsid w:val="0094067D"/>
    <w:rsid w:val="00940682"/>
    <w:rsid w:val="009406DC"/>
    <w:rsid w:val="00940701"/>
    <w:rsid w:val="00940790"/>
    <w:rsid w:val="0094079F"/>
    <w:rsid w:val="009407E1"/>
    <w:rsid w:val="00940823"/>
    <w:rsid w:val="00940A2F"/>
    <w:rsid w:val="00940A8D"/>
    <w:rsid w:val="00940AC5"/>
    <w:rsid w:val="00940AE0"/>
    <w:rsid w:val="00940B70"/>
    <w:rsid w:val="00940B78"/>
    <w:rsid w:val="00940B81"/>
    <w:rsid w:val="00940C10"/>
    <w:rsid w:val="00940CD7"/>
    <w:rsid w:val="00940D1A"/>
    <w:rsid w:val="00940D6A"/>
    <w:rsid w:val="00940E62"/>
    <w:rsid w:val="00940F6A"/>
    <w:rsid w:val="00941128"/>
    <w:rsid w:val="00941175"/>
    <w:rsid w:val="009411E8"/>
    <w:rsid w:val="00941257"/>
    <w:rsid w:val="009412C7"/>
    <w:rsid w:val="00941336"/>
    <w:rsid w:val="0094133A"/>
    <w:rsid w:val="0094136F"/>
    <w:rsid w:val="009413CD"/>
    <w:rsid w:val="009413F4"/>
    <w:rsid w:val="0094158B"/>
    <w:rsid w:val="0094167E"/>
    <w:rsid w:val="0094177F"/>
    <w:rsid w:val="00941827"/>
    <w:rsid w:val="00941849"/>
    <w:rsid w:val="009418A0"/>
    <w:rsid w:val="009418E6"/>
    <w:rsid w:val="009419C2"/>
    <w:rsid w:val="00941AD7"/>
    <w:rsid w:val="00941AFF"/>
    <w:rsid w:val="00941B1B"/>
    <w:rsid w:val="00941B9E"/>
    <w:rsid w:val="00941CF8"/>
    <w:rsid w:val="00941DE1"/>
    <w:rsid w:val="00941DE2"/>
    <w:rsid w:val="00941E6B"/>
    <w:rsid w:val="00941F57"/>
    <w:rsid w:val="00941F7A"/>
    <w:rsid w:val="00941FDA"/>
    <w:rsid w:val="00942005"/>
    <w:rsid w:val="0094201E"/>
    <w:rsid w:val="0094203C"/>
    <w:rsid w:val="0094204D"/>
    <w:rsid w:val="009420BA"/>
    <w:rsid w:val="0094213C"/>
    <w:rsid w:val="0094233A"/>
    <w:rsid w:val="00942345"/>
    <w:rsid w:val="009423F7"/>
    <w:rsid w:val="009424EE"/>
    <w:rsid w:val="0094254C"/>
    <w:rsid w:val="009425AF"/>
    <w:rsid w:val="009425EE"/>
    <w:rsid w:val="00942605"/>
    <w:rsid w:val="009426DF"/>
    <w:rsid w:val="009427A5"/>
    <w:rsid w:val="009427CB"/>
    <w:rsid w:val="00942808"/>
    <w:rsid w:val="00942986"/>
    <w:rsid w:val="00942A2F"/>
    <w:rsid w:val="00942ADE"/>
    <w:rsid w:val="00942B24"/>
    <w:rsid w:val="00942BD5"/>
    <w:rsid w:val="00942BDF"/>
    <w:rsid w:val="00942C0F"/>
    <w:rsid w:val="00942D01"/>
    <w:rsid w:val="00942D6E"/>
    <w:rsid w:val="00942D96"/>
    <w:rsid w:val="00942DB2"/>
    <w:rsid w:val="00942DB3"/>
    <w:rsid w:val="00942E62"/>
    <w:rsid w:val="00942F1B"/>
    <w:rsid w:val="00942F25"/>
    <w:rsid w:val="00942F61"/>
    <w:rsid w:val="00942F8D"/>
    <w:rsid w:val="00943120"/>
    <w:rsid w:val="0094313F"/>
    <w:rsid w:val="00943168"/>
    <w:rsid w:val="00943209"/>
    <w:rsid w:val="009432FA"/>
    <w:rsid w:val="00943306"/>
    <w:rsid w:val="00943329"/>
    <w:rsid w:val="00943344"/>
    <w:rsid w:val="00943357"/>
    <w:rsid w:val="0094339A"/>
    <w:rsid w:val="00943421"/>
    <w:rsid w:val="0094346D"/>
    <w:rsid w:val="0094349F"/>
    <w:rsid w:val="009434BB"/>
    <w:rsid w:val="0094357C"/>
    <w:rsid w:val="009436A3"/>
    <w:rsid w:val="009436C5"/>
    <w:rsid w:val="009436F5"/>
    <w:rsid w:val="009437AE"/>
    <w:rsid w:val="009437C0"/>
    <w:rsid w:val="009437C5"/>
    <w:rsid w:val="00943803"/>
    <w:rsid w:val="0094392D"/>
    <w:rsid w:val="0094393B"/>
    <w:rsid w:val="0094395B"/>
    <w:rsid w:val="0094399C"/>
    <w:rsid w:val="009439D4"/>
    <w:rsid w:val="00943AAB"/>
    <w:rsid w:val="00943AB8"/>
    <w:rsid w:val="00943AD2"/>
    <w:rsid w:val="00943C19"/>
    <w:rsid w:val="00943C28"/>
    <w:rsid w:val="00943C6C"/>
    <w:rsid w:val="00943C92"/>
    <w:rsid w:val="00943CAF"/>
    <w:rsid w:val="00943CC2"/>
    <w:rsid w:val="00943CC7"/>
    <w:rsid w:val="00943E8D"/>
    <w:rsid w:val="00943EAF"/>
    <w:rsid w:val="00943FA2"/>
    <w:rsid w:val="00943FB5"/>
    <w:rsid w:val="00944027"/>
    <w:rsid w:val="00944089"/>
    <w:rsid w:val="009440DC"/>
    <w:rsid w:val="00944105"/>
    <w:rsid w:val="00944168"/>
    <w:rsid w:val="009441BA"/>
    <w:rsid w:val="00944281"/>
    <w:rsid w:val="00944397"/>
    <w:rsid w:val="009443EA"/>
    <w:rsid w:val="00944402"/>
    <w:rsid w:val="00944419"/>
    <w:rsid w:val="00944484"/>
    <w:rsid w:val="00944512"/>
    <w:rsid w:val="0094452A"/>
    <w:rsid w:val="00944595"/>
    <w:rsid w:val="009445F1"/>
    <w:rsid w:val="00944607"/>
    <w:rsid w:val="0094467C"/>
    <w:rsid w:val="00944681"/>
    <w:rsid w:val="00944697"/>
    <w:rsid w:val="009446D1"/>
    <w:rsid w:val="00944735"/>
    <w:rsid w:val="00944980"/>
    <w:rsid w:val="009449D5"/>
    <w:rsid w:val="00944AD2"/>
    <w:rsid w:val="00944CA3"/>
    <w:rsid w:val="00944D27"/>
    <w:rsid w:val="00944DD4"/>
    <w:rsid w:val="00944E0C"/>
    <w:rsid w:val="00944E14"/>
    <w:rsid w:val="00944E1F"/>
    <w:rsid w:val="00944FF1"/>
    <w:rsid w:val="0094503D"/>
    <w:rsid w:val="00945268"/>
    <w:rsid w:val="009452EE"/>
    <w:rsid w:val="00945373"/>
    <w:rsid w:val="00945453"/>
    <w:rsid w:val="00945593"/>
    <w:rsid w:val="009455FD"/>
    <w:rsid w:val="00945667"/>
    <w:rsid w:val="00945709"/>
    <w:rsid w:val="0094575D"/>
    <w:rsid w:val="009457EA"/>
    <w:rsid w:val="009457F5"/>
    <w:rsid w:val="0094580B"/>
    <w:rsid w:val="00945890"/>
    <w:rsid w:val="0094591F"/>
    <w:rsid w:val="00945A53"/>
    <w:rsid w:val="00945A64"/>
    <w:rsid w:val="00945A7D"/>
    <w:rsid w:val="00945A90"/>
    <w:rsid w:val="00945B80"/>
    <w:rsid w:val="00945B8D"/>
    <w:rsid w:val="00945C45"/>
    <w:rsid w:val="00945C87"/>
    <w:rsid w:val="00945CAD"/>
    <w:rsid w:val="00945D2A"/>
    <w:rsid w:val="00945D85"/>
    <w:rsid w:val="00945D8C"/>
    <w:rsid w:val="00945DA5"/>
    <w:rsid w:val="00945DB2"/>
    <w:rsid w:val="00945DEF"/>
    <w:rsid w:val="00945E38"/>
    <w:rsid w:val="00945E7B"/>
    <w:rsid w:val="00945E8F"/>
    <w:rsid w:val="00945F23"/>
    <w:rsid w:val="00945F6C"/>
    <w:rsid w:val="00945F86"/>
    <w:rsid w:val="00945FD1"/>
    <w:rsid w:val="0094602C"/>
    <w:rsid w:val="0094619C"/>
    <w:rsid w:val="00946225"/>
    <w:rsid w:val="0094626A"/>
    <w:rsid w:val="009462C6"/>
    <w:rsid w:val="00946323"/>
    <w:rsid w:val="00946353"/>
    <w:rsid w:val="0094643D"/>
    <w:rsid w:val="00946512"/>
    <w:rsid w:val="0094653D"/>
    <w:rsid w:val="0094654D"/>
    <w:rsid w:val="0094658D"/>
    <w:rsid w:val="00946694"/>
    <w:rsid w:val="009466BC"/>
    <w:rsid w:val="009466EB"/>
    <w:rsid w:val="00946756"/>
    <w:rsid w:val="00946797"/>
    <w:rsid w:val="00946829"/>
    <w:rsid w:val="0094687C"/>
    <w:rsid w:val="0094693B"/>
    <w:rsid w:val="0094698D"/>
    <w:rsid w:val="00946A9D"/>
    <w:rsid w:val="00946B1E"/>
    <w:rsid w:val="00946B3E"/>
    <w:rsid w:val="00946BBC"/>
    <w:rsid w:val="00946C02"/>
    <w:rsid w:val="00946C4D"/>
    <w:rsid w:val="00946C6A"/>
    <w:rsid w:val="00946C8B"/>
    <w:rsid w:val="00946CD6"/>
    <w:rsid w:val="00946CEB"/>
    <w:rsid w:val="00946CF6"/>
    <w:rsid w:val="00946D4F"/>
    <w:rsid w:val="00946DBE"/>
    <w:rsid w:val="00946DFA"/>
    <w:rsid w:val="00946E07"/>
    <w:rsid w:val="00946E59"/>
    <w:rsid w:val="00946F1C"/>
    <w:rsid w:val="00946F28"/>
    <w:rsid w:val="00946F89"/>
    <w:rsid w:val="00946FE8"/>
    <w:rsid w:val="009470D3"/>
    <w:rsid w:val="00947105"/>
    <w:rsid w:val="00947189"/>
    <w:rsid w:val="009472EB"/>
    <w:rsid w:val="0094737A"/>
    <w:rsid w:val="009473C7"/>
    <w:rsid w:val="009474B4"/>
    <w:rsid w:val="00947558"/>
    <w:rsid w:val="00947583"/>
    <w:rsid w:val="009475AD"/>
    <w:rsid w:val="00947623"/>
    <w:rsid w:val="00947645"/>
    <w:rsid w:val="009476D8"/>
    <w:rsid w:val="0094776F"/>
    <w:rsid w:val="009477C9"/>
    <w:rsid w:val="00947902"/>
    <w:rsid w:val="00947937"/>
    <w:rsid w:val="00947943"/>
    <w:rsid w:val="00947974"/>
    <w:rsid w:val="009479C3"/>
    <w:rsid w:val="00947A05"/>
    <w:rsid w:val="00947A08"/>
    <w:rsid w:val="00947A19"/>
    <w:rsid w:val="00947A62"/>
    <w:rsid w:val="00947BFD"/>
    <w:rsid w:val="00947C38"/>
    <w:rsid w:val="00947D0F"/>
    <w:rsid w:val="00947D5A"/>
    <w:rsid w:val="00947D76"/>
    <w:rsid w:val="00947D93"/>
    <w:rsid w:val="00947E03"/>
    <w:rsid w:val="00947E27"/>
    <w:rsid w:val="00947ECE"/>
    <w:rsid w:val="00947F7A"/>
    <w:rsid w:val="0095009A"/>
    <w:rsid w:val="009500A1"/>
    <w:rsid w:val="009503F2"/>
    <w:rsid w:val="00950407"/>
    <w:rsid w:val="0095040F"/>
    <w:rsid w:val="009506D1"/>
    <w:rsid w:val="009506D6"/>
    <w:rsid w:val="00950780"/>
    <w:rsid w:val="00950866"/>
    <w:rsid w:val="00950929"/>
    <w:rsid w:val="009509FE"/>
    <w:rsid w:val="00950A18"/>
    <w:rsid w:val="00950A33"/>
    <w:rsid w:val="00950A3F"/>
    <w:rsid w:val="00950A48"/>
    <w:rsid w:val="00950ABC"/>
    <w:rsid w:val="00950ACB"/>
    <w:rsid w:val="00950AE8"/>
    <w:rsid w:val="00950B15"/>
    <w:rsid w:val="00950BB9"/>
    <w:rsid w:val="00950C23"/>
    <w:rsid w:val="00950C41"/>
    <w:rsid w:val="00950D27"/>
    <w:rsid w:val="00950E71"/>
    <w:rsid w:val="00950EB4"/>
    <w:rsid w:val="00950F01"/>
    <w:rsid w:val="00950FFE"/>
    <w:rsid w:val="009510D8"/>
    <w:rsid w:val="009511CA"/>
    <w:rsid w:val="009512A1"/>
    <w:rsid w:val="00951310"/>
    <w:rsid w:val="00951391"/>
    <w:rsid w:val="009513FB"/>
    <w:rsid w:val="00951466"/>
    <w:rsid w:val="009515BB"/>
    <w:rsid w:val="0095165E"/>
    <w:rsid w:val="009516D2"/>
    <w:rsid w:val="0095172D"/>
    <w:rsid w:val="009517A3"/>
    <w:rsid w:val="009517FD"/>
    <w:rsid w:val="0095190A"/>
    <w:rsid w:val="0095197E"/>
    <w:rsid w:val="009519C7"/>
    <w:rsid w:val="009519E8"/>
    <w:rsid w:val="00951A62"/>
    <w:rsid w:val="00951A88"/>
    <w:rsid w:val="00951A91"/>
    <w:rsid w:val="00951AFC"/>
    <w:rsid w:val="00951D73"/>
    <w:rsid w:val="00951DC0"/>
    <w:rsid w:val="00951E24"/>
    <w:rsid w:val="00951E3E"/>
    <w:rsid w:val="00951E89"/>
    <w:rsid w:val="00951EE3"/>
    <w:rsid w:val="00951FD7"/>
    <w:rsid w:val="00952003"/>
    <w:rsid w:val="00952182"/>
    <w:rsid w:val="009523B3"/>
    <w:rsid w:val="009523D3"/>
    <w:rsid w:val="00952482"/>
    <w:rsid w:val="009524EE"/>
    <w:rsid w:val="009525DA"/>
    <w:rsid w:val="0095266F"/>
    <w:rsid w:val="009526B3"/>
    <w:rsid w:val="009526BA"/>
    <w:rsid w:val="0095279F"/>
    <w:rsid w:val="009527A8"/>
    <w:rsid w:val="0095281D"/>
    <w:rsid w:val="00952831"/>
    <w:rsid w:val="00952861"/>
    <w:rsid w:val="00952862"/>
    <w:rsid w:val="00952879"/>
    <w:rsid w:val="00952955"/>
    <w:rsid w:val="00952AC3"/>
    <w:rsid w:val="00952BFE"/>
    <w:rsid w:val="00952C0B"/>
    <w:rsid w:val="00952C59"/>
    <w:rsid w:val="00952CFD"/>
    <w:rsid w:val="00952D58"/>
    <w:rsid w:val="00952DC8"/>
    <w:rsid w:val="00952DF1"/>
    <w:rsid w:val="00952DF7"/>
    <w:rsid w:val="00952F0B"/>
    <w:rsid w:val="00952F19"/>
    <w:rsid w:val="00952F29"/>
    <w:rsid w:val="009531E8"/>
    <w:rsid w:val="00953225"/>
    <w:rsid w:val="0095326D"/>
    <w:rsid w:val="00953300"/>
    <w:rsid w:val="00953365"/>
    <w:rsid w:val="00953417"/>
    <w:rsid w:val="00953461"/>
    <w:rsid w:val="009534A9"/>
    <w:rsid w:val="0095350D"/>
    <w:rsid w:val="0095357B"/>
    <w:rsid w:val="009535B5"/>
    <w:rsid w:val="00953634"/>
    <w:rsid w:val="00953665"/>
    <w:rsid w:val="0095375C"/>
    <w:rsid w:val="00953799"/>
    <w:rsid w:val="00953837"/>
    <w:rsid w:val="00953872"/>
    <w:rsid w:val="009538CD"/>
    <w:rsid w:val="0095398C"/>
    <w:rsid w:val="009539E0"/>
    <w:rsid w:val="00953A40"/>
    <w:rsid w:val="00953A54"/>
    <w:rsid w:val="00953BB4"/>
    <w:rsid w:val="00953BE6"/>
    <w:rsid w:val="00953C93"/>
    <w:rsid w:val="00953CF9"/>
    <w:rsid w:val="00953D7A"/>
    <w:rsid w:val="00953DE0"/>
    <w:rsid w:val="00953E52"/>
    <w:rsid w:val="00953E60"/>
    <w:rsid w:val="00953F84"/>
    <w:rsid w:val="00954018"/>
    <w:rsid w:val="0095404E"/>
    <w:rsid w:val="00954067"/>
    <w:rsid w:val="009542A2"/>
    <w:rsid w:val="009542B2"/>
    <w:rsid w:val="009542D5"/>
    <w:rsid w:val="00954418"/>
    <w:rsid w:val="00954431"/>
    <w:rsid w:val="009544BC"/>
    <w:rsid w:val="009544EC"/>
    <w:rsid w:val="00954576"/>
    <w:rsid w:val="0095458A"/>
    <w:rsid w:val="00954616"/>
    <w:rsid w:val="0095467F"/>
    <w:rsid w:val="009546E5"/>
    <w:rsid w:val="0095471A"/>
    <w:rsid w:val="00954789"/>
    <w:rsid w:val="009547A5"/>
    <w:rsid w:val="00954812"/>
    <w:rsid w:val="009548D9"/>
    <w:rsid w:val="009548F1"/>
    <w:rsid w:val="009549D7"/>
    <w:rsid w:val="00954A4C"/>
    <w:rsid w:val="00954A90"/>
    <w:rsid w:val="00954AAC"/>
    <w:rsid w:val="00954AE1"/>
    <w:rsid w:val="00954B0E"/>
    <w:rsid w:val="00954B9B"/>
    <w:rsid w:val="00954BE6"/>
    <w:rsid w:val="00954C36"/>
    <w:rsid w:val="00954C47"/>
    <w:rsid w:val="00954C9D"/>
    <w:rsid w:val="00954CF9"/>
    <w:rsid w:val="00954D82"/>
    <w:rsid w:val="00954D8A"/>
    <w:rsid w:val="00954DAD"/>
    <w:rsid w:val="00954DED"/>
    <w:rsid w:val="00954DEE"/>
    <w:rsid w:val="00954DFB"/>
    <w:rsid w:val="00954E01"/>
    <w:rsid w:val="00954E0C"/>
    <w:rsid w:val="00954E0E"/>
    <w:rsid w:val="00954FE9"/>
    <w:rsid w:val="00954FFA"/>
    <w:rsid w:val="00955030"/>
    <w:rsid w:val="0095508F"/>
    <w:rsid w:val="009550C6"/>
    <w:rsid w:val="009550CC"/>
    <w:rsid w:val="009550FF"/>
    <w:rsid w:val="0095526A"/>
    <w:rsid w:val="00955296"/>
    <w:rsid w:val="00955369"/>
    <w:rsid w:val="009553AB"/>
    <w:rsid w:val="009553D2"/>
    <w:rsid w:val="009553FE"/>
    <w:rsid w:val="009553FF"/>
    <w:rsid w:val="00955482"/>
    <w:rsid w:val="009554AE"/>
    <w:rsid w:val="009554AF"/>
    <w:rsid w:val="009554F5"/>
    <w:rsid w:val="0095556B"/>
    <w:rsid w:val="009555E7"/>
    <w:rsid w:val="0095561C"/>
    <w:rsid w:val="0095567B"/>
    <w:rsid w:val="00955731"/>
    <w:rsid w:val="0095576C"/>
    <w:rsid w:val="009557C6"/>
    <w:rsid w:val="0095580A"/>
    <w:rsid w:val="0095590C"/>
    <w:rsid w:val="00955922"/>
    <w:rsid w:val="00955945"/>
    <w:rsid w:val="00955955"/>
    <w:rsid w:val="009559EB"/>
    <w:rsid w:val="00955A20"/>
    <w:rsid w:val="00955B4D"/>
    <w:rsid w:val="00955B68"/>
    <w:rsid w:val="00955B9A"/>
    <w:rsid w:val="00955BA6"/>
    <w:rsid w:val="00955C4D"/>
    <w:rsid w:val="00955DBA"/>
    <w:rsid w:val="00955FA9"/>
    <w:rsid w:val="00956184"/>
    <w:rsid w:val="009561DB"/>
    <w:rsid w:val="0095625E"/>
    <w:rsid w:val="009562DB"/>
    <w:rsid w:val="00956310"/>
    <w:rsid w:val="0095632D"/>
    <w:rsid w:val="00956407"/>
    <w:rsid w:val="009564FD"/>
    <w:rsid w:val="0095654C"/>
    <w:rsid w:val="0095654D"/>
    <w:rsid w:val="00956565"/>
    <w:rsid w:val="0095659B"/>
    <w:rsid w:val="00956685"/>
    <w:rsid w:val="009566DA"/>
    <w:rsid w:val="009566F7"/>
    <w:rsid w:val="0095671F"/>
    <w:rsid w:val="009567EB"/>
    <w:rsid w:val="009567F3"/>
    <w:rsid w:val="009569CC"/>
    <w:rsid w:val="00956AC8"/>
    <w:rsid w:val="00956AE7"/>
    <w:rsid w:val="00956BD6"/>
    <w:rsid w:val="00956BEA"/>
    <w:rsid w:val="00956C19"/>
    <w:rsid w:val="00956C58"/>
    <w:rsid w:val="00956C7A"/>
    <w:rsid w:val="00956D2F"/>
    <w:rsid w:val="00956DDB"/>
    <w:rsid w:val="00956E5B"/>
    <w:rsid w:val="00956E87"/>
    <w:rsid w:val="00956E96"/>
    <w:rsid w:val="00956F02"/>
    <w:rsid w:val="00956F35"/>
    <w:rsid w:val="00956F5E"/>
    <w:rsid w:val="00957153"/>
    <w:rsid w:val="009571BC"/>
    <w:rsid w:val="009571E2"/>
    <w:rsid w:val="00957233"/>
    <w:rsid w:val="00957244"/>
    <w:rsid w:val="00957248"/>
    <w:rsid w:val="0095727F"/>
    <w:rsid w:val="009572EE"/>
    <w:rsid w:val="00957315"/>
    <w:rsid w:val="009573E7"/>
    <w:rsid w:val="0095741A"/>
    <w:rsid w:val="00957510"/>
    <w:rsid w:val="00957602"/>
    <w:rsid w:val="00957675"/>
    <w:rsid w:val="00957698"/>
    <w:rsid w:val="0095770A"/>
    <w:rsid w:val="00957782"/>
    <w:rsid w:val="009577B5"/>
    <w:rsid w:val="009577CA"/>
    <w:rsid w:val="00957922"/>
    <w:rsid w:val="0095798E"/>
    <w:rsid w:val="009579BE"/>
    <w:rsid w:val="00957A0C"/>
    <w:rsid w:val="00957A76"/>
    <w:rsid w:val="00957AB2"/>
    <w:rsid w:val="00957AC7"/>
    <w:rsid w:val="00957BAB"/>
    <w:rsid w:val="00957BD5"/>
    <w:rsid w:val="00957C0F"/>
    <w:rsid w:val="00957D42"/>
    <w:rsid w:val="00957DD9"/>
    <w:rsid w:val="00957F02"/>
    <w:rsid w:val="00957F49"/>
    <w:rsid w:val="0096006A"/>
    <w:rsid w:val="0096008B"/>
    <w:rsid w:val="009600E6"/>
    <w:rsid w:val="009600FF"/>
    <w:rsid w:val="0096010F"/>
    <w:rsid w:val="00960189"/>
    <w:rsid w:val="009602B9"/>
    <w:rsid w:val="0096031D"/>
    <w:rsid w:val="00960320"/>
    <w:rsid w:val="00960356"/>
    <w:rsid w:val="0096035B"/>
    <w:rsid w:val="009603FB"/>
    <w:rsid w:val="0096045D"/>
    <w:rsid w:val="009604CC"/>
    <w:rsid w:val="0096051B"/>
    <w:rsid w:val="0096053C"/>
    <w:rsid w:val="009605AC"/>
    <w:rsid w:val="009605AD"/>
    <w:rsid w:val="0096063B"/>
    <w:rsid w:val="00960662"/>
    <w:rsid w:val="00960670"/>
    <w:rsid w:val="009606DC"/>
    <w:rsid w:val="00960744"/>
    <w:rsid w:val="0096075E"/>
    <w:rsid w:val="009607AF"/>
    <w:rsid w:val="009607C4"/>
    <w:rsid w:val="009607DA"/>
    <w:rsid w:val="00960802"/>
    <w:rsid w:val="00960827"/>
    <w:rsid w:val="009608DD"/>
    <w:rsid w:val="00960B5F"/>
    <w:rsid w:val="00960B9A"/>
    <w:rsid w:val="00960C2E"/>
    <w:rsid w:val="00960C85"/>
    <w:rsid w:val="00960CA0"/>
    <w:rsid w:val="00960D09"/>
    <w:rsid w:val="00960D23"/>
    <w:rsid w:val="00960D55"/>
    <w:rsid w:val="00960D5A"/>
    <w:rsid w:val="00960DBB"/>
    <w:rsid w:val="00960E3A"/>
    <w:rsid w:val="00960E80"/>
    <w:rsid w:val="00960F70"/>
    <w:rsid w:val="00960FAC"/>
    <w:rsid w:val="0096106D"/>
    <w:rsid w:val="009610F6"/>
    <w:rsid w:val="00961111"/>
    <w:rsid w:val="00961159"/>
    <w:rsid w:val="00961185"/>
    <w:rsid w:val="009611F7"/>
    <w:rsid w:val="00961217"/>
    <w:rsid w:val="009613D8"/>
    <w:rsid w:val="00961480"/>
    <w:rsid w:val="00961555"/>
    <w:rsid w:val="00961619"/>
    <w:rsid w:val="0096176A"/>
    <w:rsid w:val="009617C2"/>
    <w:rsid w:val="0096183F"/>
    <w:rsid w:val="009618A8"/>
    <w:rsid w:val="009618CB"/>
    <w:rsid w:val="0096199A"/>
    <w:rsid w:val="009619CE"/>
    <w:rsid w:val="009619D3"/>
    <w:rsid w:val="009619E7"/>
    <w:rsid w:val="00961A1F"/>
    <w:rsid w:val="00961A90"/>
    <w:rsid w:val="00961AEA"/>
    <w:rsid w:val="00961B58"/>
    <w:rsid w:val="00961C0F"/>
    <w:rsid w:val="00961CE8"/>
    <w:rsid w:val="00961CF5"/>
    <w:rsid w:val="00961DF7"/>
    <w:rsid w:val="00961E09"/>
    <w:rsid w:val="00961E34"/>
    <w:rsid w:val="00961EB4"/>
    <w:rsid w:val="00961EFA"/>
    <w:rsid w:val="00961F8C"/>
    <w:rsid w:val="00961F98"/>
    <w:rsid w:val="00961F9C"/>
    <w:rsid w:val="009620D7"/>
    <w:rsid w:val="009620DF"/>
    <w:rsid w:val="009620EC"/>
    <w:rsid w:val="0096215B"/>
    <w:rsid w:val="00962168"/>
    <w:rsid w:val="0096224F"/>
    <w:rsid w:val="0096229C"/>
    <w:rsid w:val="009623A9"/>
    <w:rsid w:val="00962413"/>
    <w:rsid w:val="00962422"/>
    <w:rsid w:val="00962488"/>
    <w:rsid w:val="0096251F"/>
    <w:rsid w:val="00962537"/>
    <w:rsid w:val="009625D7"/>
    <w:rsid w:val="009626C6"/>
    <w:rsid w:val="009626E3"/>
    <w:rsid w:val="009626F9"/>
    <w:rsid w:val="00962774"/>
    <w:rsid w:val="009627F5"/>
    <w:rsid w:val="00962924"/>
    <w:rsid w:val="0096295B"/>
    <w:rsid w:val="009629B2"/>
    <w:rsid w:val="009629DA"/>
    <w:rsid w:val="00962A12"/>
    <w:rsid w:val="00962A28"/>
    <w:rsid w:val="00962A3C"/>
    <w:rsid w:val="00962AE0"/>
    <w:rsid w:val="00962B0B"/>
    <w:rsid w:val="00962B32"/>
    <w:rsid w:val="00962C12"/>
    <w:rsid w:val="00962C27"/>
    <w:rsid w:val="00962C56"/>
    <w:rsid w:val="00962C7B"/>
    <w:rsid w:val="00962D11"/>
    <w:rsid w:val="00962D80"/>
    <w:rsid w:val="00962F42"/>
    <w:rsid w:val="00963154"/>
    <w:rsid w:val="00963181"/>
    <w:rsid w:val="0096329F"/>
    <w:rsid w:val="009633D5"/>
    <w:rsid w:val="00963410"/>
    <w:rsid w:val="009634F8"/>
    <w:rsid w:val="0096353F"/>
    <w:rsid w:val="00963616"/>
    <w:rsid w:val="00963630"/>
    <w:rsid w:val="0096365B"/>
    <w:rsid w:val="00963741"/>
    <w:rsid w:val="009637E2"/>
    <w:rsid w:val="00963854"/>
    <w:rsid w:val="00963862"/>
    <w:rsid w:val="009638DA"/>
    <w:rsid w:val="009638EA"/>
    <w:rsid w:val="009638F5"/>
    <w:rsid w:val="00963A28"/>
    <w:rsid w:val="00963AC3"/>
    <w:rsid w:val="00963C37"/>
    <w:rsid w:val="00963CF0"/>
    <w:rsid w:val="00963D2A"/>
    <w:rsid w:val="00963D6D"/>
    <w:rsid w:val="00963DA4"/>
    <w:rsid w:val="00963E03"/>
    <w:rsid w:val="00963E2C"/>
    <w:rsid w:val="00963E68"/>
    <w:rsid w:val="00963F38"/>
    <w:rsid w:val="00963F69"/>
    <w:rsid w:val="00963F8D"/>
    <w:rsid w:val="009640AA"/>
    <w:rsid w:val="009640AD"/>
    <w:rsid w:val="009640B9"/>
    <w:rsid w:val="00964299"/>
    <w:rsid w:val="0096429B"/>
    <w:rsid w:val="00964309"/>
    <w:rsid w:val="0096454B"/>
    <w:rsid w:val="009645BC"/>
    <w:rsid w:val="0096466D"/>
    <w:rsid w:val="0096488E"/>
    <w:rsid w:val="009648B2"/>
    <w:rsid w:val="0096498F"/>
    <w:rsid w:val="009649AF"/>
    <w:rsid w:val="009649CD"/>
    <w:rsid w:val="00964A30"/>
    <w:rsid w:val="00964AFC"/>
    <w:rsid w:val="00964BB9"/>
    <w:rsid w:val="00964C24"/>
    <w:rsid w:val="00964C2B"/>
    <w:rsid w:val="00964C7C"/>
    <w:rsid w:val="00964CCB"/>
    <w:rsid w:val="00964D3E"/>
    <w:rsid w:val="00964D52"/>
    <w:rsid w:val="00964D9E"/>
    <w:rsid w:val="00964DC9"/>
    <w:rsid w:val="00964DD1"/>
    <w:rsid w:val="00964DDF"/>
    <w:rsid w:val="00964DE1"/>
    <w:rsid w:val="00964EB3"/>
    <w:rsid w:val="00964F1D"/>
    <w:rsid w:val="00964F7E"/>
    <w:rsid w:val="0096502C"/>
    <w:rsid w:val="009650C2"/>
    <w:rsid w:val="00965146"/>
    <w:rsid w:val="0096514C"/>
    <w:rsid w:val="009651DC"/>
    <w:rsid w:val="00965235"/>
    <w:rsid w:val="0096533E"/>
    <w:rsid w:val="0096539E"/>
    <w:rsid w:val="009653B8"/>
    <w:rsid w:val="009653FB"/>
    <w:rsid w:val="0096541B"/>
    <w:rsid w:val="00965473"/>
    <w:rsid w:val="0096547F"/>
    <w:rsid w:val="009654ED"/>
    <w:rsid w:val="009654FE"/>
    <w:rsid w:val="0096552C"/>
    <w:rsid w:val="0096555C"/>
    <w:rsid w:val="009655F1"/>
    <w:rsid w:val="00965655"/>
    <w:rsid w:val="009656C3"/>
    <w:rsid w:val="00965716"/>
    <w:rsid w:val="0096571C"/>
    <w:rsid w:val="00965804"/>
    <w:rsid w:val="00965824"/>
    <w:rsid w:val="0096591B"/>
    <w:rsid w:val="009659CF"/>
    <w:rsid w:val="00965A65"/>
    <w:rsid w:val="00965ABF"/>
    <w:rsid w:val="00965AC6"/>
    <w:rsid w:val="00965C1D"/>
    <w:rsid w:val="00965C2A"/>
    <w:rsid w:val="00965C30"/>
    <w:rsid w:val="00965CF7"/>
    <w:rsid w:val="00965D09"/>
    <w:rsid w:val="00965D7F"/>
    <w:rsid w:val="00965E36"/>
    <w:rsid w:val="00965F02"/>
    <w:rsid w:val="00965FD4"/>
    <w:rsid w:val="00965FF9"/>
    <w:rsid w:val="00966109"/>
    <w:rsid w:val="0096610A"/>
    <w:rsid w:val="009661F9"/>
    <w:rsid w:val="00966215"/>
    <w:rsid w:val="0096628A"/>
    <w:rsid w:val="0096632A"/>
    <w:rsid w:val="00966349"/>
    <w:rsid w:val="00966423"/>
    <w:rsid w:val="00966477"/>
    <w:rsid w:val="00966479"/>
    <w:rsid w:val="009664CF"/>
    <w:rsid w:val="00966508"/>
    <w:rsid w:val="00966527"/>
    <w:rsid w:val="009665B3"/>
    <w:rsid w:val="00966608"/>
    <w:rsid w:val="00966721"/>
    <w:rsid w:val="0096673B"/>
    <w:rsid w:val="00966758"/>
    <w:rsid w:val="00966779"/>
    <w:rsid w:val="009667AE"/>
    <w:rsid w:val="009667EB"/>
    <w:rsid w:val="00966841"/>
    <w:rsid w:val="009668CF"/>
    <w:rsid w:val="009668EE"/>
    <w:rsid w:val="00966991"/>
    <w:rsid w:val="00966999"/>
    <w:rsid w:val="00966A4B"/>
    <w:rsid w:val="00966B49"/>
    <w:rsid w:val="00966C6A"/>
    <w:rsid w:val="00966CC6"/>
    <w:rsid w:val="00966D04"/>
    <w:rsid w:val="00966D1C"/>
    <w:rsid w:val="00966D67"/>
    <w:rsid w:val="00966D7C"/>
    <w:rsid w:val="00966DF4"/>
    <w:rsid w:val="00966E2D"/>
    <w:rsid w:val="00966E78"/>
    <w:rsid w:val="00966EC8"/>
    <w:rsid w:val="009670E5"/>
    <w:rsid w:val="00967283"/>
    <w:rsid w:val="00967331"/>
    <w:rsid w:val="00967346"/>
    <w:rsid w:val="0096734B"/>
    <w:rsid w:val="00967455"/>
    <w:rsid w:val="009674B7"/>
    <w:rsid w:val="009674E0"/>
    <w:rsid w:val="0096775E"/>
    <w:rsid w:val="00967761"/>
    <w:rsid w:val="0096776F"/>
    <w:rsid w:val="00967798"/>
    <w:rsid w:val="009677CA"/>
    <w:rsid w:val="009677DE"/>
    <w:rsid w:val="00967815"/>
    <w:rsid w:val="009678C9"/>
    <w:rsid w:val="00967928"/>
    <w:rsid w:val="009679FB"/>
    <w:rsid w:val="00967A69"/>
    <w:rsid w:val="00967A79"/>
    <w:rsid w:val="00967B2C"/>
    <w:rsid w:val="00967B83"/>
    <w:rsid w:val="00967D2A"/>
    <w:rsid w:val="00967D2C"/>
    <w:rsid w:val="00967E66"/>
    <w:rsid w:val="00967EEB"/>
    <w:rsid w:val="00967FE4"/>
    <w:rsid w:val="00970018"/>
    <w:rsid w:val="009700CE"/>
    <w:rsid w:val="009700DE"/>
    <w:rsid w:val="00970125"/>
    <w:rsid w:val="00970179"/>
    <w:rsid w:val="00970190"/>
    <w:rsid w:val="0097034D"/>
    <w:rsid w:val="0097038E"/>
    <w:rsid w:val="009703C5"/>
    <w:rsid w:val="009703FE"/>
    <w:rsid w:val="009704AC"/>
    <w:rsid w:val="0097058B"/>
    <w:rsid w:val="009705F3"/>
    <w:rsid w:val="00970625"/>
    <w:rsid w:val="00970702"/>
    <w:rsid w:val="00970724"/>
    <w:rsid w:val="00970759"/>
    <w:rsid w:val="009707A5"/>
    <w:rsid w:val="009707BD"/>
    <w:rsid w:val="00970843"/>
    <w:rsid w:val="00970944"/>
    <w:rsid w:val="00970974"/>
    <w:rsid w:val="00970A6C"/>
    <w:rsid w:val="00970AAB"/>
    <w:rsid w:val="00970AC4"/>
    <w:rsid w:val="00970B2F"/>
    <w:rsid w:val="00970BEA"/>
    <w:rsid w:val="00970C0A"/>
    <w:rsid w:val="00970C72"/>
    <w:rsid w:val="00970CFA"/>
    <w:rsid w:val="00970D65"/>
    <w:rsid w:val="00970D86"/>
    <w:rsid w:val="00970E0F"/>
    <w:rsid w:val="00970E24"/>
    <w:rsid w:val="00970EE1"/>
    <w:rsid w:val="00970FAC"/>
    <w:rsid w:val="0097102F"/>
    <w:rsid w:val="0097109E"/>
    <w:rsid w:val="009710B4"/>
    <w:rsid w:val="009710C3"/>
    <w:rsid w:val="0097111E"/>
    <w:rsid w:val="009711A0"/>
    <w:rsid w:val="00971366"/>
    <w:rsid w:val="009713F8"/>
    <w:rsid w:val="00971410"/>
    <w:rsid w:val="00971431"/>
    <w:rsid w:val="00971513"/>
    <w:rsid w:val="0097152A"/>
    <w:rsid w:val="0097157B"/>
    <w:rsid w:val="0097163E"/>
    <w:rsid w:val="00971647"/>
    <w:rsid w:val="00971650"/>
    <w:rsid w:val="00971661"/>
    <w:rsid w:val="009716B8"/>
    <w:rsid w:val="009716DE"/>
    <w:rsid w:val="0097170D"/>
    <w:rsid w:val="00971855"/>
    <w:rsid w:val="009718B0"/>
    <w:rsid w:val="00971970"/>
    <w:rsid w:val="0097197F"/>
    <w:rsid w:val="00971983"/>
    <w:rsid w:val="009719A2"/>
    <w:rsid w:val="00971A08"/>
    <w:rsid w:val="00971A48"/>
    <w:rsid w:val="00971B6B"/>
    <w:rsid w:val="00971BFC"/>
    <w:rsid w:val="00971C44"/>
    <w:rsid w:val="00971CA6"/>
    <w:rsid w:val="00971D77"/>
    <w:rsid w:val="00971D85"/>
    <w:rsid w:val="00971D92"/>
    <w:rsid w:val="00971E2C"/>
    <w:rsid w:val="00971E5F"/>
    <w:rsid w:val="00971E84"/>
    <w:rsid w:val="00971EB7"/>
    <w:rsid w:val="00971EBA"/>
    <w:rsid w:val="00971F96"/>
    <w:rsid w:val="00971FE3"/>
    <w:rsid w:val="0097204A"/>
    <w:rsid w:val="0097209F"/>
    <w:rsid w:val="0097214B"/>
    <w:rsid w:val="00972171"/>
    <w:rsid w:val="009721C8"/>
    <w:rsid w:val="009721FA"/>
    <w:rsid w:val="0097237B"/>
    <w:rsid w:val="00972450"/>
    <w:rsid w:val="009724C5"/>
    <w:rsid w:val="0097252F"/>
    <w:rsid w:val="00972548"/>
    <w:rsid w:val="0097268B"/>
    <w:rsid w:val="00972704"/>
    <w:rsid w:val="00972737"/>
    <w:rsid w:val="00972765"/>
    <w:rsid w:val="0097278A"/>
    <w:rsid w:val="00972792"/>
    <w:rsid w:val="009727B9"/>
    <w:rsid w:val="009727F6"/>
    <w:rsid w:val="009728FF"/>
    <w:rsid w:val="0097295F"/>
    <w:rsid w:val="00972983"/>
    <w:rsid w:val="00972AD7"/>
    <w:rsid w:val="00972B1A"/>
    <w:rsid w:val="00972B65"/>
    <w:rsid w:val="00972BD6"/>
    <w:rsid w:val="00972C35"/>
    <w:rsid w:val="00972C7E"/>
    <w:rsid w:val="00972C97"/>
    <w:rsid w:val="00972DF1"/>
    <w:rsid w:val="00972E34"/>
    <w:rsid w:val="00972E61"/>
    <w:rsid w:val="00972F39"/>
    <w:rsid w:val="00972FDC"/>
    <w:rsid w:val="00972FEC"/>
    <w:rsid w:val="00973029"/>
    <w:rsid w:val="0097308C"/>
    <w:rsid w:val="009730B8"/>
    <w:rsid w:val="00973141"/>
    <w:rsid w:val="00973147"/>
    <w:rsid w:val="00973197"/>
    <w:rsid w:val="009731B3"/>
    <w:rsid w:val="0097334B"/>
    <w:rsid w:val="009733C3"/>
    <w:rsid w:val="009733CA"/>
    <w:rsid w:val="009733E1"/>
    <w:rsid w:val="00973406"/>
    <w:rsid w:val="00973420"/>
    <w:rsid w:val="00973448"/>
    <w:rsid w:val="00973502"/>
    <w:rsid w:val="00973517"/>
    <w:rsid w:val="009735E5"/>
    <w:rsid w:val="00973643"/>
    <w:rsid w:val="00973665"/>
    <w:rsid w:val="0097369D"/>
    <w:rsid w:val="009736B3"/>
    <w:rsid w:val="009736E6"/>
    <w:rsid w:val="00973710"/>
    <w:rsid w:val="00973722"/>
    <w:rsid w:val="0097374C"/>
    <w:rsid w:val="00973787"/>
    <w:rsid w:val="009737C0"/>
    <w:rsid w:val="009737D6"/>
    <w:rsid w:val="00973838"/>
    <w:rsid w:val="009738AF"/>
    <w:rsid w:val="009738B3"/>
    <w:rsid w:val="00973939"/>
    <w:rsid w:val="009739D5"/>
    <w:rsid w:val="00973A4C"/>
    <w:rsid w:val="00973B4C"/>
    <w:rsid w:val="00973B87"/>
    <w:rsid w:val="00973C26"/>
    <w:rsid w:val="00973C6B"/>
    <w:rsid w:val="00973D7B"/>
    <w:rsid w:val="00973E2F"/>
    <w:rsid w:val="00973EFC"/>
    <w:rsid w:val="00973F09"/>
    <w:rsid w:val="00973F0F"/>
    <w:rsid w:val="00973F40"/>
    <w:rsid w:val="00973F41"/>
    <w:rsid w:val="00973F50"/>
    <w:rsid w:val="00974007"/>
    <w:rsid w:val="00974036"/>
    <w:rsid w:val="00974207"/>
    <w:rsid w:val="00974243"/>
    <w:rsid w:val="00974284"/>
    <w:rsid w:val="0097439F"/>
    <w:rsid w:val="009743F2"/>
    <w:rsid w:val="00974441"/>
    <w:rsid w:val="00974499"/>
    <w:rsid w:val="009744B5"/>
    <w:rsid w:val="009744C2"/>
    <w:rsid w:val="009744C5"/>
    <w:rsid w:val="00974510"/>
    <w:rsid w:val="0097459F"/>
    <w:rsid w:val="009745AA"/>
    <w:rsid w:val="009745CE"/>
    <w:rsid w:val="00974613"/>
    <w:rsid w:val="00974617"/>
    <w:rsid w:val="00974662"/>
    <w:rsid w:val="00974767"/>
    <w:rsid w:val="00974983"/>
    <w:rsid w:val="00974992"/>
    <w:rsid w:val="0097499D"/>
    <w:rsid w:val="00974A57"/>
    <w:rsid w:val="00974AC0"/>
    <w:rsid w:val="00974B4B"/>
    <w:rsid w:val="00974B80"/>
    <w:rsid w:val="00974C73"/>
    <w:rsid w:val="00974E56"/>
    <w:rsid w:val="00974F13"/>
    <w:rsid w:val="00974F46"/>
    <w:rsid w:val="00974F71"/>
    <w:rsid w:val="00974F79"/>
    <w:rsid w:val="00975008"/>
    <w:rsid w:val="0097515B"/>
    <w:rsid w:val="009751C1"/>
    <w:rsid w:val="009751FC"/>
    <w:rsid w:val="00975234"/>
    <w:rsid w:val="0097523C"/>
    <w:rsid w:val="0097538A"/>
    <w:rsid w:val="009753CF"/>
    <w:rsid w:val="0097558A"/>
    <w:rsid w:val="0097569B"/>
    <w:rsid w:val="009756E3"/>
    <w:rsid w:val="009757A3"/>
    <w:rsid w:val="009757F8"/>
    <w:rsid w:val="00975808"/>
    <w:rsid w:val="0097585F"/>
    <w:rsid w:val="00975885"/>
    <w:rsid w:val="00975B22"/>
    <w:rsid w:val="00975CAD"/>
    <w:rsid w:val="00975CCB"/>
    <w:rsid w:val="00975D27"/>
    <w:rsid w:val="00975DA6"/>
    <w:rsid w:val="00975DBC"/>
    <w:rsid w:val="00975DE5"/>
    <w:rsid w:val="00975E34"/>
    <w:rsid w:val="00975F75"/>
    <w:rsid w:val="0097600D"/>
    <w:rsid w:val="00976229"/>
    <w:rsid w:val="00976262"/>
    <w:rsid w:val="009762B0"/>
    <w:rsid w:val="0097633A"/>
    <w:rsid w:val="009763EF"/>
    <w:rsid w:val="009764B5"/>
    <w:rsid w:val="00976582"/>
    <w:rsid w:val="0097658F"/>
    <w:rsid w:val="009765CD"/>
    <w:rsid w:val="009766E3"/>
    <w:rsid w:val="00976715"/>
    <w:rsid w:val="00976725"/>
    <w:rsid w:val="00976776"/>
    <w:rsid w:val="009767B6"/>
    <w:rsid w:val="0097682C"/>
    <w:rsid w:val="009769FD"/>
    <w:rsid w:val="00976A49"/>
    <w:rsid w:val="00976C17"/>
    <w:rsid w:val="00976C39"/>
    <w:rsid w:val="00976D51"/>
    <w:rsid w:val="00976D77"/>
    <w:rsid w:val="00976EE5"/>
    <w:rsid w:val="00976F82"/>
    <w:rsid w:val="00976FEA"/>
    <w:rsid w:val="009771D3"/>
    <w:rsid w:val="009771F5"/>
    <w:rsid w:val="00977414"/>
    <w:rsid w:val="00977463"/>
    <w:rsid w:val="009774CE"/>
    <w:rsid w:val="0097755F"/>
    <w:rsid w:val="0097760F"/>
    <w:rsid w:val="009776E6"/>
    <w:rsid w:val="009776E9"/>
    <w:rsid w:val="00977749"/>
    <w:rsid w:val="009777AF"/>
    <w:rsid w:val="009778DE"/>
    <w:rsid w:val="00977919"/>
    <w:rsid w:val="0097794E"/>
    <w:rsid w:val="009779B1"/>
    <w:rsid w:val="009779C4"/>
    <w:rsid w:val="009779D7"/>
    <w:rsid w:val="00977AC7"/>
    <w:rsid w:val="00977B41"/>
    <w:rsid w:val="00977BA2"/>
    <w:rsid w:val="00977BFF"/>
    <w:rsid w:val="00977C49"/>
    <w:rsid w:val="00977CE1"/>
    <w:rsid w:val="00977D10"/>
    <w:rsid w:val="00977D4E"/>
    <w:rsid w:val="00977DCC"/>
    <w:rsid w:val="00977DF3"/>
    <w:rsid w:val="00977E29"/>
    <w:rsid w:val="00977F60"/>
    <w:rsid w:val="00977FF6"/>
    <w:rsid w:val="00980003"/>
    <w:rsid w:val="00980122"/>
    <w:rsid w:val="0098012C"/>
    <w:rsid w:val="00980133"/>
    <w:rsid w:val="00980181"/>
    <w:rsid w:val="009801F3"/>
    <w:rsid w:val="0098020F"/>
    <w:rsid w:val="0098028D"/>
    <w:rsid w:val="00980305"/>
    <w:rsid w:val="0098035D"/>
    <w:rsid w:val="0098046D"/>
    <w:rsid w:val="00980516"/>
    <w:rsid w:val="00980795"/>
    <w:rsid w:val="009807CE"/>
    <w:rsid w:val="009807CF"/>
    <w:rsid w:val="00980810"/>
    <w:rsid w:val="009808BC"/>
    <w:rsid w:val="009808BE"/>
    <w:rsid w:val="009808E3"/>
    <w:rsid w:val="009809EC"/>
    <w:rsid w:val="00980A68"/>
    <w:rsid w:val="00980A77"/>
    <w:rsid w:val="00980AF6"/>
    <w:rsid w:val="00980B1C"/>
    <w:rsid w:val="00980D24"/>
    <w:rsid w:val="00980D6F"/>
    <w:rsid w:val="00980D75"/>
    <w:rsid w:val="00980D8B"/>
    <w:rsid w:val="00980E55"/>
    <w:rsid w:val="00980EA7"/>
    <w:rsid w:val="00980F0D"/>
    <w:rsid w:val="00980F1C"/>
    <w:rsid w:val="00980F3D"/>
    <w:rsid w:val="00980FB5"/>
    <w:rsid w:val="0098103E"/>
    <w:rsid w:val="0098104B"/>
    <w:rsid w:val="009810A4"/>
    <w:rsid w:val="009810D4"/>
    <w:rsid w:val="009810F4"/>
    <w:rsid w:val="0098114C"/>
    <w:rsid w:val="009811C7"/>
    <w:rsid w:val="0098125A"/>
    <w:rsid w:val="00981262"/>
    <w:rsid w:val="009813CD"/>
    <w:rsid w:val="009814E3"/>
    <w:rsid w:val="00981645"/>
    <w:rsid w:val="0098164C"/>
    <w:rsid w:val="009816BF"/>
    <w:rsid w:val="009816F9"/>
    <w:rsid w:val="00981756"/>
    <w:rsid w:val="009818E2"/>
    <w:rsid w:val="00981921"/>
    <w:rsid w:val="00981992"/>
    <w:rsid w:val="0098199C"/>
    <w:rsid w:val="00981A03"/>
    <w:rsid w:val="00981A51"/>
    <w:rsid w:val="00981B28"/>
    <w:rsid w:val="00981BEA"/>
    <w:rsid w:val="00981CA0"/>
    <w:rsid w:val="00981D0C"/>
    <w:rsid w:val="00981D52"/>
    <w:rsid w:val="00981EFA"/>
    <w:rsid w:val="00981F05"/>
    <w:rsid w:val="00981FB7"/>
    <w:rsid w:val="00981FBC"/>
    <w:rsid w:val="00981FBD"/>
    <w:rsid w:val="00981FCC"/>
    <w:rsid w:val="00982207"/>
    <w:rsid w:val="00982254"/>
    <w:rsid w:val="00982314"/>
    <w:rsid w:val="00982416"/>
    <w:rsid w:val="00982466"/>
    <w:rsid w:val="00982484"/>
    <w:rsid w:val="0098249B"/>
    <w:rsid w:val="00982621"/>
    <w:rsid w:val="0098276B"/>
    <w:rsid w:val="00982786"/>
    <w:rsid w:val="0098279E"/>
    <w:rsid w:val="009827A9"/>
    <w:rsid w:val="009828D5"/>
    <w:rsid w:val="00982911"/>
    <w:rsid w:val="0098292B"/>
    <w:rsid w:val="0098295D"/>
    <w:rsid w:val="00982970"/>
    <w:rsid w:val="009829E9"/>
    <w:rsid w:val="00982A81"/>
    <w:rsid w:val="00982C3F"/>
    <w:rsid w:val="00982C41"/>
    <w:rsid w:val="00982D29"/>
    <w:rsid w:val="00982D2A"/>
    <w:rsid w:val="00982D67"/>
    <w:rsid w:val="00982E0E"/>
    <w:rsid w:val="00982F0A"/>
    <w:rsid w:val="00983005"/>
    <w:rsid w:val="0098302F"/>
    <w:rsid w:val="0098312D"/>
    <w:rsid w:val="00983143"/>
    <w:rsid w:val="00983190"/>
    <w:rsid w:val="00983293"/>
    <w:rsid w:val="009832F2"/>
    <w:rsid w:val="00983386"/>
    <w:rsid w:val="00983429"/>
    <w:rsid w:val="0098344C"/>
    <w:rsid w:val="00983466"/>
    <w:rsid w:val="009834D6"/>
    <w:rsid w:val="009834E8"/>
    <w:rsid w:val="009834EB"/>
    <w:rsid w:val="00983536"/>
    <w:rsid w:val="00983587"/>
    <w:rsid w:val="009835DE"/>
    <w:rsid w:val="0098361C"/>
    <w:rsid w:val="00983679"/>
    <w:rsid w:val="00983740"/>
    <w:rsid w:val="0098374F"/>
    <w:rsid w:val="009837A1"/>
    <w:rsid w:val="009837E4"/>
    <w:rsid w:val="00983804"/>
    <w:rsid w:val="00983854"/>
    <w:rsid w:val="00983954"/>
    <w:rsid w:val="00983957"/>
    <w:rsid w:val="00983A5C"/>
    <w:rsid w:val="00983B20"/>
    <w:rsid w:val="00983BA7"/>
    <w:rsid w:val="00983BEB"/>
    <w:rsid w:val="00983C34"/>
    <w:rsid w:val="00983D4D"/>
    <w:rsid w:val="00983D90"/>
    <w:rsid w:val="00983DA5"/>
    <w:rsid w:val="00983E2B"/>
    <w:rsid w:val="00983E46"/>
    <w:rsid w:val="00983EEA"/>
    <w:rsid w:val="00983FD0"/>
    <w:rsid w:val="00984049"/>
    <w:rsid w:val="00984063"/>
    <w:rsid w:val="0098407A"/>
    <w:rsid w:val="009840E5"/>
    <w:rsid w:val="00984173"/>
    <w:rsid w:val="009841BA"/>
    <w:rsid w:val="0098428D"/>
    <w:rsid w:val="009842FC"/>
    <w:rsid w:val="0098436F"/>
    <w:rsid w:val="00984397"/>
    <w:rsid w:val="0098444C"/>
    <w:rsid w:val="0098444F"/>
    <w:rsid w:val="0098451A"/>
    <w:rsid w:val="00984550"/>
    <w:rsid w:val="0098455B"/>
    <w:rsid w:val="00984566"/>
    <w:rsid w:val="00984575"/>
    <w:rsid w:val="009845F4"/>
    <w:rsid w:val="009846B5"/>
    <w:rsid w:val="00984739"/>
    <w:rsid w:val="00984761"/>
    <w:rsid w:val="009847AF"/>
    <w:rsid w:val="00984892"/>
    <w:rsid w:val="009848EB"/>
    <w:rsid w:val="0098493D"/>
    <w:rsid w:val="009849EB"/>
    <w:rsid w:val="00984A2C"/>
    <w:rsid w:val="00984A31"/>
    <w:rsid w:val="00984AAD"/>
    <w:rsid w:val="00984AC7"/>
    <w:rsid w:val="00984ADD"/>
    <w:rsid w:val="00984B36"/>
    <w:rsid w:val="00984B9C"/>
    <w:rsid w:val="00984BF3"/>
    <w:rsid w:val="00984C12"/>
    <w:rsid w:val="00984C4F"/>
    <w:rsid w:val="00984D6C"/>
    <w:rsid w:val="00984D9E"/>
    <w:rsid w:val="00984E22"/>
    <w:rsid w:val="00984E34"/>
    <w:rsid w:val="00984E4E"/>
    <w:rsid w:val="00984ECA"/>
    <w:rsid w:val="00984F2C"/>
    <w:rsid w:val="00984F50"/>
    <w:rsid w:val="00984FA4"/>
    <w:rsid w:val="00984FFF"/>
    <w:rsid w:val="00985072"/>
    <w:rsid w:val="00985107"/>
    <w:rsid w:val="00985118"/>
    <w:rsid w:val="00985127"/>
    <w:rsid w:val="00985189"/>
    <w:rsid w:val="009851F8"/>
    <w:rsid w:val="009854A9"/>
    <w:rsid w:val="00985524"/>
    <w:rsid w:val="0098553A"/>
    <w:rsid w:val="00985695"/>
    <w:rsid w:val="0098569A"/>
    <w:rsid w:val="0098571C"/>
    <w:rsid w:val="0098581F"/>
    <w:rsid w:val="00985892"/>
    <w:rsid w:val="0098593B"/>
    <w:rsid w:val="0098593F"/>
    <w:rsid w:val="00985990"/>
    <w:rsid w:val="009859CE"/>
    <w:rsid w:val="00985A0A"/>
    <w:rsid w:val="00985A22"/>
    <w:rsid w:val="00985A36"/>
    <w:rsid w:val="00985A45"/>
    <w:rsid w:val="00985AB5"/>
    <w:rsid w:val="00985BE4"/>
    <w:rsid w:val="00985C2E"/>
    <w:rsid w:val="00985C2F"/>
    <w:rsid w:val="00985CCF"/>
    <w:rsid w:val="00985D02"/>
    <w:rsid w:val="00985D6F"/>
    <w:rsid w:val="00985F1F"/>
    <w:rsid w:val="009860AD"/>
    <w:rsid w:val="00986164"/>
    <w:rsid w:val="009861C0"/>
    <w:rsid w:val="0098631F"/>
    <w:rsid w:val="00986336"/>
    <w:rsid w:val="0098637F"/>
    <w:rsid w:val="00986528"/>
    <w:rsid w:val="00986567"/>
    <w:rsid w:val="0098656D"/>
    <w:rsid w:val="00986577"/>
    <w:rsid w:val="00986631"/>
    <w:rsid w:val="009867C0"/>
    <w:rsid w:val="009867DB"/>
    <w:rsid w:val="00986885"/>
    <w:rsid w:val="009868C8"/>
    <w:rsid w:val="00986914"/>
    <w:rsid w:val="0098692A"/>
    <w:rsid w:val="0098693D"/>
    <w:rsid w:val="009869AA"/>
    <w:rsid w:val="009869B8"/>
    <w:rsid w:val="009869B9"/>
    <w:rsid w:val="00986AD4"/>
    <w:rsid w:val="00986B19"/>
    <w:rsid w:val="00986B20"/>
    <w:rsid w:val="00986B39"/>
    <w:rsid w:val="00986D10"/>
    <w:rsid w:val="00986D14"/>
    <w:rsid w:val="00986D90"/>
    <w:rsid w:val="00986DBF"/>
    <w:rsid w:val="00986EA0"/>
    <w:rsid w:val="00986ED1"/>
    <w:rsid w:val="00986F0F"/>
    <w:rsid w:val="00986F3D"/>
    <w:rsid w:val="00986FEE"/>
    <w:rsid w:val="00987045"/>
    <w:rsid w:val="00987057"/>
    <w:rsid w:val="009870AE"/>
    <w:rsid w:val="009870FF"/>
    <w:rsid w:val="009871AE"/>
    <w:rsid w:val="009872AD"/>
    <w:rsid w:val="009872F1"/>
    <w:rsid w:val="00987310"/>
    <w:rsid w:val="00987314"/>
    <w:rsid w:val="00987336"/>
    <w:rsid w:val="0098735C"/>
    <w:rsid w:val="009873E7"/>
    <w:rsid w:val="009873F5"/>
    <w:rsid w:val="00987405"/>
    <w:rsid w:val="0098751C"/>
    <w:rsid w:val="00987531"/>
    <w:rsid w:val="00987597"/>
    <w:rsid w:val="009875D4"/>
    <w:rsid w:val="009875EA"/>
    <w:rsid w:val="00987615"/>
    <w:rsid w:val="0098764E"/>
    <w:rsid w:val="0098784F"/>
    <w:rsid w:val="00987981"/>
    <w:rsid w:val="0098798B"/>
    <w:rsid w:val="009879F5"/>
    <w:rsid w:val="00987A52"/>
    <w:rsid w:val="00987A55"/>
    <w:rsid w:val="00987A7F"/>
    <w:rsid w:val="00987AD5"/>
    <w:rsid w:val="00987AEA"/>
    <w:rsid w:val="00987BC5"/>
    <w:rsid w:val="00987BCB"/>
    <w:rsid w:val="00987BF0"/>
    <w:rsid w:val="00987C45"/>
    <w:rsid w:val="00987CED"/>
    <w:rsid w:val="00987D8D"/>
    <w:rsid w:val="00987EF6"/>
    <w:rsid w:val="00987F8D"/>
    <w:rsid w:val="00987FA0"/>
    <w:rsid w:val="0099008E"/>
    <w:rsid w:val="009900D4"/>
    <w:rsid w:val="009900E2"/>
    <w:rsid w:val="009900E3"/>
    <w:rsid w:val="009900EC"/>
    <w:rsid w:val="00990144"/>
    <w:rsid w:val="0099017B"/>
    <w:rsid w:val="0099018C"/>
    <w:rsid w:val="00990203"/>
    <w:rsid w:val="00990269"/>
    <w:rsid w:val="0099029D"/>
    <w:rsid w:val="009902E6"/>
    <w:rsid w:val="009902F6"/>
    <w:rsid w:val="0099030B"/>
    <w:rsid w:val="00990321"/>
    <w:rsid w:val="00990326"/>
    <w:rsid w:val="0099033D"/>
    <w:rsid w:val="009905CC"/>
    <w:rsid w:val="009905D9"/>
    <w:rsid w:val="009906FA"/>
    <w:rsid w:val="009907CF"/>
    <w:rsid w:val="00990838"/>
    <w:rsid w:val="0099087C"/>
    <w:rsid w:val="009908B5"/>
    <w:rsid w:val="009908F1"/>
    <w:rsid w:val="00990977"/>
    <w:rsid w:val="009909B1"/>
    <w:rsid w:val="00990A02"/>
    <w:rsid w:val="00990AAE"/>
    <w:rsid w:val="00990B1A"/>
    <w:rsid w:val="00990BBD"/>
    <w:rsid w:val="00990C28"/>
    <w:rsid w:val="00990D01"/>
    <w:rsid w:val="00990D3F"/>
    <w:rsid w:val="00990D78"/>
    <w:rsid w:val="00990E08"/>
    <w:rsid w:val="00990E73"/>
    <w:rsid w:val="00990ECB"/>
    <w:rsid w:val="00990EDF"/>
    <w:rsid w:val="00990F69"/>
    <w:rsid w:val="00991074"/>
    <w:rsid w:val="009910F6"/>
    <w:rsid w:val="0099110A"/>
    <w:rsid w:val="009911A4"/>
    <w:rsid w:val="00991203"/>
    <w:rsid w:val="00991210"/>
    <w:rsid w:val="00991249"/>
    <w:rsid w:val="009913BD"/>
    <w:rsid w:val="009913D4"/>
    <w:rsid w:val="009913E5"/>
    <w:rsid w:val="00991420"/>
    <w:rsid w:val="009914C0"/>
    <w:rsid w:val="0099151F"/>
    <w:rsid w:val="0099156E"/>
    <w:rsid w:val="00991572"/>
    <w:rsid w:val="00991779"/>
    <w:rsid w:val="0099179B"/>
    <w:rsid w:val="009917AF"/>
    <w:rsid w:val="009918D9"/>
    <w:rsid w:val="009918DF"/>
    <w:rsid w:val="00991AD2"/>
    <w:rsid w:val="00991BDB"/>
    <w:rsid w:val="00991C88"/>
    <w:rsid w:val="00991D01"/>
    <w:rsid w:val="00991D57"/>
    <w:rsid w:val="00991E44"/>
    <w:rsid w:val="00991E68"/>
    <w:rsid w:val="00991EC3"/>
    <w:rsid w:val="00991FDC"/>
    <w:rsid w:val="00992071"/>
    <w:rsid w:val="009920FF"/>
    <w:rsid w:val="009921DC"/>
    <w:rsid w:val="0099228C"/>
    <w:rsid w:val="009922CB"/>
    <w:rsid w:val="009922FB"/>
    <w:rsid w:val="00992366"/>
    <w:rsid w:val="00992397"/>
    <w:rsid w:val="009923C3"/>
    <w:rsid w:val="009923F8"/>
    <w:rsid w:val="0099253B"/>
    <w:rsid w:val="00992574"/>
    <w:rsid w:val="009926A1"/>
    <w:rsid w:val="009926B4"/>
    <w:rsid w:val="0099271A"/>
    <w:rsid w:val="0099275F"/>
    <w:rsid w:val="0099279B"/>
    <w:rsid w:val="009927ED"/>
    <w:rsid w:val="0099281E"/>
    <w:rsid w:val="00992852"/>
    <w:rsid w:val="00992864"/>
    <w:rsid w:val="0099287D"/>
    <w:rsid w:val="009928C2"/>
    <w:rsid w:val="009928DD"/>
    <w:rsid w:val="009928DE"/>
    <w:rsid w:val="00992923"/>
    <w:rsid w:val="0099294B"/>
    <w:rsid w:val="0099299A"/>
    <w:rsid w:val="009929AA"/>
    <w:rsid w:val="009929FE"/>
    <w:rsid w:val="00992A6E"/>
    <w:rsid w:val="00992A8B"/>
    <w:rsid w:val="00992ACF"/>
    <w:rsid w:val="00992B43"/>
    <w:rsid w:val="00992B5A"/>
    <w:rsid w:val="00992C4E"/>
    <w:rsid w:val="00992C73"/>
    <w:rsid w:val="00992C82"/>
    <w:rsid w:val="00992CCA"/>
    <w:rsid w:val="00992D31"/>
    <w:rsid w:val="00992D4E"/>
    <w:rsid w:val="00992DC0"/>
    <w:rsid w:val="00992DF5"/>
    <w:rsid w:val="00992E1F"/>
    <w:rsid w:val="00992E80"/>
    <w:rsid w:val="00992EC1"/>
    <w:rsid w:val="00992FE1"/>
    <w:rsid w:val="0099301B"/>
    <w:rsid w:val="00993059"/>
    <w:rsid w:val="009930B0"/>
    <w:rsid w:val="00993111"/>
    <w:rsid w:val="009931F3"/>
    <w:rsid w:val="00993237"/>
    <w:rsid w:val="00993307"/>
    <w:rsid w:val="00993366"/>
    <w:rsid w:val="009933BF"/>
    <w:rsid w:val="0099343F"/>
    <w:rsid w:val="0099347D"/>
    <w:rsid w:val="009934BF"/>
    <w:rsid w:val="0099367F"/>
    <w:rsid w:val="009937A5"/>
    <w:rsid w:val="00993831"/>
    <w:rsid w:val="0099387C"/>
    <w:rsid w:val="009938F2"/>
    <w:rsid w:val="009939FD"/>
    <w:rsid w:val="00993A42"/>
    <w:rsid w:val="00993A80"/>
    <w:rsid w:val="00993AFB"/>
    <w:rsid w:val="00993B91"/>
    <w:rsid w:val="00993C0A"/>
    <w:rsid w:val="00993C74"/>
    <w:rsid w:val="00993C98"/>
    <w:rsid w:val="00993D81"/>
    <w:rsid w:val="00993DBC"/>
    <w:rsid w:val="00993E2F"/>
    <w:rsid w:val="00993F54"/>
    <w:rsid w:val="00993FBE"/>
    <w:rsid w:val="00993FEB"/>
    <w:rsid w:val="00994071"/>
    <w:rsid w:val="00994082"/>
    <w:rsid w:val="009940BB"/>
    <w:rsid w:val="0099416D"/>
    <w:rsid w:val="009941EC"/>
    <w:rsid w:val="009941F9"/>
    <w:rsid w:val="00994262"/>
    <w:rsid w:val="009942B1"/>
    <w:rsid w:val="0099430B"/>
    <w:rsid w:val="00994363"/>
    <w:rsid w:val="00994398"/>
    <w:rsid w:val="0099440C"/>
    <w:rsid w:val="00994415"/>
    <w:rsid w:val="00994449"/>
    <w:rsid w:val="00994467"/>
    <w:rsid w:val="00994474"/>
    <w:rsid w:val="00994482"/>
    <w:rsid w:val="009944E5"/>
    <w:rsid w:val="00994501"/>
    <w:rsid w:val="0099458C"/>
    <w:rsid w:val="009945BF"/>
    <w:rsid w:val="009945D6"/>
    <w:rsid w:val="00994670"/>
    <w:rsid w:val="009946A2"/>
    <w:rsid w:val="00994706"/>
    <w:rsid w:val="00994783"/>
    <w:rsid w:val="0099482B"/>
    <w:rsid w:val="0099486E"/>
    <w:rsid w:val="00994921"/>
    <w:rsid w:val="00994923"/>
    <w:rsid w:val="00994973"/>
    <w:rsid w:val="00994A07"/>
    <w:rsid w:val="00994A5F"/>
    <w:rsid w:val="00994B1E"/>
    <w:rsid w:val="00994B6F"/>
    <w:rsid w:val="00994B7E"/>
    <w:rsid w:val="00994CAA"/>
    <w:rsid w:val="00994D10"/>
    <w:rsid w:val="00994D13"/>
    <w:rsid w:val="00994D43"/>
    <w:rsid w:val="00994D80"/>
    <w:rsid w:val="00994E7B"/>
    <w:rsid w:val="00994F6A"/>
    <w:rsid w:val="00995079"/>
    <w:rsid w:val="009950D2"/>
    <w:rsid w:val="00995160"/>
    <w:rsid w:val="009952FD"/>
    <w:rsid w:val="0099532A"/>
    <w:rsid w:val="009953C2"/>
    <w:rsid w:val="0099548C"/>
    <w:rsid w:val="009954D7"/>
    <w:rsid w:val="009955DF"/>
    <w:rsid w:val="00995673"/>
    <w:rsid w:val="009956CA"/>
    <w:rsid w:val="0099571C"/>
    <w:rsid w:val="0099572E"/>
    <w:rsid w:val="00995784"/>
    <w:rsid w:val="00995814"/>
    <w:rsid w:val="009959B5"/>
    <w:rsid w:val="009959B7"/>
    <w:rsid w:val="00995A17"/>
    <w:rsid w:val="00995A7C"/>
    <w:rsid w:val="00995AF8"/>
    <w:rsid w:val="00995DF7"/>
    <w:rsid w:val="00995E28"/>
    <w:rsid w:val="00995E59"/>
    <w:rsid w:val="00995E6F"/>
    <w:rsid w:val="00995E8E"/>
    <w:rsid w:val="00995EBC"/>
    <w:rsid w:val="00995ED1"/>
    <w:rsid w:val="00996027"/>
    <w:rsid w:val="009960B1"/>
    <w:rsid w:val="00996201"/>
    <w:rsid w:val="0099624C"/>
    <w:rsid w:val="009963B8"/>
    <w:rsid w:val="009963FC"/>
    <w:rsid w:val="00996444"/>
    <w:rsid w:val="0099653C"/>
    <w:rsid w:val="00996565"/>
    <w:rsid w:val="00996593"/>
    <w:rsid w:val="0099666A"/>
    <w:rsid w:val="009966BD"/>
    <w:rsid w:val="0099677E"/>
    <w:rsid w:val="009967F4"/>
    <w:rsid w:val="00996835"/>
    <w:rsid w:val="00996843"/>
    <w:rsid w:val="009968AF"/>
    <w:rsid w:val="009968B1"/>
    <w:rsid w:val="009968D3"/>
    <w:rsid w:val="009968D5"/>
    <w:rsid w:val="00996903"/>
    <w:rsid w:val="0099696F"/>
    <w:rsid w:val="009969D9"/>
    <w:rsid w:val="009969F0"/>
    <w:rsid w:val="00996A28"/>
    <w:rsid w:val="00996B0A"/>
    <w:rsid w:val="00996D88"/>
    <w:rsid w:val="00996E24"/>
    <w:rsid w:val="00996EB5"/>
    <w:rsid w:val="00996EE3"/>
    <w:rsid w:val="00996EFC"/>
    <w:rsid w:val="00996EFF"/>
    <w:rsid w:val="00996F1C"/>
    <w:rsid w:val="00996F9A"/>
    <w:rsid w:val="00996FDF"/>
    <w:rsid w:val="0099701D"/>
    <w:rsid w:val="0099701E"/>
    <w:rsid w:val="00997052"/>
    <w:rsid w:val="0099712B"/>
    <w:rsid w:val="00997169"/>
    <w:rsid w:val="009971AE"/>
    <w:rsid w:val="00997212"/>
    <w:rsid w:val="00997279"/>
    <w:rsid w:val="009972B1"/>
    <w:rsid w:val="0099731E"/>
    <w:rsid w:val="00997321"/>
    <w:rsid w:val="0099736B"/>
    <w:rsid w:val="00997391"/>
    <w:rsid w:val="0099739C"/>
    <w:rsid w:val="009974BF"/>
    <w:rsid w:val="009974D9"/>
    <w:rsid w:val="00997517"/>
    <w:rsid w:val="00997564"/>
    <w:rsid w:val="009975E4"/>
    <w:rsid w:val="00997609"/>
    <w:rsid w:val="00997693"/>
    <w:rsid w:val="0099772E"/>
    <w:rsid w:val="0099785B"/>
    <w:rsid w:val="00997952"/>
    <w:rsid w:val="00997AD7"/>
    <w:rsid w:val="00997AFC"/>
    <w:rsid w:val="00997C03"/>
    <w:rsid w:val="00997C25"/>
    <w:rsid w:val="00997C76"/>
    <w:rsid w:val="00997C92"/>
    <w:rsid w:val="00997CCC"/>
    <w:rsid w:val="00997CF4"/>
    <w:rsid w:val="00997CF6"/>
    <w:rsid w:val="00997D4C"/>
    <w:rsid w:val="00997E69"/>
    <w:rsid w:val="00997F26"/>
    <w:rsid w:val="00997F3A"/>
    <w:rsid w:val="00997F59"/>
    <w:rsid w:val="00997FD1"/>
    <w:rsid w:val="009A0005"/>
    <w:rsid w:val="009A01AA"/>
    <w:rsid w:val="009A020D"/>
    <w:rsid w:val="009A0210"/>
    <w:rsid w:val="009A0281"/>
    <w:rsid w:val="009A02AA"/>
    <w:rsid w:val="009A03F1"/>
    <w:rsid w:val="009A04E7"/>
    <w:rsid w:val="009A051D"/>
    <w:rsid w:val="009A079D"/>
    <w:rsid w:val="009A07B2"/>
    <w:rsid w:val="009A07B8"/>
    <w:rsid w:val="009A07BF"/>
    <w:rsid w:val="009A0805"/>
    <w:rsid w:val="009A080C"/>
    <w:rsid w:val="009A08A3"/>
    <w:rsid w:val="009A08D3"/>
    <w:rsid w:val="009A0925"/>
    <w:rsid w:val="009A0927"/>
    <w:rsid w:val="009A092E"/>
    <w:rsid w:val="009A0955"/>
    <w:rsid w:val="009A0AFC"/>
    <w:rsid w:val="009A0B05"/>
    <w:rsid w:val="009A0B17"/>
    <w:rsid w:val="009A0B6E"/>
    <w:rsid w:val="009A0BB7"/>
    <w:rsid w:val="009A0C09"/>
    <w:rsid w:val="009A0C13"/>
    <w:rsid w:val="009A0C22"/>
    <w:rsid w:val="009A0C73"/>
    <w:rsid w:val="009A0C95"/>
    <w:rsid w:val="009A0D36"/>
    <w:rsid w:val="009A0DDA"/>
    <w:rsid w:val="009A0E86"/>
    <w:rsid w:val="009A0ECC"/>
    <w:rsid w:val="009A0F26"/>
    <w:rsid w:val="009A0F4F"/>
    <w:rsid w:val="009A0F74"/>
    <w:rsid w:val="009A1039"/>
    <w:rsid w:val="009A10B7"/>
    <w:rsid w:val="009A10BF"/>
    <w:rsid w:val="009A10EC"/>
    <w:rsid w:val="009A111B"/>
    <w:rsid w:val="009A112F"/>
    <w:rsid w:val="009A1162"/>
    <w:rsid w:val="009A1171"/>
    <w:rsid w:val="009A1204"/>
    <w:rsid w:val="009A127F"/>
    <w:rsid w:val="009A12BE"/>
    <w:rsid w:val="009A12E2"/>
    <w:rsid w:val="009A130C"/>
    <w:rsid w:val="009A132C"/>
    <w:rsid w:val="009A1433"/>
    <w:rsid w:val="009A14DA"/>
    <w:rsid w:val="009A1518"/>
    <w:rsid w:val="009A157F"/>
    <w:rsid w:val="009A15B0"/>
    <w:rsid w:val="009A15CC"/>
    <w:rsid w:val="009A164C"/>
    <w:rsid w:val="009A16B2"/>
    <w:rsid w:val="009A16FE"/>
    <w:rsid w:val="009A172D"/>
    <w:rsid w:val="009A17E0"/>
    <w:rsid w:val="009A182E"/>
    <w:rsid w:val="009A18E9"/>
    <w:rsid w:val="009A18F7"/>
    <w:rsid w:val="009A1906"/>
    <w:rsid w:val="009A192B"/>
    <w:rsid w:val="009A1AF8"/>
    <w:rsid w:val="009A1B3E"/>
    <w:rsid w:val="009A1B8A"/>
    <w:rsid w:val="009A1B93"/>
    <w:rsid w:val="009A1B9B"/>
    <w:rsid w:val="009A1C76"/>
    <w:rsid w:val="009A1C88"/>
    <w:rsid w:val="009A1CCA"/>
    <w:rsid w:val="009A1D80"/>
    <w:rsid w:val="009A1E58"/>
    <w:rsid w:val="009A1F03"/>
    <w:rsid w:val="009A1F9E"/>
    <w:rsid w:val="009A2010"/>
    <w:rsid w:val="009A202E"/>
    <w:rsid w:val="009A207C"/>
    <w:rsid w:val="009A20A7"/>
    <w:rsid w:val="009A20F5"/>
    <w:rsid w:val="009A215B"/>
    <w:rsid w:val="009A224B"/>
    <w:rsid w:val="009A22C7"/>
    <w:rsid w:val="009A22EA"/>
    <w:rsid w:val="009A233F"/>
    <w:rsid w:val="009A23EC"/>
    <w:rsid w:val="009A2488"/>
    <w:rsid w:val="009A248F"/>
    <w:rsid w:val="009A26AE"/>
    <w:rsid w:val="009A271E"/>
    <w:rsid w:val="009A27E3"/>
    <w:rsid w:val="009A27E7"/>
    <w:rsid w:val="009A280A"/>
    <w:rsid w:val="009A283B"/>
    <w:rsid w:val="009A28A0"/>
    <w:rsid w:val="009A28AF"/>
    <w:rsid w:val="009A28D0"/>
    <w:rsid w:val="009A2992"/>
    <w:rsid w:val="009A29AA"/>
    <w:rsid w:val="009A29DD"/>
    <w:rsid w:val="009A29E1"/>
    <w:rsid w:val="009A29EE"/>
    <w:rsid w:val="009A2A02"/>
    <w:rsid w:val="009A2A35"/>
    <w:rsid w:val="009A2A3C"/>
    <w:rsid w:val="009A2B04"/>
    <w:rsid w:val="009A2B1A"/>
    <w:rsid w:val="009A2BE6"/>
    <w:rsid w:val="009A2C09"/>
    <w:rsid w:val="009A2CA2"/>
    <w:rsid w:val="009A2D6B"/>
    <w:rsid w:val="009A2DCE"/>
    <w:rsid w:val="009A2DCF"/>
    <w:rsid w:val="009A2E31"/>
    <w:rsid w:val="009A3146"/>
    <w:rsid w:val="009A3245"/>
    <w:rsid w:val="009A3254"/>
    <w:rsid w:val="009A3265"/>
    <w:rsid w:val="009A3337"/>
    <w:rsid w:val="009A33AE"/>
    <w:rsid w:val="009A3410"/>
    <w:rsid w:val="009A346F"/>
    <w:rsid w:val="009A353B"/>
    <w:rsid w:val="009A3579"/>
    <w:rsid w:val="009A35C6"/>
    <w:rsid w:val="009A36B8"/>
    <w:rsid w:val="009A3723"/>
    <w:rsid w:val="009A377E"/>
    <w:rsid w:val="009A3821"/>
    <w:rsid w:val="009A384B"/>
    <w:rsid w:val="009A38D4"/>
    <w:rsid w:val="009A3B44"/>
    <w:rsid w:val="009A3B47"/>
    <w:rsid w:val="009A3B5E"/>
    <w:rsid w:val="009A3C25"/>
    <w:rsid w:val="009A3C2E"/>
    <w:rsid w:val="009A3C57"/>
    <w:rsid w:val="009A3C74"/>
    <w:rsid w:val="009A3C82"/>
    <w:rsid w:val="009A3CB8"/>
    <w:rsid w:val="009A3CCC"/>
    <w:rsid w:val="009A3D77"/>
    <w:rsid w:val="009A3F2E"/>
    <w:rsid w:val="009A3F76"/>
    <w:rsid w:val="009A3F9E"/>
    <w:rsid w:val="009A40E6"/>
    <w:rsid w:val="009A41C7"/>
    <w:rsid w:val="009A425F"/>
    <w:rsid w:val="009A42B5"/>
    <w:rsid w:val="009A433B"/>
    <w:rsid w:val="009A4381"/>
    <w:rsid w:val="009A449C"/>
    <w:rsid w:val="009A44D7"/>
    <w:rsid w:val="009A44D9"/>
    <w:rsid w:val="009A44DF"/>
    <w:rsid w:val="009A4526"/>
    <w:rsid w:val="009A4579"/>
    <w:rsid w:val="009A4611"/>
    <w:rsid w:val="009A465E"/>
    <w:rsid w:val="009A4679"/>
    <w:rsid w:val="009A476E"/>
    <w:rsid w:val="009A47B6"/>
    <w:rsid w:val="009A4899"/>
    <w:rsid w:val="009A4911"/>
    <w:rsid w:val="009A4912"/>
    <w:rsid w:val="009A4933"/>
    <w:rsid w:val="009A4989"/>
    <w:rsid w:val="009A49B2"/>
    <w:rsid w:val="009A4BFA"/>
    <w:rsid w:val="009A4C2D"/>
    <w:rsid w:val="009A4C32"/>
    <w:rsid w:val="009A4C87"/>
    <w:rsid w:val="009A4D56"/>
    <w:rsid w:val="009A4D6D"/>
    <w:rsid w:val="009A4DBB"/>
    <w:rsid w:val="009A4DE5"/>
    <w:rsid w:val="009A4E4A"/>
    <w:rsid w:val="009A4E68"/>
    <w:rsid w:val="009A4ECC"/>
    <w:rsid w:val="009A5018"/>
    <w:rsid w:val="009A509B"/>
    <w:rsid w:val="009A5141"/>
    <w:rsid w:val="009A5183"/>
    <w:rsid w:val="009A51CD"/>
    <w:rsid w:val="009A522D"/>
    <w:rsid w:val="009A5295"/>
    <w:rsid w:val="009A52A8"/>
    <w:rsid w:val="009A5379"/>
    <w:rsid w:val="009A53DD"/>
    <w:rsid w:val="009A5407"/>
    <w:rsid w:val="009A54AF"/>
    <w:rsid w:val="009A54DB"/>
    <w:rsid w:val="009A5594"/>
    <w:rsid w:val="009A5640"/>
    <w:rsid w:val="009A5674"/>
    <w:rsid w:val="009A56C7"/>
    <w:rsid w:val="009A56E9"/>
    <w:rsid w:val="009A5855"/>
    <w:rsid w:val="009A5889"/>
    <w:rsid w:val="009A58C3"/>
    <w:rsid w:val="009A592B"/>
    <w:rsid w:val="009A5B83"/>
    <w:rsid w:val="009A5B84"/>
    <w:rsid w:val="009A5C07"/>
    <w:rsid w:val="009A5C1B"/>
    <w:rsid w:val="009A5D8D"/>
    <w:rsid w:val="009A5EB1"/>
    <w:rsid w:val="009A5EB7"/>
    <w:rsid w:val="009A5EDD"/>
    <w:rsid w:val="009A5F14"/>
    <w:rsid w:val="009A5F51"/>
    <w:rsid w:val="009A5F90"/>
    <w:rsid w:val="009A60D6"/>
    <w:rsid w:val="009A61CB"/>
    <w:rsid w:val="009A61DD"/>
    <w:rsid w:val="009A6228"/>
    <w:rsid w:val="009A6361"/>
    <w:rsid w:val="009A64B4"/>
    <w:rsid w:val="009A6503"/>
    <w:rsid w:val="009A6514"/>
    <w:rsid w:val="009A65E1"/>
    <w:rsid w:val="009A663D"/>
    <w:rsid w:val="009A6733"/>
    <w:rsid w:val="009A675F"/>
    <w:rsid w:val="009A6797"/>
    <w:rsid w:val="009A6839"/>
    <w:rsid w:val="009A6842"/>
    <w:rsid w:val="009A687D"/>
    <w:rsid w:val="009A68A1"/>
    <w:rsid w:val="009A68E6"/>
    <w:rsid w:val="009A68F8"/>
    <w:rsid w:val="009A6968"/>
    <w:rsid w:val="009A69B0"/>
    <w:rsid w:val="009A69E6"/>
    <w:rsid w:val="009A6AA1"/>
    <w:rsid w:val="009A6B53"/>
    <w:rsid w:val="009A6BBF"/>
    <w:rsid w:val="009A6BD9"/>
    <w:rsid w:val="009A6BEB"/>
    <w:rsid w:val="009A6C0F"/>
    <w:rsid w:val="009A6D40"/>
    <w:rsid w:val="009A6D77"/>
    <w:rsid w:val="009A6DCA"/>
    <w:rsid w:val="009A6E5E"/>
    <w:rsid w:val="009A6F51"/>
    <w:rsid w:val="009A6F5C"/>
    <w:rsid w:val="009A70DB"/>
    <w:rsid w:val="009A7144"/>
    <w:rsid w:val="009A7222"/>
    <w:rsid w:val="009A725E"/>
    <w:rsid w:val="009A72D2"/>
    <w:rsid w:val="009A72D3"/>
    <w:rsid w:val="009A72E4"/>
    <w:rsid w:val="009A737C"/>
    <w:rsid w:val="009A73EF"/>
    <w:rsid w:val="009A7407"/>
    <w:rsid w:val="009A74EE"/>
    <w:rsid w:val="009A74F2"/>
    <w:rsid w:val="009A7567"/>
    <w:rsid w:val="009A75A3"/>
    <w:rsid w:val="009A7601"/>
    <w:rsid w:val="009A766B"/>
    <w:rsid w:val="009A76D3"/>
    <w:rsid w:val="009A76E8"/>
    <w:rsid w:val="009A76EA"/>
    <w:rsid w:val="009A7742"/>
    <w:rsid w:val="009A7793"/>
    <w:rsid w:val="009A77CA"/>
    <w:rsid w:val="009A77D9"/>
    <w:rsid w:val="009A784E"/>
    <w:rsid w:val="009A78DF"/>
    <w:rsid w:val="009A796F"/>
    <w:rsid w:val="009A79E8"/>
    <w:rsid w:val="009A7A4B"/>
    <w:rsid w:val="009A7A53"/>
    <w:rsid w:val="009A7E4E"/>
    <w:rsid w:val="009A7E91"/>
    <w:rsid w:val="009A7FC1"/>
    <w:rsid w:val="009A7FDD"/>
    <w:rsid w:val="009B000E"/>
    <w:rsid w:val="009B008D"/>
    <w:rsid w:val="009B00E3"/>
    <w:rsid w:val="009B0104"/>
    <w:rsid w:val="009B02D0"/>
    <w:rsid w:val="009B03A9"/>
    <w:rsid w:val="009B03EA"/>
    <w:rsid w:val="009B0408"/>
    <w:rsid w:val="009B058F"/>
    <w:rsid w:val="009B05E7"/>
    <w:rsid w:val="009B0643"/>
    <w:rsid w:val="009B0670"/>
    <w:rsid w:val="009B0683"/>
    <w:rsid w:val="009B06E5"/>
    <w:rsid w:val="009B07FC"/>
    <w:rsid w:val="009B0820"/>
    <w:rsid w:val="009B088F"/>
    <w:rsid w:val="009B0944"/>
    <w:rsid w:val="009B0947"/>
    <w:rsid w:val="009B094A"/>
    <w:rsid w:val="009B0997"/>
    <w:rsid w:val="009B09AA"/>
    <w:rsid w:val="009B0A33"/>
    <w:rsid w:val="009B0A5A"/>
    <w:rsid w:val="009B0AFC"/>
    <w:rsid w:val="009B0AFF"/>
    <w:rsid w:val="009B0B3B"/>
    <w:rsid w:val="009B0B80"/>
    <w:rsid w:val="009B0C79"/>
    <w:rsid w:val="009B0CC9"/>
    <w:rsid w:val="009B0CCA"/>
    <w:rsid w:val="009B0D2D"/>
    <w:rsid w:val="009B0D42"/>
    <w:rsid w:val="009B0DCE"/>
    <w:rsid w:val="009B0E0C"/>
    <w:rsid w:val="009B0E63"/>
    <w:rsid w:val="009B0F84"/>
    <w:rsid w:val="009B1051"/>
    <w:rsid w:val="009B1058"/>
    <w:rsid w:val="009B1168"/>
    <w:rsid w:val="009B124B"/>
    <w:rsid w:val="009B12EE"/>
    <w:rsid w:val="009B1371"/>
    <w:rsid w:val="009B13EA"/>
    <w:rsid w:val="009B1405"/>
    <w:rsid w:val="009B1410"/>
    <w:rsid w:val="009B143E"/>
    <w:rsid w:val="009B147C"/>
    <w:rsid w:val="009B14D7"/>
    <w:rsid w:val="009B1516"/>
    <w:rsid w:val="009B151E"/>
    <w:rsid w:val="009B158F"/>
    <w:rsid w:val="009B15BF"/>
    <w:rsid w:val="009B15F8"/>
    <w:rsid w:val="009B1640"/>
    <w:rsid w:val="009B164C"/>
    <w:rsid w:val="009B1692"/>
    <w:rsid w:val="009B1697"/>
    <w:rsid w:val="009B16E5"/>
    <w:rsid w:val="009B1738"/>
    <w:rsid w:val="009B179A"/>
    <w:rsid w:val="009B181C"/>
    <w:rsid w:val="009B1893"/>
    <w:rsid w:val="009B1919"/>
    <w:rsid w:val="009B1933"/>
    <w:rsid w:val="009B19B0"/>
    <w:rsid w:val="009B19F0"/>
    <w:rsid w:val="009B1A9A"/>
    <w:rsid w:val="009B1BA7"/>
    <w:rsid w:val="009B1C95"/>
    <w:rsid w:val="009B1CEB"/>
    <w:rsid w:val="009B1DC7"/>
    <w:rsid w:val="009B1E84"/>
    <w:rsid w:val="009B1ED6"/>
    <w:rsid w:val="009B1EF0"/>
    <w:rsid w:val="009B1F18"/>
    <w:rsid w:val="009B1F24"/>
    <w:rsid w:val="009B1F56"/>
    <w:rsid w:val="009B2067"/>
    <w:rsid w:val="009B206B"/>
    <w:rsid w:val="009B20F4"/>
    <w:rsid w:val="009B2111"/>
    <w:rsid w:val="009B211E"/>
    <w:rsid w:val="009B220A"/>
    <w:rsid w:val="009B221F"/>
    <w:rsid w:val="009B22DA"/>
    <w:rsid w:val="009B22F2"/>
    <w:rsid w:val="009B2342"/>
    <w:rsid w:val="009B23EE"/>
    <w:rsid w:val="009B243B"/>
    <w:rsid w:val="009B244D"/>
    <w:rsid w:val="009B24E0"/>
    <w:rsid w:val="009B251E"/>
    <w:rsid w:val="009B253B"/>
    <w:rsid w:val="009B25B6"/>
    <w:rsid w:val="009B263A"/>
    <w:rsid w:val="009B26B9"/>
    <w:rsid w:val="009B26CB"/>
    <w:rsid w:val="009B2715"/>
    <w:rsid w:val="009B2809"/>
    <w:rsid w:val="009B2824"/>
    <w:rsid w:val="009B284F"/>
    <w:rsid w:val="009B292F"/>
    <w:rsid w:val="009B29D4"/>
    <w:rsid w:val="009B2A0D"/>
    <w:rsid w:val="009B2ADE"/>
    <w:rsid w:val="009B2B17"/>
    <w:rsid w:val="009B2B60"/>
    <w:rsid w:val="009B2B8D"/>
    <w:rsid w:val="009B2BB7"/>
    <w:rsid w:val="009B2BF2"/>
    <w:rsid w:val="009B2D04"/>
    <w:rsid w:val="009B2DF9"/>
    <w:rsid w:val="009B2DFF"/>
    <w:rsid w:val="009B2E5B"/>
    <w:rsid w:val="009B2E71"/>
    <w:rsid w:val="009B2E9D"/>
    <w:rsid w:val="009B2EA0"/>
    <w:rsid w:val="009B2EC5"/>
    <w:rsid w:val="009B2EDC"/>
    <w:rsid w:val="009B2EE2"/>
    <w:rsid w:val="009B2F45"/>
    <w:rsid w:val="009B2FE6"/>
    <w:rsid w:val="009B3056"/>
    <w:rsid w:val="009B3199"/>
    <w:rsid w:val="009B31DE"/>
    <w:rsid w:val="009B3235"/>
    <w:rsid w:val="009B32E9"/>
    <w:rsid w:val="009B33A4"/>
    <w:rsid w:val="009B33E7"/>
    <w:rsid w:val="009B33E8"/>
    <w:rsid w:val="009B34AE"/>
    <w:rsid w:val="009B363C"/>
    <w:rsid w:val="009B3641"/>
    <w:rsid w:val="009B3655"/>
    <w:rsid w:val="009B379D"/>
    <w:rsid w:val="009B3811"/>
    <w:rsid w:val="009B3841"/>
    <w:rsid w:val="009B38C3"/>
    <w:rsid w:val="009B3A31"/>
    <w:rsid w:val="009B3A92"/>
    <w:rsid w:val="009B3AAF"/>
    <w:rsid w:val="009B3CC2"/>
    <w:rsid w:val="009B3DB2"/>
    <w:rsid w:val="009B3FA6"/>
    <w:rsid w:val="009B3FAD"/>
    <w:rsid w:val="009B3FDC"/>
    <w:rsid w:val="009B3FEB"/>
    <w:rsid w:val="009B4057"/>
    <w:rsid w:val="009B40E3"/>
    <w:rsid w:val="009B410A"/>
    <w:rsid w:val="009B4340"/>
    <w:rsid w:val="009B438F"/>
    <w:rsid w:val="009B43A9"/>
    <w:rsid w:val="009B4428"/>
    <w:rsid w:val="009B444D"/>
    <w:rsid w:val="009B4494"/>
    <w:rsid w:val="009B44B4"/>
    <w:rsid w:val="009B4599"/>
    <w:rsid w:val="009B45A0"/>
    <w:rsid w:val="009B46C5"/>
    <w:rsid w:val="009B46F2"/>
    <w:rsid w:val="009B46FA"/>
    <w:rsid w:val="009B470C"/>
    <w:rsid w:val="009B4780"/>
    <w:rsid w:val="009B4793"/>
    <w:rsid w:val="009B47AD"/>
    <w:rsid w:val="009B47EB"/>
    <w:rsid w:val="009B492A"/>
    <w:rsid w:val="009B4A37"/>
    <w:rsid w:val="009B4A3A"/>
    <w:rsid w:val="009B4A84"/>
    <w:rsid w:val="009B4AB8"/>
    <w:rsid w:val="009B4C47"/>
    <w:rsid w:val="009B4C8B"/>
    <w:rsid w:val="009B4CB7"/>
    <w:rsid w:val="009B4D13"/>
    <w:rsid w:val="009B4E11"/>
    <w:rsid w:val="009B4EC4"/>
    <w:rsid w:val="009B4ECB"/>
    <w:rsid w:val="009B4EEB"/>
    <w:rsid w:val="009B4EFB"/>
    <w:rsid w:val="009B4F90"/>
    <w:rsid w:val="009B4FB5"/>
    <w:rsid w:val="009B5099"/>
    <w:rsid w:val="009B50FC"/>
    <w:rsid w:val="009B517C"/>
    <w:rsid w:val="009B517D"/>
    <w:rsid w:val="009B5249"/>
    <w:rsid w:val="009B5293"/>
    <w:rsid w:val="009B52C0"/>
    <w:rsid w:val="009B52E0"/>
    <w:rsid w:val="009B5360"/>
    <w:rsid w:val="009B5371"/>
    <w:rsid w:val="009B539E"/>
    <w:rsid w:val="009B53C6"/>
    <w:rsid w:val="009B5419"/>
    <w:rsid w:val="009B5455"/>
    <w:rsid w:val="009B5476"/>
    <w:rsid w:val="009B549F"/>
    <w:rsid w:val="009B5506"/>
    <w:rsid w:val="009B55A1"/>
    <w:rsid w:val="009B55E9"/>
    <w:rsid w:val="009B5643"/>
    <w:rsid w:val="009B575A"/>
    <w:rsid w:val="009B579A"/>
    <w:rsid w:val="009B5836"/>
    <w:rsid w:val="009B586C"/>
    <w:rsid w:val="009B59BF"/>
    <w:rsid w:val="009B5A2F"/>
    <w:rsid w:val="009B5A43"/>
    <w:rsid w:val="009B5AA3"/>
    <w:rsid w:val="009B5AAD"/>
    <w:rsid w:val="009B5B0A"/>
    <w:rsid w:val="009B5B79"/>
    <w:rsid w:val="009B5BBD"/>
    <w:rsid w:val="009B5C0E"/>
    <w:rsid w:val="009B5D07"/>
    <w:rsid w:val="009B5D3C"/>
    <w:rsid w:val="009B5E9D"/>
    <w:rsid w:val="009B5EBD"/>
    <w:rsid w:val="009B5F03"/>
    <w:rsid w:val="009B5F3B"/>
    <w:rsid w:val="009B6052"/>
    <w:rsid w:val="009B609A"/>
    <w:rsid w:val="009B60D8"/>
    <w:rsid w:val="009B61A2"/>
    <w:rsid w:val="009B61F2"/>
    <w:rsid w:val="009B62A7"/>
    <w:rsid w:val="009B62B9"/>
    <w:rsid w:val="009B6445"/>
    <w:rsid w:val="009B6463"/>
    <w:rsid w:val="009B6483"/>
    <w:rsid w:val="009B6493"/>
    <w:rsid w:val="009B64C1"/>
    <w:rsid w:val="009B650F"/>
    <w:rsid w:val="009B6545"/>
    <w:rsid w:val="009B658B"/>
    <w:rsid w:val="009B658C"/>
    <w:rsid w:val="009B65CB"/>
    <w:rsid w:val="009B664C"/>
    <w:rsid w:val="009B66A9"/>
    <w:rsid w:val="009B67EB"/>
    <w:rsid w:val="009B6816"/>
    <w:rsid w:val="009B6885"/>
    <w:rsid w:val="009B68F0"/>
    <w:rsid w:val="009B6900"/>
    <w:rsid w:val="009B690F"/>
    <w:rsid w:val="009B698A"/>
    <w:rsid w:val="009B69CE"/>
    <w:rsid w:val="009B6A2C"/>
    <w:rsid w:val="009B6A62"/>
    <w:rsid w:val="009B6A81"/>
    <w:rsid w:val="009B6AEA"/>
    <w:rsid w:val="009B6BBD"/>
    <w:rsid w:val="009B6D5C"/>
    <w:rsid w:val="009B6E85"/>
    <w:rsid w:val="009B6E88"/>
    <w:rsid w:val="009B6E8A"/>
    <w:rsid w:val="009B7000"/>
    <w:rsid w:val="009B707A"/>
    <w:rsid w:val="009B709D"/>
    <w:rsid w:val="009B70D0"/>
    <w:rsid w:val="009B711F"/>
    <w:rsid w:val="009B7153"/>
    <w:rsid w:val="009B717E"/>
    <w:rsid w:val="009B71AC"/>
    <w:rsid w:val="009B71CD"/>
    <w:rsid w:val="009B71CF"/>
    <w:rsid w:val="009B726F"/>
    <w:rsid w:val="009B727F"/>
    <w:rsid w:val="009B72CA"/>
    <w:rsid w:val="009B72CE"/>
    <w:rsid w:val="009B72DB"/>
    <w:rsid w:val="009B72F5"/>
    <w:rsid w:val="009B7317"/>
    <w:rsid w:val="009B73FC"/>
    <w:rsid w:val="009B7506"/>
    <w:rsid w:val="009B75AC"/>
    <w:rsid w:val="009B7666"/>
    <w:rsid w:val="009B767C"/>
    <w:rsid w:val="009B775D"/>
    <w:rsid w:val="009B784B"/>
    <w:rsid w:val="009B791F"/>
    <w:rsid w:val="009B7BBD"/>
    <w:rsid w:val="009B7C87"/>
    <w:rsid w:val="009B7C89"/>
    <w:rsid w:val="009B7C8E"/>
    <w:rsid w:val="009B7D44"/>
    <w:rsid w:val="009B7D86"/>
    <w:rsid w:val="009B7DAF"/>
    <w:rsid w:val="009B7DD6"/>
    <w:rsid w:val="009B7E1B"/>
    <w:rsid w:val="009B7E38"/>
    <w:rsid w:val="009B7F46"/>
    <w:rsid w:val="009C00AE"/>
    <w:rsid w:val="009C00D9"/>
    <w:rsid w:val="009C0142"/>
    <w:rsid w:val="009C014A"/>
    <w:rsid w:val="009C028E"/>
    <w:rsid w:val="009C02B4"/>
    <w:rsid w:val="009C0526"/>
    <w:rsid w:val="009C0540"/>
    <w:rsid w:val="009C0580"/>
    <w:rsid w:val="009C0590"/>
    <w:rsid w:val="009C05AA"/>
    <w:rsid w:val="009C05F7"/>
    <w:rsid w:val="009C0603"/>
    <w:rsid w:val="009C065D"/>
    <w:rsid w:val="009C0750"/>
    <w:rsid w:val="009C083B"/>
    <w:rsid w:val="009C0854"/>
    <w:rsid w:val="009C08F7"/>
    <w:rsid w:val="009C0A33"/>
    <w:rsid w:val="009C0AA8"/>
    <w:rsid w:val="009C0ADB"/>
    <w:rsid w:val="009C0B9F"/>
    <w:rsid w:val="009C0BF7"/>
    <w:rsid w:val="009C0C68"/>
    <w:rsid w:val="009C0CDF"/>
    <w:rsid w:val="009C0D79"/>
    <w:rsid w:val="009C0DAD"/>
    <w:rsid w:val="009C0DD0"/>
    <w:rsid w:val="009C0E30"/>
    <w:rsid w:val="009C0E6F"/>
    <w:rsid w:val="009C104D"/>
    <w:rsid w:val="009C10BA"/>
    <w:rsid w:val="009C10F1"/>
    <w:rsid w:val="009C115B"/>
    <w:rsid w:val="009C116D"/>
    <w:rsid w:val="009C12CB"/>
    <w:rsid w:val="009C1330"/>
    <w:rsid w:val="009C13ED"/>
    <w:rsid w:val="009C1415"/>
    <w:rsid w:val="009C1469"/>
    <w:rsid w:val="009C1550"/>
    <w:rsid w:val="009C1591"/>
    <w:rsid w:val="009C1596"/>
    <w:rsid w:val="009C15FA"/>
    <w:rsid w:val="009C16D9"/>
    <w:rsid w:val="009C1766"/>
    <w:rsid w:val="009C17E5"/>
    <w:rsid w:val="009C1881"/>
    <w:rsid w:val="009C18D5"/>
    <w:rsid w:val="009C191D"/>
    <w:rsid w:val="009C1923"/>
    <w:rsid w:val="009C197B"/>
    <w:rsid w:val="009C198B"/>
    <w:rsid w:val="009C19EF"/>
    <w:rsid w:val="009C1A0B"/>
    <w:rsid w:val="009C1A16"/>
    <w:rsid w:val="009C1A29"/>
    <w:rsid w:val="009C1A99"/>
    <w:rsid w:val="009C1B33"/>
    <w:rsid w:val="009C1B73"/>
    <w:rsid w:val="009C1B7E"/>
    <w:rsid w:val="009C1B97"/>
    <w:rsid w:val="009C1C51"/>
    <w:rsid w:val="009C1D0D"/>
    <w:rsid w:val="009C1D11"/>
    <w:rsid w:val="009C1E2B"/>
    <w:rsid w:val="009C1E63"/>
    <w:rsid w:val="009C1E7F"/>
    <w:rsid w:val="009C1FBB"/>
    <w:rsid w:val="009C206F"/>
    <w:rsid w:val="009C20CE"/>
    <w:rsid w:val="009C2145"/>
    <w:rsid w:val="009C2192"/>
    <w:rsid w:val="009C21E0"/>
    <w:rsid w:val="009C2233"/>
    <w:rsid w:val="009C2275"/>
    <w:rsid w:val="009C22EC"/>
    <w:rsid w:val="009C2398"/>
    <w:rsid w:val="009C23B6"/>
    <w:rsid w:val="009C23BC"/>
    <w:rsid w:val="009C23BD"/>
    <w:rsid w:val="009C2443"/>
    <w:rsid w:val="009C256D"/>
    <w:rsid w:val="009C25D2"/>
    <w:rsid w:val="009C26A7"/>
    <w:rsid w:val="009C2711"/>
    <w:rsid w:val="009C2839"/>
    <w:rsid w:val="009C293A"/>
    <w:rsid w:val="009C2943"/>
    <w:rsid w:val="009C29F5"/>
    <w:rsid w:val="009C2A7B"/>
    <w:rsid w:val="009C2A81"/>
    <w:rsid w:val="009C2B50"/>
    <w:rsid w:val="009C2B94"/>
    <w:rsid w:val="009C2B98"/>
    <w:rsid w:val="009C2D23"/>
    <w:rsid w:val="009C2D37"/>
    <w:rsid w:val="009C2D79"/>
    <w:rsid w:val="009C2DF4"/>
    <w:rsid w:val="009C2FCA"/>
    <w:rsid w:val="009C2FF6"/>
    <w:rsid w:val="009C30A9"/>
    <w:rsid w:val="009C30B5"/>
    <w:rsid w:val="009C30D0"/>
    <w:rsid w:val="009C312A"/>
    <w:rsid w:val="009C31C1"/>
    <w:rsid w:val="009C3234"/>
    <w:rsid w:val="009C3267"/>
    <w:rsid w:val="009C32DD"/>
    <w:rsid w:val="009C33A6"/>
    <w:rsid w:val="009C33B6"/>
    <w:rsid w:val="009C33FF"/>
    <w:rsid w:val="009C34AC"/>
    <w:rsid w:val="009C34FD"/>
    <w:rsid w:val="009C3522"/>
    <w:rsid w:val="009C3525"/>
    <w:rsid w:val="009C355B"/>
    <w:rsid w:val="009C36CA"/>
    <w:rsid w:val="009C36DD"/>
    <w:rsid w:val="009C3707"/>
    <w:rsid w:val="009C37A9"/>
    <w:rsid w:val="009C386A"/>
    <w:rsid w:val="009C38C6"/>
    <w:rsid w:val="009C398E"/>
    <w:rsid w:val="009C39A7"/>
    <w:rsid w:val="009C39B4"/>
    <w:rsid w:val="009C3A1C"/>
    <w:rsid w:val="009C3AE8"/>
    <w:rsid w:val="009C3B11"/>
    <w:rsid w:val="009C3B79"/>
    <w:rsid w:val="009C3BA0"/>
    <w:rsid w:val="009C3BF8"/>
    <w:rsid w:val="009C3C4F"/>
    <w:rsid w:val="009C3CA0"/>
    <w:rsid w:val="009C3D18"/>
    <w:rsid w:val="009C3F6A"/>
    <w:rsid w:val="009C4055"/>
    <w:rsid w:val="009C40B3"/>
    <w:rsid w:val="009C4135"/>
    <w:rsid w:val="009C4182"/>
    <w:rsid w:val="009C420D"/>
    <w:rsid w:val="009C42E7"/>
    <w:rsid w:val="009C4313"/>
    <w:rsid w:val="009C4363"/>
    <w:rsid w:val="009C437B"/>
    <w:rsid w:val="009C448E"/>
    <w:rsid w:val="009C4497"/>
    <w:rsid w:val="009C44C2"/>
    <w:rsid w:val="009C44E1"/>
    <w:rsid w:val="009C450C"/>
    <w:rsid w:val="009C4524"/>
    <w:rsid w:val="009C4536"/>
    <w:rsid w:val="009C456E"/>
    <w:rsid w:val="009C459B"/>
    <w:rsid w:val="009C45BB"/>
    <w:rsid w:val="009C45CB"/>
    <w:rsid w:val="009C45EE"/>
    <w:rsid w:val="009C46AE"/>
    <w:rsid w:val="009C4704"/>
    <w:rsid w:val="009C4755"/>
    <w:rsid w:val="009C476B"/>
    <w:rsid w:val="009C47B5"/>
    <w:rsid w:val="009C4809"/>
    <w:rsid w:val="009C487B"/>
    <w:rsid w:val="009C49D4"/>
    <w:rsid w:val="009C49E6"/>
    <w:rsid w:val="009C4A61"/>
    <w:rsid w:val="009C4A9E"/>
    <w:rsid w:val="009C4AA1"/>
    <w:rsid w:val="009C4B17"/>
    <w:rsid w:val="009C4BCD"/>
    <w:rsid w:val="009C4BFC"/>
    <w:rsid w:val="009C4C31"/>
    <w:rsid w:val="009C4C3C"/>
    <w:rsid w:val="009C4C4B"/>
    <w:rsid w:val="009C4CDB"/>
    <w:rsid w:val="009C4DBD"/>
    <w:rsid w:val="009C4E59"/>
    <w:rsid w:val="009C4E8D"/>
    <w:rsid w:val="009C4F3B"/>
    <w:rsid w:val="009C4F6A"/>
    <w:rsid w:val="009C4FC4"/>
    <w:rsid w:val="009C50C6"/>
    <w:rsid w:val="009C50F3"/>
    <w:rsid w:val="009C5125"/>
    <w:rsid w:val="009C5171"/>
    <w:rsid w:val="009C51AF"/>
    <w:rsid w:val="009C51B2"/>
    <w:rsid w:val="009C5227"/>
    <w:rsid w:val="009C52E8"/>
    <w:rsid w:val="009C535D"/>
    <w:rsid w:val="009C5407"/>
    <w:rsid w:val="009C548C"/>
    <w:rsid w:val="009C5503"/>
    <w:rsid w:val="009C556F"/>
    <w:rsid w:val="009C55BB"/>
    <w:rsid w:val="009C5685"/>
    <w:rsid w:val="009C56C0"/>
    <w:rsid w:val="009C57B0"/>
    <w:rsid w:val="009C57F9"/>
    <w:rsid w:val="009C59C8"/>
    <w:rsid w:val="009C5A56"/>
    <w:rsid w:val="009C5ABC"/>
    <w:rsid w:val="009C5AD3"/>
    <w:rsid w:val="009C5B12"/>
    <w:rsid w:val="009C5CC1"/>
    <w:rsid w:val="009C5D02"/>
    <w:rsid w:val="009C5D44"/>
    <w:rsid w:val="009C5D48"/>
    <w:rsid w:val="009C5E31"/>
    <w:rsid w:val="009C5E69"/>
    <w:rsid w:val="009C5EBD"/>
    <w:rsid w:val="009C5EC8"/>
    <w:rsid w:val="009C5ECA"/>
    <w:rsid w:val="009C5ECD"/>
    <w:rsid w:val="009C5F19"/>
    <w:rsid w:val="009C5F71"/>
    <w:rsid w:val="009C5F95"/>
    <w:rsid w:val="009C5FBD"/>
    <w:rsid w:val="009C6014"/>
    <w:rsid w:val="009C60BD"/>
    <w:rsid w:val="009C60BE"/>
    <w:rsid w:val="009C610C"/>
    <w:rsid w:val="009C61ED"/>
    <w:rsid w:val="009C621E"/>
    <w:rsid w:val="009C626D"/>
    <w:rsid w:val="009C637F"/>
    <w:rsid w:val="009C63A0"/>
    <w:rsid w:val="009C63A1"/>
    <w:rsid w:val="009C63CC"/>
    <w:rsid w:val="009C649D"/>
    <w:rsid w:val="009C64C9"/>
    <w:rsid w:val="009C651D"/>
    <w:rsid w:val="009C6539"/>
    <w:rsid w:val="009C655D"/>
    <w:rsid w:val="009C65D0"/>
    <w:rsid w:val="009C6639"/>
    <w:rsid w:val="009C66F4"/>
    <w:rsid w:val="009C6739"/>
    <w:rsid w:val="009C67CA"/>
    <w:rsid w:val="009C6957"/>
    <w:rsid w:val="009C69E5"/>
    <w:rsid w:val="009C6BCD"/>
    <w:rsid w:val="009C6C4F"/>
    <w:rsid w:val="009C6C65"/>
    <w:rsid w:val="009C6CE2"/>
    <w:rsid w:val="009C6D9B"/>
    <w:rsid w:val="009C6DB6"/>
    <w:rsid w:val="009C6E8E"/>
    <w:rsid w:val="009C6F0A"/>
    <w:rsid w:val="009C711A"/>
    <w:rsid w:val="009C7136"/>
    <w:rsid w:val="009C71F8"/>
    <w:rsid w:val="009C7237"/>
    <w:rsid w:val="009C7256"/>
    <w:rsid w:val="009C733F"/>
    <w:rsid w:val="009C7399"/>
    <w:rsid w:val="009C7508"/>
    <w:rsid w:val="009C75A2"/>
    <w:rsid w:val="009C75B3"/>
    <w:rsid w:val="009C7614"/>
    <w:rsid w:val="009C7621"/>
    <w:rsid w:val="009C76E2"/>
    <w:rsid w:val="009C772E"/>
    <w:rsid w:val="009C781E"/>
    <w:rsid w:val="009C7880"/>
    <w:rsid w:val="009C7904"/>
    <w:rsid w:val="009C793F"/>
    <w:rsid w:val="009C799D"/>
    <w:rsid w:val="009C79AE"/>
    <w:rsid w:val="009C79C6"/>
    <w:rsid w:val="009C79FC"/>
    <w:rsid w:val="009C7AB5"/>
    <w:rsid w:val="009C7AC9"/>
    <w:rsid w:val="009C7B03"/>
    <w:rsid w:val="009C7C3B"/>
    <w:rsid w:val="009C7CAE"/>
    <w:rsid w:val="009C7D7E"/>
    <w:rsid w:val="009C7E19"/>
    <w:rsid w:val="009C7E47"/>
    <w:rsid w:val="009C7E67"/>
    <w:rsid w:val="009C7E75"/>
    <w:rsid w:val="009C7F46"/>
    <w:rsid w:val="009C7F5D"/>
    <w:rsid w:val="009C7F79"/>
    <w:rsid w:val="009C7F91"/>
    <w:rsid w:val="009C7FAB"/>
    <w:rsid w:val="009C7FE1"/>
    <w:rsid w:val="009C7FE5"/>
    <w:rsid w:val="009D0000"/>
    <w:rsid w:val="009D00CD"/>
    <w:rsid w:val="009D0117"/>
    <w:rsid w:val="009D01AD"/>
    <w:rsid w:val="009D01D9"/>
    <w:rsid w:val="009D0236"/>
    <w:rsid w:val="009D02BA"/>
    <w:rsid w:val="009D0301"/>
    <w:rsid w:val="009D0302"/>
    <w:rsid w:val="009D03A2"/>
    <w:rsid w:val="009D047F"/>
    <w:rsid w:val="009D0549"/>
    <w:rsid w:val="009D0590"/>
    <w:rsid w:val="009D0593"/>
    <w:rsid w:val="009D06DE"/>
    <w:rsid w:val="009D070E"/>
    <w:rsid w:val="009D0799"/>
    <w:rsid w:val="009D079B"/>
    <w:rsid w:val="009D07FA"/>
    <w:rsid w:val="009D082F"/>
    <w:rsid w:val="009D09C8"/>
    <w:rsid w:val="009D0A08"/>
    <w:rsid w:val="009D0A0B"/>
    <w:rsid w:val="009D0A51"/>
    <w:rsid w:val="009D0A98"/>
    <w:rsid w:val="009D0B3B"/>
    <w:rsid w:val="009D0B6D"/>
    <w:rsid w:val="009D0B82"/>
    <w:rsid w:val="009D0C3D"/>
    <w:rsid w:val="009D0C6B"/>
    <w:rsid w:val="009D0C78"/>
    <w:rsid w:val="009D0CB0"/>
    <w:rsid w:val="009D0E04"/>
    <w:rsid w:val="009D0E44"/>
    <w:rsid w:val="009D0E4C"/>
    <w:rsid w:val="009D0E80"/>
    <w:rsid w:val="009D0EB8"/>
    <w:rsid w:val="009D0F08"/>
    <w:rsid w:val="009D1086"/>
    <w:rsid w:val="009D110B"/>
    <w:rsid w:val="009D1193"/>
    <w:rsid w:val="009D11C6"/>
    <w:rsid w:val="009D128C"/>
    <w:rsid w:val="009D12F2"/>
    <w:rsid w:val="009D1366"/>
    <w:rsid w:val="009D140B"/>
    <w:rsid w:val="009D1419"/>
    <w:rsid w:val="009D148D"/>
    <w:rsid w:val="009D159D"/>
    <w:rsid w:val="009D1677"/>
    <w:rsid w:val="009D16AB"/>
    <w:rsid w:val="009D16E6"/>
    <w:rsid w:val="009D174E"/>
    <w:rsid w:val="009D17CE"/>
    <w:rsid w:val="009D1808"/>
    <w:rsid w:val="009D1854"/>
    <w:rsid w:val="009D1886"/>
    <w:rsid w:val="009D18A5"/>
    <w:rsid w:val="009D18BE"/>
    <w:rsid w:val="009D198C"/>
    <w:rsid w:val="009D199D"/>
    <w:rsid w:val="009D19EC"/>
    <w:rsid w:val="009D1A6C"/>
    <w:rsid w:val="009D1AEC"/>
    <w:rsid w:val="009D1CAA"/>
    <w:rsid w:val="009D1CAD"/>
    <w:rsid w:val="009D1CBC"/>
    <w:rsid w:val="009D1CE1"/>
    <w:rsid w:val="009D1D92"/>
    <w:rsid w:val="009D1DEF"/>
    <w:rsid w:val="009D1F33"/>
    <w:rsid w:val="009D1F80"/>
    <w:rsid w:val="009D2057"/>
    <w:rsid w:val="009D2064"/>
    <w:rsid w:val="009D208A"/>
    <w:rsid w:val="009D20E6"/>
    <w:rsid w:val="009D2241"/>
    <w:rsid w:val="009D22EE"/>
    <w:rsid w:val="009D2369"/>
    <w:rsid w:val="009D24A5"/>
    <w:rsid w:val="009D24B0"/>
    <w:rsid w:val="009D2543"/>
    <w:rsid w:val="009D2582"/>
    <w:rsid w:val="009D25C9"/>
    <w:rsid w:val="009D25E3"/>
    <w:rsid w:val="009D2618"/>
    <w:rsid w:val="009D264E"/>
    <w:rsid w:val="009D2683"/>
    <w:rsid w:val="009D26B4"/>
    <w:rsid w:val="009D26DE"/>
    <w:rsid w:val="009D2720"/>
    <w:rsid w:val="009D2764"/>
    <w:rsid w:val="009D2788"/>
    <w:rsid w:val="009D2798"/>
    <w:rsid w:val="009D27FB"/>
    <w:rsid w:val="009D2838"/>
    <w:rsid w:val="009D287E"/>
    <w:rsid w:val="009D28CB"/>
    <w:rsid w:val="009D2ACB"/>
    <w:rsid w:val="009D2AFE"/>
    <w:rsid w:val="009D2B4A"/>
    <w:rsid w:val="009D2B7D"/>
    <w:rsid w:val="009D2BC2"/>
    <w:rsid w:val="009D2BE0"/>
    <w:rsid w:val="009D2C45"/>
    <w:rsid w:val="009D2DAC"/>
    <w:rsid w:val="009D2DB4"/>
    <w:rsid w:val="009D2E85"/>
    <w:rsid w:val="009D2F12"/>
    <w:rsid w:val="009D3007"/>
    <w:rsid w:val="009D313B"/>
    <w:rsid w:val="009D3289"/>
    <w:rsid w:val="009D32BC"/>
    <w:rsid w:val="009D3345"/>
    <w:rsid w:val="009D3395"/>
    <w:rsid w:val="009D33A7"/>
    <w:rsid w:val="009D3416"/>
    <w:rsid w:val="009D341C"/>
    <w:rsid w:val="009D342C"/>
    <w:rsid w:val="009D34A6"/>
    <w:rsid w:val="009D34D3"/>
    <w:rsid w:val="009D3556"/>
    <w:rsid w:val="009D36BA"/>
    <w:rsid w:val="009D3825"/>
    <w:rsid w:val="009D384B"/>
    <w:rsid w:val="009D3895"/>
    <w:rsid w:val="009D39A3"/>
    <w:rsid w:val="009D39A5"/>
    <w:rsid w:val="009D39A9"/>
    <w:rsid w:val="009D39BC"/>
    <w:rsid w:val="009D39E8"/>
    <w:rsid w:val="009D39E9"/>
    <w:rsid w:val="009D3AB4"/>
    <w:rsid w:val="009D3B97"/>
    <w:rsid w:val="009D3BE5"/>
    <w:rsid w:val="009D3C15"/>
    <w:rsid w:val="009D3D07"/>
    <w:rsid w:val="009D3DAD"/>
    <w:rsid w:val="009D3E2E"/>
    <w:rsid w:val="009D3EF8"/>
    <w:rsid w:val="009D3F34"/>
    <w:rsid w:val="009D4022"/>
    <w:rsid w:val="009D4069"/>
    <w:rsid w:val="009D40B7"/>
    <w:rsid w:val="009D40CF"/>
    <w:rsid w:val="009D40E2"/>
    <w:rsid w:val="009D40E5"/>
    <w:rsid w:val="009D4120"/>
    <w:rsid w:val="009D415E"/>
    <w:rsid w:val="009D419A"/>
    <w:rsid w:val="009D4369"/>
    <w:rsid w:val="009D4383"/>
    <w:rsid w:val="009D43A0"/>
    <w:rsid w:val="009D43A7"/>
    <w:rsid w:val="009D43C9"/>
    <w:rsid w:val="009D4592"/>
    <w:rsid w:val="009D4654"/>
    <w:rsid w:val="009D46C0"/>
    <w:rsid w:val="009D4762"/>
    <w:rsid w:val="009D4767"/>
    <w:rsid w:val="009D4817"/>
    <w:rsid w:val="009D4844"/>
    <w:rsid w:val="009D4856"/>
    <w:rsid w:val="009D489B"/>
    <w:rsid w:val="009D4A49"/>
    <w:rsid w:val="009D4A5D"/>
    <w:rsid w:val="009D4AC1"/>
    <w:rsid w:val="009D4BBF"/>
    <w:rsid w:val="009D4C48"/>
    <w:rsid w:val="009D4DAA"/>
    <w:rsid w:val="009D4E4D"/>
    <w:rsid w:val="009D4E97"/>
    <w:rsid w:val="009D4EF2"/>
    <w:rsid w:val="009D4F16"/>
    <w:rsid w:val="009D4F98"/>
    <w:rsid w:val="009D5092"/>
    <w:rsid w:val="009D50B7"/>
    <w:rsid w:val="009D50BC"/>
    <w:rsid w:val="009D50D9"/>
    <w:rsid w:val="009D5132"/>
    <w:rsid w:val="009D5148"/>
    <w:rsid w:val="009D5191"/>
    <w:rsid w:val="009D52A7"/>
    <w:rsid w:val="009D5302"/>
    <w:rsid w:val="009D535B"/>
    <w:rsid w:val="009D5423"/>
    <w:rsid w:val="009D554E"/>
    <w:rsid w:val="009D55F5"/>
    <w:rsid w:val="009D560F"/>
    <w:rsid w:val="009D5678"/>
    <w:rsid w:val="009D574D"/>
    <w:rsid w:val="009D578B"/>
    <w:rsid w:val="009D5797"/>
    <w:rsid w:val="009D5851"/>
    <w:rsid w:val="009D5872"/>
    <w:rsid w:val="009D5952"/>
    <w:rsid w:val="009D5979"/>
    <w:rsid w:val="009D59A8"/>
    <w:rsid w:val="009D5A50"/>
    <w:rsid w:val="009D5A87"/>
    <w:rsid w:val="009D5C23"/>
    <w:rsid w:val="009D5DC5"/>
    <w:rsid w:val="009D5DD6"/>
    <w:rsid w:val="009D5DFC"/>
    <w:rsid w:val="009D5E59"/>
    <w:rsid w:val="009D5E7B"/>
    <w:rsid w:val="009D5F39"/>
    <w:rsid w:val="009D5F3B"/>
    <w:rsid w:val="009D5F8C"/>
    <w:rsid w:val="009D5FC0"/>
    <w:rsid w:val="009D60EC"/>
    <w:rsid w:val="009D61AD"/>
    <w:rsid w:val="009D6207"/>
    <w:rsid w:val="009D6246"/>
    <w:rsid w:val="009D6254"/>
    <w:rsid w:val="009D6334"/>
    <w:rsid w:val="009D6355"/>
    <w:rsid w:val="009D6387"/>
    <w:rsid w:val="009D6394"/>
    <w:rsid w:val="009D6426"/>
    <w:rsid w:val="009D6441"/>
    <w:rsid w:val="009D64B4"/>
    <w:rsid w:val="009D64E3"/>
    <w:rsid w:val="009D6554"/>
    <w:rsid w:val="009D65D0"/>
    <w:rsid w:val="009D65EA"/>
    <w:rsid w:val="009D661D"/>
    <w:rsid w:val="009D66A3"/>
    <w:rsid w:val="009D66EE"/>
    <w:rsid w:val="009D68F9"/>
    <w:rsid w:val="009D6908"/>
    <w:rsid w:val="009D6934"/>
    <w:rsid w:val="009D6960"/>
    <w:rsid w:val="009D697F"/>
    <w:rsid w:val="009D6995"/>
    <w:rsid w:val="009D69CE"/>
    <w:rsid w:val="009D6A3B"/>
    <w:rsid w:val="009D6B72"/>
    <w:rsid w:val="009D6C13"/>
    <w:rsid w:val="009D6D38"/>
    <w:rsid w:val="009D6DE6"/>
    <w:rsid w:val="009D6DEE"/>
    <w:rsid w:val="009D6E86"/>
    <w:rsid w:val="009D6EEC"/>
    <w:rsid w:val="009D6EF8"/>
    <w:rsid w:val="009D6F8D"/>
    <w:rsid w:val="009D709A"/>
    <w:rsid w:val="009D71D1"/>
    <w:rsid w:val="009D720A"/>
    <w:rsid w:val="009D7343"/>
    <w:rsid w:val="009D73DF"/>
    <w:rsid w:val="009D73F4"/>
    <w:rsid w:val="009D7433"/>
    <w:rsid w:val="009D7439"/>
    <w:rsid w:val="009D748C"/>
    <w:rsid w:val="009D7498"/>
    <w:rsid w:val="009D74EF"/>
    <w:rsid w:val="009D75CB"/>
    <w:rsid w:val="009D779B"/>
    <w:rsid w:val="009D787D"/>
    <w:rsid w:val="009D7892"/>
    <w:rsid w:val="009D78C1"/>
    <w:rsid w:val="009D793D"/>
    <w:rsid w:val="009D7971"/>
    <w:rsid w:val="009D7A19"/>
    <w:rsid w:val="009D7AF9"/>
    <w:rsid w:val="009D7BF8"/>
    <w:rsid w:val="009D7D3D"/>
    <w:rsid w:val="009D7DA3"/>
    <w:rsid w:val="009D7DC3"/>
    <w:rsid w:val="009D7DCF"/>
    <w:rsid w:val="009D7E39"/>
    <w:rsid w:val="009D7EEA"/>
    <w:rsid w:val="009D7EF7"/>
    <w:rsid w:val="009D7F01"/>
    <w:rsid w:val="009D7F21"/>
    <w:rsid w:val="009D7F33"/>
    <w:rsid w:val="009D7FC6"/>
    <w:rsid w:val="009D7FFB"/>
    <w:rsid w:val="009E0088"/>
    <w:rsid w:val="009E00C4"/>
    <w:rsid w:val="009E0184"/>
    <w:rsid w:val="009E02AE"/>
    <w:rsid w:val="009E02D1"/>
    <w:rsid w:val="009E0327"/>
    <w:rsid w:val="009E037C"/>
    <w:rsid w:val="009E03B5"/>
    <w:rsid w:val="009E054C"/>
    <w:rsid w:val="009E0585"/>
    <w:rsid w:val="009E058B"/>
    <w:rsid w:val="009E0707"/>
    <w:rsid w:val="009E0879"/>
    <w:rsid w:val="009E08CF"/>
    <w:rsid w:val="009E091B"/>
    <w:rsid w:val="009E0965"/>
    <w:rsid w:val="009E0967"/>
    <w:rsid w:val="009E09C4"/>
    <w:rsid w:val="009E0A4D"/>
    <w:rsid w:val="009E0BA6"/>
    <w:rsid w:val="009E0BDB"/>
    <w:rsid w:val="009E0C5A"/>
    <w:rsid w:val="009E0E65"/>
    <w:rsid w:val="009E0F79"/>
    <w:rsid w:val="009E0F98"/>
    <w:rsid w:val="009E0FD0"/>
    <w:rsid w:val="009E1185"/>
    <w:rsid w:val="009E11B2"/>
    <w:rsid w:val="009E1209"/>
    <w:rsid w:val="009E1240"/>
    <w:rsid w:val="009E12A4"/>
    <w:rsid w:val="009E12C0"/>
    <w:rsid w:val="009E1343"/>
    <w:rsid w:val="009E1355"/>
    <w:rsid w:val="009E138C"/>
    <w:rsid w:val="009E1395"/>
    <w:rsid w:val="009E1413"/>
    <w:rsid w:val="009E144B"/>
    <w:rsid w:val="009E149B"/>
    <w:rsid w:val="009E14B7"/>
    <w:rsid w:val="009E1516"/>
    <w:rsid w:val="009E167D"/>
    <w:rsid w:val="009E16DD"/>
    <w:rsid w:val="009E1727"/>
    <w:rsid w:val="009E1871"/>
    <w:rsid w:val="009E19E8"/>
    <w:rsid w:val="009E1A7B"/>
    <w:rsid w:val="009E1B37"/>
    <w:rsid w:val="009E1BB3"/>
    <w:rsid w:val="009E1D17"/>
    <w:rsid w:val="009E1D56"/>
    <w:rsid w:val="009E1DB1"/>
    <w:rsid w:val="009E1E3A"/>
    <w:rsid w:val="009E1E56"/>
    <w:rsid w:val="009E1E5F"/>
    <w:rsid w:val="009E1EA6"/>
    <w:rsid w:val="009E2013"/>
    <w:rsid w:val="009E208E"/>
    <w:rsid w:val="009E20E2"/>
    <w:rsid w:val="009E20EE"/>
    <w:rsid w:val="009E20FF"/>
    <w:rsid w:val="009E2109"/>
    <w:rsid w:val="009E2196"/>
    <w:rsid w:val="009E21A8"/>
    <w:rsid w:val="009E21B2"/>
    <w:rsid w:val="009E21DA"/>
    <w:rsid w:val="009E223A"/>
    <w:rsid w:val="009E229A"/>
    <w:rsid w:val="009E22C9"/>
    <w:rsid w:val="009E22CD"/>
    <w:rsid w:val="009E2334"/>
    <w:rsid w:val="009E236A"/>
    <w:rsid w:val="009E2383"/>
    <w:rsid w:val="009E23AB"/>
    <w:rsid w:val="009E23B6"/>
    <w:rsid w:val="009E2430"/>
    <w:rsid w:val="009E24A7"/>
    <w:rsid w:val="009E2543"/>
    <w:rsid w:val="009E2590"/>
    <w:rsid w:val="009E267A"/>
    <w:rsid w:val="009E2711"/>
    <w:rsid w:val="009E27A3"/>
    <w:rsid w:val="009E27A6"/>
    <w:rsid w:val="009E2859"/>
    <w:rsid w:val="009E29B9"/>
    <w:rsid w:val="009E29C4"/>
    <w:rsid w:val="009E29C8"/>
    <w:rsid w:val="009E2A3E"/>
    <w:rsid w:val="009E2A3F"/>
    <w:rsid w:val="009E2C5B"/>
    <w:rsid w:val="009E2CE8"/>
    <w:rsid w:val="009E2D5A"/>
    <w:rsid w:val="009E2F4A"/>
    <w:rsid w:val="009E2FD8"/>
    <w:rsid w:val="009E2FEB"/>
    <w:rsid w:val="009E2FF8"/>
    <w:rsid w:val="009E308C"/>
    <w:rsid w:val="009E3096"/>
    <w:rsid w:val="009E311B"/>
    <w:rsid w:val="009E3256"/>
    <w:rsid w:val="009E3287"/>
    <w:rsid w:val="009E3327"/>
    <w:rsid w:val="009E3361"/>
    <w:rsid w:val="009E344B"/>
    <w:rsid w:val="009E348F"/>
    <w:rsid w:val="009E34E3"/>
    <w:rsid w:val="009E3510"/>
    <w:rsid w:val="009E35DF"/>
    <w:rsid w:val="009E3616"/>
    <w:rsid w:val="009E365C"/>
    <w:rsid w:val="009E3674"/>
    <w:rsid w:val="009E36BD"/>
    <w:rsid w:val="009E3733"/>
    <w:rsid w:val="009E3749"/>
    <w:rsid w:val="009E3753"/>
    <w:rsid w:val="009E3756"/>
    <w:rsid w:val="009E3771"/>
    <w:rsid w:val="009E37FB"/>
    <w:rsid w:val="009E383F"/>
    <w:rsid w:val="009E38E2"/>
    <w:rsid w:val="009E38FE"/>
    <w:rsid w:val="009E3926"/>
    <w:rsid w:val="009E393F"/>
    <w:rsid w:val="009E39E5"/>
    <w:rsid w:val="009E3B8B"/>
    <w:rsid w:val="009E3C37"/>
    <w:rsid w:val="009E3C4B"/>
    <w:rsid w:val="009E3D1D"/>
    <w:rsid w:val="009E3D3F"/>
    <w:rsid w:val="009E3E56"/>
    <w:rsid w:val="009E3EB4"/>
    <w:rsid w:val="009E3F5C"/>
    <w:rsid w:val="009E4001"/>
    <w:rsid w:val="009E400A"/>
    <w:rsid w:val="009E40F2"/>
    <w:rsid w:val="009E411C"/>
    <w:rsid w:val="009E412C"/>
    <w:rsid w:val="009E42AA"/>
    <w:rsid w:val="009E42C9"/>
    <w:rsid w:val="009E42FF"/>
    <w:rsid w:val="009E4510"/>
    <w:rsid w:val="009E4597"/>
    <w:rsid w:val="009E461E"/>
    <w:rsid w:val="009E4626"/>
    <w:rsid w:val="009E4641"/>
    <w:rsid w:val="009E46D8"/>
    <w:rsid w:val="009E4740"/>
    <w:rsid w:val="009E4749"/>
    <w:rsid w:val="009E4821"/>
    <w:rsid w:val="009E4835"/>
    <w:rsid w:val="009E4861"/>
    <w:rsid w:val="009E4904"/>
    <w:rsid w:val="009E4988"/>
    <w:rsid w:val="009E49F2"/>
    <w:rsid w:val="009E4A82"/>
    <w:rsid w:val="009E4B86"/>
    <w:rsid w:val="009E4B8D"/>
    <w:rsid w:val="009E4E55"/>
    <w:rsid w:val="009E4F2E"/>
    <w:rsid w:val="009E4F39"/>
    <w:rsid w:val="009E5064"/>
    <w:rsid w:val="009E50C5"/>
    <w:rsid w:val="009E50DD"/>
    <w:rsid w:val="009E5280"/>
    <w:rsid w:val="009E5380"/>
    <w:rsid w:val="009E538C"/>
    <w:rsid w:val="009E54B2"/>
    <w:rsid w:val="009E5653"/>
    <w:rsid w:val="009E5723"/>
    <w:rsid w:val="009E57A4"/>
    <w:rsid w:val="009E57BB"/>
    <w:rsid w:val="009E57BC"/>
    <w:rsid w:val="009E5859"/>
    <w:rsid w:val="009E59A4"/>
    <w:rsid w:val="009E59E7"/>
    <w:rsid w:val="009E5C71"/>
    <w:rsid w:val="009E5CB6"/>
    <w:rsid w:val="009E5D05"/>
    <w:rsid w:val="009E5D2C"/>
    <w:rsid w:val="009E5DB9"/>
    <w:rsid w:val="009E5DC0"/>
    <w:rsid w:val="009E5E9B"/>
    <w:rsid w:val="009E5F50"/>
    <w:rsid w:val="009E5F6C"/>
    <w:rsid w:val="009E5FB3"/>
    <w:rsid w:val="009E6118"/>
    <w:rsid w:val="009E6187"/>
    <w:rsid w:val="009E61FD"/>
    <w:rsid w:val="009E621A"/>
    <w:rsid w:val="009E638D"/>
    <w:rsid w:val="009E63D2"/>
    <w:rsid w:val="009E6453"/>
    <w:rsid w:val="009E646C"/>
    <w:rsid w:val="009E6486"/>
    <w:rsid w:val="009E64B1"/>
    <w:rsid w:val="009E6521"/>
    <w:rsid w:val="009E658E"/>
    <w:rsid w:val="009E65AF"/>
    <w:rsid w:val="009E662C"/>
    <w:rsid w:val="009E6648"/>
    <w:rsid w:val="009E6696"/>
    <w:rsid w:val="009E66F1"/>
    <w:rsid w:val="009E6704"/>
    <w:rsid w:val="009E6770"/>
    <w:rsid w:val="009E67A0"/>
    <w:rsid w:val="009E6835"/>
    <w:rsid w:val="009E6845"/>
    <w:rsid w:val="009E6912"/>
    <w:rsid w:val="009E69C7"/>
    <w:rsid w:val="009E6AB4"/>
    <w:rsid w:val="009E6AFA"/>
    <w:rsid w:val="009E6B18"/>
    <w:rsid w:val="009E6C88"/>
    <w:rsid w:val="009E6D96"/>
    <w:rsid w:val="009E6DDE"/>
    <w:rsid w:val="009E6E32"/>
    <w:rsid w:val="009E6E39"/>
    <w:rsid w:val="009E6E52"/>
    <w:rsid w:val="009E6F40"/>
    <w:rsid w:val="009E6F8F"/>
    <w:rsid w:val="009E6FD5"/>
    <w:rsid w:val="009E70ED"/>
    <w:rsid w:val="009E7124"/>
    <w:rsid w:val="009E7219"/>
    <w:rsid w:val="009E7286"/>
    <w:rsid w:val="009E72CD"/>
    <w:rsid w:val="009E72F1"/>
    <w:rsid w:val="009E758C"/>
    <w:rsid w:val="009E7698"/>
    <w:rsid w:val="009E77B5"/>
    <w:rsid w:val="009E77BE"/>
    <w:rsid w:val="009E77DD"/>
    <w:rsid w:val="009E78E1"/>
    <w:rsid w:val="009E7927"/>
    <w:rsid w:val="009E7B1C"/>
    <w:rsid w:val="009E7B6C"/>
    <w:rsid w:val="009E7BA5"/>
    <w:rsid w:val="009E7BBC"/>
    <w:rsid w:val="009E7C10"/>
    <w:rsid w:val="009E7C9B"/>
    <w:rsid w:val="009E7CC6"/>
    <w:rsid w:val="009E7D01"/>
    <w:rsid w:val="009E7D5E"/>
    <w:rsid w:val="009E7DC5"/>
    <w:rsid w:val="009E7DD2"/>
    <w:rsid w:val="009E7DE1"/>
    <w:rsid w:val="009E7E18"/>
    <w:rsid w:val="009E7E48"/>
    <w:rsid w:val="009E7F66"/>
    <w:rsid w:val="009E7FBC"/>
    <w:rsid w:val="009F0000"/>
    <w:rsid w:val="009F00BE"/>
    <w:rsid w:val="009F0100"/>
    <w:rsid w:val="009F0164"/>
    <w:rsid w:val="009F017D"/>
    <w:rsid w:val="009F0191"/>
    <w:rsid w:val="009F020E"/>
    <w:rsid w:val="009F0248"/>
    <w:rsid w:val="009F02E8"/>
    <w:rsid w:val="009F0308"/>
    <w:rsid w:val="009F0338"/>
    <w:rsid w:val="009F033E"/>
    <w:rsid w:val="009F0369"/>
    <w:rsid w:val="009F037E"/>
    <w:rsid w:val="009F03DC"/>
    <w:rsid w:val="009F03E9"/>
    <w:rsid w:val="009F044D"/>
    <w:rsid w:val="009F0597"/>
    <w:rsid w:val="009F06D8"/>
    <w:rsid w:val="009F097F"/>
    <w:rsid w:val="009F0995"/>
    <w:rsid w:val="009F09F3"/>
    <w:rsid w:val="009F0BE0"/>
    <w:rsid w:val="009F0C8C"/>
    <w:rsid w:val="009F0E20"/>
    <w:rsid w:val="009F0E79"/>
    <w:rsid w:val="009F0E9B"/>
    <w:rsid w:val="009F0F26"/>
    <w:rsid w:val="009F0F29"/>
    <w:rsid w:val="009F0FA4"/>
    <w:rsid w:val="009F0FF7"/>
    <w:rsid w:val="009F1045"/>
    <w:rsid w:val="009F1082"/>
    <w:rsid w:val="009F10CD"/>
    <w:rsid w:val="009F115D"/>
    <w:rsid w:val="009F11AA"/>
    <w:rsid w:val="009F11FA"/>
    <w:rsid w:val="009F1328"/>
    <w:rsid w:val="009F1336"/>
    <w:rsid w:val="009F1348"/>
    <w:rsid w:val="009F1455"/>
    <w:rsid w:val="009F14BB"/>
    <w:rsid w:val="009F152F"/>
    <w:rsid w:val="009F164C"/>
    <w:rsid w:val="009F1669"/>
    <w:rsid w:val="009F1694"/>
    <w:rsid w:val="009F1774"/>
    <w:rsid w:val="009F187C"/>
    <w:rsid w:val="009F187E"/>
    <w:rsid w:val="009F1918"/>
    <w:rsid w:val="009F191E"/>
    <w:rsid w:val="009F1940"/>
    <w:rsid w:val="009F196B"/>
    <w:rsid w:val="009F19C5"/>
    <w:rsid w:val="009F19D3"/>
    <w:rsid w:val="009F1AE5"/>
    <w:rsid w:val="009F1B12"/>
    <w:rsid w:val="009F1C16"/>
    <w:rsid w:val="009F1E64"/>
    <w:rsid w:val="009F1F6D"/>
    <w:rsid w:val="009F1F91"/>
    <w:rsid w:val="009F2012"/>
    <w:rsid w:val="009F2030"/>
    <w:rsid w:val="009F20A6"/>
    <w:rsid w:val="009F20AC"/>
    <w:rsid w:val="009F20D1"/>
    <w:rsid w:val="009F215D"/>
    <w:rsid w:val="009F2175"/>
    <w:rsid w:val="009F21D1"/>
    <w:rsid w:val="009F2282"/>
    <w:rsid w:val="009F229B"/>
    <w:rsid w:val="009F2364"/>
    <w:rsid w:val="009F23E2"/>
    <w:rsid w:val="009F2405"/>
    <w:rsid w:val="009F2425"/>
    <w:rsid w:val="009F2460"/>
    <w:rsid w:val="009F24B2"/>
    <w:rsid w:val="009F25E4"/>
    <w:rsid w:val="009F25F3"/>
    <w:rsid w:val="009F2617"/>
    <w:rsid w:val="009F261B"/>
    <w:rsid w:val="009F26C3"/>
    <w:rsid w:val="009F26C6"/>
    <w:rsid w:val="009F27BC"/>
    <w:rsid w:val="009F27F0"/>
    <w:rsid w:val="009F2978"/>
    <w:rsid w:val="009F2A91"/>
    <w:rsid w:val="009F2A9A"/>
    <w:rsid w:val="009F2AB2"/>
    <w:rsid w:val="009F2B0E"/>
    <w:rsid w:val="009F2B8B"/>
    <w:rsid w:val="009F2D27"/>
    <w:rsid w:val="009F2D6C"/>
    <w:rsid w:val="009F2DEA"/>
    <w:rsid w:val="009F2DEF"/>
    <w:rsid w:val="009F2E1D"/>
    <w:rsid w:val="009F2F08"/>
    <w:rsid w:val="009F2F4E"/>
    <w:rsid w:val="009F2FBE"/>
    <w:rsid w:val="009F2FC6"/>
    <w:rsid w:val="009F2FDC"/>
    <w:rsid w:val="009F303A"/>
    <w:rsid w:val="009F3057"/>
    <w:rsid w:val="009F316B"/>
    <w:rsid w:val="009F31F8"/>
    <w:rsid w:val="009F3341"/>
    <w:rsid w:val="009F3357"/>
    <w:rsid w:val="009F33A1"/>
    <w:rsid w:val="009F345E"/>
    <w:rsid w:val="009F3473"/>
    <w:rsid w:val="009F3519"/>
    <w:rsid w:val="009F359B"/>
    <w:rsid w:val="009F359C"/>
    <w:rsid w:val="009F35D9"/>
    <w:rsid w:val="009F3630"/>
    <w:rsid w:val="009F3660"/>
    <w:rsid w:val="009F36B5"/>
    <w:rsid w:val="009F36DB"/>
    <w:rsid w:val="009F3704"/>
    <w:rsid w:val="009F37A6"/>
    <w:rsid w:val="009F3857"/>
    <w:rsid w:val="009F3860"/>
    <w:rsid w:val="009F387D"/>
    <w:rsid w:val="009F38E4"/>
    <w:rsid w:val="009F398F"/>
    <w:rsid w:val="009F3A03"/>
    <w:rsid w:val="009F3A16"/>
    <w:rsid w:val="009F3B09"/>
    <w:rsid w:val="009F3B28"/>
    <w:rsid w:val="009F3B99"/>
    <w:rsid w:val="009F3BA1"/>
    <w:rsid w:val="009F3BFE"/>
    <w:rsid w:val="009F3CDD"/>
    <w:rsid w:val="009F3D00"/>
    <w:rsid w:val="009F3D5F"/>
    <w:rsid w:val="009F3D92"/>
    <w:rsid w:val="009F3D98"/>
    <w:rsid w:val="009F3DCA"/>
    <w:rsid w:val="009F3DE5"/>
    <w:rsid w:val="009F3F6C"/>
    <w:rsid w:val="009F3FE4"/>
    <w:rsid w:val="009F40C0"/>
    <w:rsid w:val="009F40D7"/>
    <w:rsid w:val="009F41A5"/>
    <w:rsid w:val="009F4241"/>
    <w:rsid w:val="009F4296"/>
    <w:rsid w:val="009F4307"/>
    <w:rsid w:val="009F4352"/>
    <w:rsid w:val="009F43A5"/>
    <w:rsid w:val="009F43C7"/>
    <w:rsid w:val="009F43D3"/>
    <w:rsid w:val="009F43E0"/>
    <w:rsid w:val="009F455A"/>
    <w:rsid w:val="009F459F"/>
    <w:rsid w:val="009F45AB"/>
    <w:rsid w:val="009F4662"/>
    <w:rsid w:val="009F4710"/>
    <w:rsid w:val="009F4714"/>
    <w:rsid w:val="009F47FD"/>
    <w:rsid w:val="009F4832"/>
    <w:rsid w:val="009F4874"/>
    <w:rsid w:val="009F48B2"/>
    <w:rsid w:val="009F48B4"/>
    <w:rsid w:val="009F48BB"/>
    <w:rsid w:val="009F495B"/>
    <w:rsid w:val="009F4971"/>
    <w:rsid w:val="009F4980"/>
    <w:rsid w:val="009F4A17"/>
    <w:rsid w:val="009F4AA9"/>
    <w:rsid w:val="009F4B42"/>
    <w:rsid w:val="009F4B4E"/>
    <w:rsid w:val="009F4BE8"/>
    <w:rsid w:val="009F4C2A"/>
    <w:rsid w:val="009F4D39"/>
    <w:rsid w:val="009F4D88"/>
    <w:rsid w:val="009F4E2B"/>
    <w:rsid w:val="009F4E65"/>
    <w:rsid w:val="009F4E9C"/>
    <w:rsid w:val="009F4F8C"/>
    <w:rsid w:val="009F4FE1"/>
    <w:rsid w:val="009F506B"/>
    <w:rsid w:val="009F50A3"/>
    <w:rsid w:val="009F512E"/>
    <w:rsid w:val="009F5181"/>
    <w:rsid w:val="009F5260"/>
    <w:rsid w:val="009F52EB"/>
    <w:rsid w:val="009F531D"/>
    <w:rsid w:val="009F5383"/>
    <w:rsid w:val="009F547B"/>
    <w:rsid w:val="009F55BB"/>
    <w:rsid w:val="009F55EE"/>
    <w:rsid w:val="009F5672"/>
    <w:rsid w:val="009F578E"/>
    <w:rsid w:val="009F579D"/>
    <w:rsid w:val="009F5A30"/>
    <w:rsid w:val="009F5A77"/>
    <w:rsid w:val="009F5B2B"/>
    <w:rsid w:val="009F5BD6"/>
    <w:rsid w:val="009F5C55"/>
    <w:rsid w:val="009F5C78"/>
    <w:rsid w:val="009F5C81"/>
    <w:rsid w:val="009F5D21"/>
    <w:rsid w:val="009F5DB5"/>
    <w:rsid w:val="009F5DBB"/>
    <w:rsid w:val="009F5EDF"/>
    <w:rsid w:val="009F5F6A"/>
    <w:rsid w:val="009F5F97"/>
    <w:rsid w:val="009F60C9"/>
    <w:rsid w:val="009F60F2"/>
    <w:rsid w:val="009F611D"/>
    <w:rsid w:val="009F6125"/>
    <w:rsid w:val="009F615A"/>
    <w:rsid w:val="009F6218"/>
    <w:rsid w:val="009F62F9"/>
    <w:rsid w:val="009F6316"/>
    <w:rsid w:val="009F6365"/>
    <w:rsid w:val="009F6387"/>
    <w:rsid w:val="009F63B4"/>
    <w:rsid w:val="009F63F3"/>
    <w:rsid w:val="009F644B"/>
    <w:rsid w:val="009F648B"/>
    <w:rsid w:val="009F6493"/>
    <w:rsid w:val="009F657F"/>
    <w:rsid w:val="009F65A5"/>
    <w:rsid w:val="009F6628"/>
    <w:rsid w:val="009F66A6"/>
    <w:rsid w:val="009F6718"/>
    <w:rsid w:val="009F671E"/>
    <w:rsid w:val="009F6790"/>
    <w:rsid w:val="009F683F"/>
    <w:rsid w:val="009F685A"/>
    <w:rsid w:val="009F689D"/>
    <w:rsid w:val="009F68D2"/>
    <w:rsid w:val="009F6900"/>
    <w:rsid w:val="009F69B5"/>
    <w:rsid w:val="009F6B38"/>
    <w:rsid w:val="009F6BDF"/>
    <w:rsid w:val="009F6C9D"/>
    <w:rsid w:val="009F6D77"/>
    <w:rsid w:val="009F6E7A"/>
    <w:rsid w:val="009F6EE0"/>
    <w:rsid w:val="009F6F0E"/>
    <w:rsid w:val="009F6F22"/>
    <w:rsid w:val="009F6FAB"/>
    <w:rsid w:val="009F6FFB"/>
    <w:rsid w:val="009F7018"/>
    <w:rsid w:val="009F719C"/>
    <w:rsid w:val="009F722E"/>
    <w:rsid w:val="009F728E"/>
    <w:rsid w:val="009F72AC"/>
    <w:rsid w:val="009F72C7"/>
    <w:rsid w:val="009F72CD"/>
    <w:rsid w:val="009F7367"/>
    <w:rsid w:val="009F7484"/>
    <w:rsid w:val="009F7550"/>
    <w:rsid w:val="009F7703"/>
    <w:rsid w:val="009F7744"/>
    <w:rsid w:val="009F7784"/>
    <w:rsid w:val="009F77A6"/>
    <w:rsid w:val="009F77A9"/>
    <w:rsid w:val="009F7812"/>
    <w:rsid w:val="009F7850"/>
    <w:rsid w:val="009F7866"/>
    <w:rsid w:val="009F7903"/>
    <w:rsid w:val="009F793C"/>
    <w:rsid w:val="009F793D"/>
    <w:rsid w:val="009F7977"/>
    <w:rsid w:val="009F79C8"/>
    <w:rsid w:val="009F7A03"/>
    <w:rsid w:val="009F7A3B"/>
    <w:rsid w:val="009F7A99"/>
    <w:rsid w:val="009F7AD7"/>
    <w:rsid w:val="009F7B16"/>
    <w:rsid w:val="009F7B6A"/>
    <w:rsid w:val="009F7B6D"/>
    <w:rsid w:val="009F7BBF"/>
    <w:rsid w:val="009F7C01"/>
    <w:rsid w:val="009F7C76"/>
    <w:rsid w:val="009F7D11"/>
    <w:rsid w:val="009F7D3A"/>
    <w:rsid w:val="009F7D89"/>
    <w:rsid w:val="009F7D95"/>
    <w:rsid w:val="009F7D9B"/>
    <w:rsid w:val="009F7E85"/>
    <w:rsid w:val="009F7EE3"/>
    <w:rsid w:val="009F7EFA"/>
    <w:rsid w:val="009F7F45"/>
    <w:rsid w:val="009F7F88"/>
    <w:rsid w:val="00A000BF"/>
    <w:rsid w:val="00A00109"/>
    <w:rsid w:val="00A001EA"/>
    <w:rsid w:val="00A00246"/>
    <w:rsid w:val="00A002D9"/>
    <w:rsid w:val="00A003E4"/>
    <w:rsid w:val="00A0056F"/>
    <w:rsid w:val="00A0065E"/>
    <w:rsid w:val="00A00765"/>
    <w:rsid w:val="00A0076A"/>
    <w:rsid w:val="00A00837"/>
    <w:rsid w:val="00A008CD"/>
    <w:rsid w:val="00A00911"/>
    <w:rsid w:val="00A00A6A"/>
    <w:rsid w:val="00A00AA6"/>
    <w:rsid w:val="00A00B3F"/>
    <w:rsid w:val="00A00B44"/>
    <w:rsid w:val="00A00B51"/>
    <w:rsid w:val="00A00D33"/>
    <w:rsid w:val="00A00D43"/>
    <w:rsid w:val="00A00DAA"/>
    <w:rsid w:val="00A00E2C"/>
    <w:rsid w:val="00A00F61"/>
    <w:rsid w:val="00A01099"/>
    <w:rsid w:val="00A0118B"/>
    <w:rsid w:val="00A01197"/>
    <w:rsid w:val="00A0137F"/>
    <w:rsid w:val="00A0139D"/>
    <w:rsid w:val="00A013E5"/>
    <w:rsid w:val="00A01415"/>
    <w:rsid w:val="00A01443"/>
    <w:rsid w:val="00A01506"/>
    <w:rsid w:val="00A01575"/>
    <w:rsid w:val="00A0165D"/>
    <w:rsid w:val="00A016DF"/>
    <w:rsid w:val="00A01713"/>
    <w:rsid w:val="00A01735"/>
    <w:rsid w:val="00A0180D"/>
    <w:rsid w:val="00A0188A"/>
    <w:rsid w:val="00A018E9"/>
    <w:rsid w:val="00A01A57"/>
    <w:rsid w:val="00A01B8B"/>
    <w:rsid w:val="00A01B9F"/>
    <w:rsid w:val="00A01D14"/>
    <w:rsid w:val="00A01E42"/>
    <w:rsid w:val="00A01E55"/>
    <w:rsid w:val="00A01E7E"/>
    <w:rsid w:val="00A01F2C"/>
    <w:rsid w:val="00A01F38"/>
    <w:rsid w:val="00A01FC0"/>
    <w:rsid w:val="00A01FCE"/>
    <w:rsid w:val="00A01FE4"/>
    <w:rsid w:val="00A02021"/>
    <w:rsid w:val="00A0204B"/>
    <w:rsid w:val="00A0209A"/>
    <w:rsid w:val="00A020E8"/>
    <w:rsid w:val="00A02120"/>
    <w:rsid w:val="00A02122"/>
    <w:rsid w:val="00A02248"/>
    <w:rsid w:val="00A0227F"/>
    <w:rsid w:val="00A022A8"/>
    <w:rsid w:val="00A022B3"/>
    <w:rsid w:val="00A0237B"/>
    <w:rsid w:val="00A023A9"/>
    <w:rsid w:val="00A024EC"/>
    <w:rsid w:val="00A02515"/>
    <w:rsid w:val="00A0254E"/>
    <w:rsid w:val="00A0257A"/>
    <w:rsid w:val="00A026EE"/>
    <w:rsid w:val="00A027D9"/>
    <w:rsid w:val="00A0283D"/>
    <w:rsid w:val="00A02890"/>
    <w:rsid w:val="00A028E9"/>
    <w:rsid w:val="00A029F8"/>
    <w:rsid w:val="00A02AB9"/>
    <w:rsid w:val="00A02B13"/>
    <w:rsid w:val="00A02B14"/>
    <w:rsid w:val="00A02B22"/>
    <w:rsid w:val="00A02B63"/>
    <w:rsid w:val="00A02C19"/>
    <w:rsid w:val="00A02C59"/>
    <w:rsid w:val="00A02CA1"/>
    <w:rsid w:val="00A02CC8"/>
    <w:rsid w:val="00A02DB8"/>
    <w:rsid w:val="00A02DEB"/>
    <w:rsid w:val="00A02E14"/>
    <w:rsid w:val="00A02E23"/>
    <w:rsid w:val="00A02E87"/>
    <w:rsid w:val="00A02EEB"/>
    <w:rsid w:val="00A02EF8"/>
    <w:rsid w:val="00A02F02"/>
    <w:rsid w:val="00A02F6F"/>
    <w:rsid w:val="00A02F94"/>
    <w:rsid w:val="00A02FA6"/>
    <w:rsid w:val="00A0300E"/>
    <w:rsid w:val="00A0311F"/>
    <w:rsid w:val="00A031C3"/>
    <w:rsid w:val="00A033F8"/>
    <w:rsid w:val="00A03422"/>
    <w:rsid w:val="00A03427"/>
    <w:rsid w:val="00A0342A"/>
    <w:rsid w:val="00A03503"/>
    <w:rsid w:val="00A03533"/>
    <w:rsid w:val="00A035C4"/>
    <w:rsid w:val="00A0361E"/>
    <w:rsid w:val="00A0362B"/>
    <w:rsid w:val="00A0365A"/>
    <w:rsid w:val="00A03665"/>
    <w:rsid w:val="00A0368F"/>
    <w:rsid w:val="00A036A7"/>
    <w:rsid w:val="00A036A8"/>
    <w:rsid w:val="00A036CA"/>
    <w:rsid w:val="00A036D0"/>
    <w:rsid w:val="00A03833"/>
    <w:rsid w:val="00A0387A"/>
    <w:rsid w:val="00A03938"/>
    <w:rsid w:val="00A039A4"/>
    <w:rsid w:val="00A039C7"/>
    <w:rsid w:val="00A03B28"/>
    <w:rsid w:val="00A03BAD"/>
    <w:rsid w:val="00A03BF3"/>
    <w:rsid w:val="00A03C09"/>
    <w:rsid w:val="00A03C35"/>
    <w:rsid w:val="00A03C71"/>
    <w:rsid w:val="00A03C83"/>
    <w:rsid w:val="00A03CBA"/>
    <w:rsid w:val="00A03CD9"/>
    <w:rsid w:val="00A03D2D"/>
    <w:rsid w:val="00A03D5F"/>
    <w:rsid w:val="00A03D8A"/>
    <w:rsid w:val="00A03ECD"/>
    <w:rsid w:val="00A03F56"/>
    <w:rsid w:val="00A03F72"/>
    <w:rsid w:val="00A03F84"/>
    <w:rsid w:val="00A03FE5"/>
    <w:rsid w:val="00A04067"/>
    <w:rsid w:val="00A040DE"/>
    <w:rsid w:val="00A0412D"/>
    <w:rsid w:val="00A04146"/>
    <w:rsid w:val="00A041C4"/>
    <w:rsid w:val="00A041E7"/>
    <w:rsid w:val="00A041EE"/>
    <w:rsid w:val="00A0420A"/>
    <w:rsid w:val="00A042AA"/>
    <w:rsid w:val="00A04380"/>
    <w:rsid w:val="00A0439C"/>
    <w:rsid w:val="00A04422"/>
    <w:rsid w:val="00A0449C"/>
    <w:rsid w:val="00A04565"/>
    <w:rsid w:val="00A045E7"/>
    <w:rsid w:val="00A0461C"/>
    <w:rsid w:val="00A0464E"/>
    <w:rsid w:val="00A04722"/>
    <w:rsid w:val="00A047F7"/>
    <w:rsid w:val="00A0481B"/>
    <w:rsid w:val="00A0494E"/>
    <w:rsid w:val="00A049D2"/>
    <w:rsid w:val="00A049E1"/>
    <w:rsid w:val="00A04A31"/>
    <w:rsid w:val="00A04B97"/>
    <w:rsid w:val="00A04C54"/>
    <w:rsid w:val="00A04D4E"/>
    <w:rsid w:val="00A04D62"/>
    <w:rsid w:val="00A04D83"/>
    <w:rsid w:val="00A04E29"/>
    <w:rsid w:val="00A04E73"/>
    <w:rsid w:val="00A04E77"/>
    <w:rsid w:val="00A04EA8"/>
    <w:rsid w:val="00A04ED3"/>
    <w:rsid w:val="00A04FC7"/>
    <w:rsid w:val="00A04FD4"/>
    <w:rsid w:val="00A04FEE"/>
    <w:rsid w:val="00A050F2"/>
    <w:rsid w:val="00A05199"/>
    <w:rsid w:val="00A051F1"/>
    <w:rsid w:val="00A051F8"/>
    <w:rsid w:val="00A0522B"/>
    <w:rsid w:val="00A052AC"/>
    <w:rsid w:val="00A052B5"/>
    <w:rsid w:val="00A052C1"/>
    <w:rsid w:val="00A0538B"/>
    <w:rsid w:val="00A053B4"/>
    <w:rsid w:val="00A0544D"/>
    <w:rsid w:val="00A05451"/>
    <w:rsid w:val="00A05472"/>
    <w:rsid w:val="00A056C7"/>
    <w:rsid w:val="00A0578C"/>
    <w:rsid w:val="00A057A8"/>
    <w:rsid w:val="00A057CF"/>
    <w:rsid w:val="00A057E7"/>
    <w:rsid w:val="00A057E9"/>
    <w:rsid w:val="00A05967"/>
    <w:rsid w:val="00A059A5"/>
    <w:rsid w:val="00A05A4B"/>
    <w:rsid w:val="00A05A59"/>
    <w:rsid w:val="00A05A62"/>
    <w:rsid w:val="00A05A6A"/>
    <w:rsid w:val="00A05ACC"/>
    <w:rsid w:val="00A05ADD"/>
    <w:rsid w:val="00A05B95"/>
    <w:rsid w:val="00A05BA2"/>
    <w:rsid w:val="00A05C83"/>
    <w:rsid w:val="00A05CBD"/>
    <w:rsid w:val="00A05DAB"/>
    <w:rsid w:val="00A05E8B"/>
    <w:rsid w:val="00A05FAA"/>
    <w:rsid w:val="00A060FE"/>
    <w:rsid w:val="00A06138"/>
    <w:rsid w:val="00A061A5"/>
    <w:rsid w:val="00A06220"/>
    <w:rsid w:val="00A062A1"/>
    <w:rsid w:val="00A062AB"/>
    <w:rsid w:val="00A0630F"/>
    <w:rsid w:val="00A0657A"/>
    <w:rsid w:val="00A06604"/>
    <w:rsid w:val="00A06612"/>
    <w:rsid w:val="00A0668B"/>
    <w:rsid w:val="00A066EC"/>
    <w:rsid w:val="00A06749"/>
    <w:rsid w:val="00A0677C"/>
    <w:rsid w:val="00A06793"/>
    <w:rsid w:val="00A0686F"/>
    <w:rsid w:val="00A0689F"/>
    <w:rsid w:val="00A06905"/>
    <w:rsid w:val="00A0693E"/>
    <w:rsid w:val="00A06962"/>
    <w:rsid w:val="00A0696B"/>
    <w:rsid w:val="00A069D9"/>
    <w:rsid w:val="00A06A29"/>
    <w:rsid w:val="00A06A71"/>
    <w:rsid w:val="00A06A8E"/>
    <w:rsid w:val="00A06AB5"/>
    <w:rsid w:val="00A06B0D"/>
    <w:rsid w:val="00A06B27"/>
    <w:rsid w:val="00A06B66"/>
    <w:rsid w:val="00A06B79"/>
    <w:rsid w:val="00A06C1E"/>
    <w:rsid w:val="00A06C47"/>
    <w:rsid w:val="00A06C68"/>
    <w:rsid w:val="00A06C9C"/>
    <w:rsid w:val="00A06CF3"/>
    <w:rsid w:val="00A06D30"/>
    <w:rsid w:val="00A06DAC"/>
    <w:rsid w:val="00A06F05"/>
    <w:rsid w:val="00A06F32"/>
    <w:rsid w:val="00A0705B"/>
    <w:rsid w:val="00A07105"/>
    <w:rsid w:val="00A07185"/>
    <w:rsid w:val="00A07266"/>
    <w:rsid w:val="00A07293"/>
    <w:rsid w:val="00A072AA"/>
    <w:rsid w:val="00A073DB"/>
    <w:rsid w:val="00A07430"/>
    <w:rsid w:val="00A074A9"/>
    <w:rsid w:val="00A074B3"/>
    <w:rsid w:val="00A074B6"/>
    <w:rsid w:val="00A074C4"/>
    <w:rsid w:val="00A07576"/>
    <w:rsid w:val="00A075A0"/>
    <w:rsid w:val="00A075AB"/>
    <w:rsid w:val="00A07605"/>
    <w:rsid w:val="00A0768B"/>
    <w:rsid w:val="00A076DB"/>
    <w:rsid w:val="00A0774D"/>
    <w:rsid w:val="00A077A6"/>
    <w:rsid w:val="00A077BB"/>
    <w:rsid w:val="00A077DD"/>
    <w:rsid w:val="00A0784D"/>
    <w:rsid w:val="00A0791A"/>
    <w:rsid w:val="00A07929"/>
    <w:rsid w:val="00A079CA"/>
    <w:rsid w:val="00A079DC"/>
    <w:rsid w:val="00A07B06"/>
    <w:rsid w:val="00A07C6A"/>
    <w:rsid w:val="00A07C99"/>
    <w:rsid w:val="00A07CC9"/>
    <w:rsid w:val="00A07D2B"/>
    <w:rsid w:val="00A07D72"/>
    <w:rsid w:val="00A07DA8"/>
    <w:rsid w:val="00A07DD7"/>
    <w:rsid w:val="00A07E2D"/>
    <w:rsid w:val="00A07EA6"/>
    <w:rsid w:val="00A07F5B"/>
    <w:rsid w:val="00A1008A"/>
    <w:rsid w:val="00A100D2"/>
    <w:rsid w:val="00A10156"/>
    <w:rsid w:val="00A1015F"/>
    <w:rsid w:val="00A1019A"/>
    <w:rsid w:val="00A10249"/>
    <w:rsid w:val="00A10279"/>
    <w:rsid w:val="00A10283"/>
    <w:rsid w:val="00A102DE"/>
    <w:rsid w:val="00A10340"/>
    <w:rsid w:val="00A103EC"/>
    <w:rsid w:val="00A10415"/>
    <w:rsid w:val="00A1042A"/>
    <w:rsid w:val="00A1044F"/>
    <w:rsid w:val="00A104A1"/>
    <w:rsid w:val="00A10508"/>
    <w:rsid w:val="00A1050E"/>
    <w:rsid w:val="00A10510"/>
    <w:rsid w:val="00A10538"/>
    <w:rsid w:val="00A105B6"/>
    <w:rsid w:val="00A1065E"/>
    <w:rsid w:val="00A106B8"/>
    <w:rsid w:val="00A106BC"/>
    <w:rsid w:val="00A106E3"/>
    <w:rsid w:val="00A10753"/>
    <w:rsid w:val="00A10794"/>
    <w:rsid w:val="00A10872"/>
    <w:rsid w:val="00A10947"/>
    <w:rsid w:val="00A10994"/>
    <w:rsid w:val="00A1099A"/>
    <w:rsid w:val="00A10A1E"/>
    <w:rsid w:val="00A10A28"/>
    <w:rsid w:val="00A10AB0"/>
    <w:rsid w:val="00A10ADC"/>
    <w:rsid w:val="00A10B17"/>
    <w:rsid w:val="00A10BA5"/>
    <w:rsid w:val="00A10C22"/>
    <w:rsid w:val="00A10CD8"/>
    <w:rsid w:val="00A10CEB"/>
    <w:rsid w:val="00A10D53"/>
    <w:rsid w:val="00A10D6D"/>
    <w:rsid w:val="00A10F04"/>
    <w:rsid w:val="00A10F0C"/>
    <w:rsid w:val="00A10F1D"/>
    <w:rsid w:val="00A10F4B"/>
    <w:rsid w:val="00A10F91"/>
    <w:rsid w:val="00A11151"/>
    <w:rsid w:val="00A11217"/>
    <w:rsid w:val="00A1123D"/>
    <w:rsid w:val="00A11296"/>
    <w:rsid w:val="00A112B8"/>
    <w:rsid w:val="00A1138B"/>
    <w:rsid w:val="00A113C3"/>
    <w:rsid w:val="00A11438"/>
    <w:rsid w:val="00A11447"/>
    <w:rsid w:val="00A1144E"/>
    <w:rsid w:val="00A1145F"/>
    <w:rsid w:val="00A11462"/>
    <w:rsid w:val="00A1149F"/>
    <w:rsid w:val="00A114D6"/>
    <w:rsid w:val="00A11586"/>
    <w:rsid w:val="00A11588"/>
    <w:rsid w:val="00A115A4"/>
    <w:rsid w:val="00A116FA"/>
    <w:rsid w:val="00A11796"/>
    <w:rsid w:val="00A118CC"/>
    <w:rsid w:val="00A118DC"/>
    <w:rsid w:val="00A118DE"/>
    <w:rsid w:val="00A11934"/>
    <w:rsid w:val="00A11990"/>
    <w:rsid w:val="00A119DF"/>
    <w:rsid w:val="00A11A95"/>
    <w:rsid w:val="00A11C03"/>
    <w:rsid w:val="00A11C79"/>
    <w:rsid w:val="00A11CF7"/>
    <w:rsid w:val="00A11D4E"/>
    <w:rsid w:val="00A11D9C"/>
    <w:rsid w:val="00A11EBE"/>
    <w:rsid w:val="00A11F12"/>
    <w:rsid w:val="00A11F34"/>
    <w:rsid w:val="00A11F58"/>
    <w:rsid w:val="00A11F62"/>
    <w:rsid w:val="00A11F8C"/>
    <w:rsid w:val="00A120EB"/>
    <w:rsid w:val="00A12118"/>
    <w:rsid w:val="00A12139"/>
    <w:rsid w:val="00A1213B"/>
    <w:rsid w:val="00A12174"/>
    <w:rsid w:val="00A1218A"/>
    <w:rsid w:val="00A121C5"/>
    <w:rsid w:val="00A12344"/>
    <w:rsid w:val="00A1234A"/>
    <w:rsid w:val="00A1240C"/>
    <w:rsid w:val="00A1246B"/>
    <w:rsid w:val="00A12475"/>
    <w:rsid w:val="00A1247D"/>
    <w:rsid w:val="00A124A9"/>
    <w:rsid w:val="00A124DD"/>
    <w:rsid w:val="00A12536"/>
    <w:rsid w:val="00A125CC"/>
    <w:rsid w:val="00A12634"/>
    <w:rsid w:val="00A1270A"/>
    <w:rsid w:val="00A127A8"/>
    <w:rsid w:val="00A12825"/>
    <w:rsid w:val="00A12835"/>
    <w:rsid w:val="00A1289D"/>
    <w:rsid w:val="00A128BE"/>
    <w:rsid w:val="00A12935"/>
    <w:rsid w:val="00A12936"/>
    <w:rsid w:val="00A1293D"/>
    <w:rsid w:val="00A129BB"/>
    <w:rsid w:val="00A12A89"/>
    <w:rsid w:val="00A12AFF"/>
    <w:rsid w:val="00A12B60"/>
    <w:rsid w:val="00A12C03"/>
    <w:rsid w:val="00A12CCD"/>
    <w:rsid w:val="00A12D93"/>
    <w:rsid w:val="00A12DA7"/>
    <w:rsid w:val="00A12E29"/>
    <w:rsid w:val="00A12E5E"/>
    <w:rsid w:val="00A12E9B"/>
    <w:rsid w:val="00A12EF7"/>
    <w:rsid w:val="00A12F60"/>
    <w:rsid w:val="00A12F61"/>
    <w:rsid w:val="00A12FBC"/>
    <w:rsid w:val="00A12FCA"/>
    <w:rsid w:val="00A13039"/>
    <w:rsid w:val="00A13047"/>
    <w:rsid w:val="00A13097"/>
    <w:rsid w:val="00A13171"/>
    <w:rsid w:val="00A13227"/>
    <w:rsid w:val="00A13252"/>
    <w:rsid w:val="00A1329D"/>
    <w:rsid w:val="00A132F1"/>
    <w:rsid w:val="00A13369"/>
    <w:rsid w:val="00A13375"/>
    <w:rsid w:val="00A13440"/>
    <w:rsid w:val="00A13466"/>
    <w:rsid w:val="00A1348E"/>
    <w:rsid w:val="00A134CC"/>
    <w:rsid w:val="00A13546"/>
    <w:rsid w:val="00A13572"/>
    <w:rsid w:val="00A135A4"/>
    <w:rsid w:val="00A135D5"/>
    <w:rsid w:val="00A13639"/>
    <w:rsid w:val="00A1363C"/>
    <w:rsid w:val="00A1365E"/>
    <w:rsid w:val="00A13769"/>
    <w:rsid w:val="00A1388F"/>
    <w:rsid w:val="00A138DF"/>
    <w:rsid w:val="00A139E0"/>
    <w:rsid w:val="00A13A72"/>
    <w:rsid w:val="00A13A88"/>
    <w:rsid w:val="00A13A9D"/>
    <w:rsid w:val="00A13AD8"/>
    <w:rsid w:val="00A13AED"/>
    <w:rsid w:val="00A13B18"/>
    <w:rsid w:val="00A13B1B"/>
    <w:rsid w:val="00A13B1C"/>
    <w:rsid w:val="00A13C13"/>
    <w:rsid w:val="00A13CE7"/>
    <w:rsid w:val="00A13D29"/>
    <w:rsid w:val="00A13D2F"/>
    <w:rsid w:val="00A13D67"/>
    <w:rsid w:val="00A13D7E"/>
    <w:rsid w:val="00A13DF2"/>
    <w:rsid w:val="00A13ED5"/>
    <w:rsid w:val="00A1400A"/>
    <w:rsid w:val="00A14084"/>
    <w:rsid w:val="00A140B3"/>
    <w:rsid w:val="00A140E6"/>
    <w:rsid w:val="00A140FE"/>
    <w:rsid w:val="00A1421D"/>
    <w:rsid w:val="00A142B4"/>
    <w:rsid w:val="00A14464"/>
    <w:rsid w:val="00A14499"/>
    <w:rsid w:val="00A14517"/>
    <w:rsid w:val="00A1453F"/>
    <w:rsid w:val="00A1455A"/>
    <w:rsid w:val="00A1465C"/>
    <w:rsid w:val="00A14678"/>
    <w:rsid w:val="00A14719"/>
    <w:rsid w:val="00A14813"/>
    <w:rsid w:val="00A148A6"/>
    <w:rsid w:val="00A148BF"/>
    <w:rsid w:val="00A14926"/>
    <w:rsid w:val="00A14943"/>
    <w:rsid w:val="00A14A47"/>
    <w:rsid w:val="00A14AE0"/>
    <w:rsid w:val="00A14BF5"/>
    <w:rsid w:val="00A14CEE"/>
    <w:rsid w:val="00A14DA7"/>
    <w:rsid w:val="00A14E22"/>
    <w:rsid w:val="00A14E81"/>
    <w:rsid w:val="00A14F12"/>
    <w:rsid w:val="00A15034"/>
    <w:rsid w:val="00A15076"/>
    <w:rsid w:val="00A150C0"/>
    <w:rsid w:val="00A15110"/>
    <w:rsid w:val="00A15112"/>
    <w:rsid w:val="00A15145"/>
    <w:rsid w:val="00A15152"/>
    <w:rsid w:val="00A151DD"/>
    <w:rsid w:val="00A15275"/>
    <w:rsid w:val="00A15464"/>
    <w:rsid w:val="00A1549A"/>
    <w:rsid w:val="00A154F0"/>
    <w:rsid w:val="00A15579"/>
    <w:rsid w:val="00A15580"/>
    <w:rsid w:val="00A155AF"/>
    <w:rsid w:val="00A15607"/>
    <w:rsid w:val="00A15621"/>
    <w:rsid w:val="00A156C7"/>
    <w:rsid w:val="00A15712"/>
    <w:rsid w:val="00A1586F"/>
    <w:rsid w:val="00A159D7"/>
    <w:rsid w:val="00A15AA6"/>
    <w:rsid w:val="00A15AC3"/>
    <w:rsid w:val="00A15AC6"/>
    <w:rsid w:val="00A15B49"/>
    <w:rsid w:val="00A15B58"/>
    <w:rsid w:val="00A15BE8"/>
    <w:rsid w:val="00A15C52"/>
    <w:rsid w:val="00A15C66"/>
    <w:rsid w:val="00A15CC1"/>
    <w:rsid w:val="00A15D9D"/>
    <w:rsid w:val="00A15DDE"/>
    <w:rsid w:val="00A15DEC"/>
    <w:rsid w:val="00A15E31"/>
    <w:rsid w:val="00A15E5C"/>
    <w:rsid w:val="00A15E70"/>
    <w:rsid w:val="00A15F32"/>
    <w:rsid w:val="00A15F54"/>
    <w:rsid w:val="00A16110"/>
    <w:rsid w:val="00A16134"/>
    <w:rsid w:val="00A161E0"/>
    <w:rsid w:val="00A1624B"/>
    <w:rsid w:val="00A162AC"/>
    <w:rsid w:val="00A163CC"/>
    <w:rsid w:val="00A163E1"/>
    <w:rsid w:val="00A16400"/>
    <w:rsid w:val="00A16420"/>
    <w:rsid w:val="00A16472"/>
    <w:rsid w:val="00A164DC"/>
    <w:rsid w:val="00A1657D"/>
    <w:rsid w:val="00A16602"/>
    <w:rsid w:val="00A16626"/>
    <w:rsid w:val="00A16669"/>
    <w:rsid w:val="00A166B7"/>
    <w:rsid w:val="00A166EB"/>
    <w:rsid w:val="00A16755"/>
    <w:rsid w:val="00A16824"/>
    <w:rsid w:val="00A1687F"/>
    <w:rsid w:val="00A168FB"/>
    <w:rsid w:val="00A169DF"/>
    <w:rsid w:val="00A16D36"/>
    <w:rsid w:val="00A16D64"/>
    <w:rsid w:val="00A16D8C"/>
    <w:rsid w:val="00A16DB5"/>
    <w:rsid w:val="00A16DED"/>
    <w:rsid w:val="00A16E41"/>
    <w:rsid w:val="00A16E57"/>
    <w:rsid w:val="00A16E67"/>
    <w:rsid w:val="00A16E79"/>
    <w:rsid w:val="00A16EA1"/>
    <w:rsid w:val="00A16F02"/>
    <w:rsid w:val="00A16F2F"/>
    <w:rsid w:val="00A1703B"/>
    <w:rsid w:val="00A170A1"/>
    <w:rsid w:val="00A17157"/>
    <w:rsid w:val="00A17166"/>
    <w:rsid w:val="00A17352"/>
    <w:rsid w:val="00A1757E"/>
    <w:rsid w:val="00A17652"/>
    <w:rsid w:val="00A176B5"/>
    <w:rsid w:val="00A17764"/>
    <w:rsid w:val="00A17829"/>
    <w:rsid w:val="00A17874"/>
    <w:rsid w:val="00A178EB"/>
    <w:rsid w:val="00A178ED"/>
    <w:rsid w:val="00A17AD1"/>
    <w:rsid w:val="00A17B6E"/>
    <w:rsid w:val="00A17C0F"/>
    <w:rsid w:val="00A17CBA"/>
    <w:rsid w:val="00A17DC9"/>
    <w:rsid w:val="00A17DFC"/>
    <w:rsid w:val="00A17F20"/>
    <w:rsid w:val="00A17F2B"/>
    <w:rsid w:val="00A17F45"/>
    <w:rsid w:val="00A17F49"/>
    <w:rsid w:val="00A17F67"/>
    <w:rsid w:val="00A17FE3"/>
    <w:rsid w:val="00A2000D"/>
    <w:rsid w:val="00A2005E"/>
    <w:rsid w:val="00A200B5"/>
    <w:rsid w:val="00A20187"/>
    <w:rsid w:val="00A20194"/>
    <w:rsid w:val="00A201ED"/>
    <w:rsid w:val="00A20222"/>
    <w:rsid w:val="00A2024B"/>
    <w:rsid w:val="00A20250"/>
    <w:rsid w:val="00A202C2"/>
    <w:rsid w:val="00A20406"/>
    <w:rsid w:val="00A20475"/>
    <w:rsid w:val="00A20492"/>
    <w:rsid w:val="00A204E1"/>
    <w:rsid w:val="00A20508"/>
    <w:rsid w:val="00A2058F"/>
    <w:rsid w:val="00A205E0"/>
    <w:rsid w:val="00A205E7"/>
    <w:rsid w:val="00A20606"/>
    <w:rsid w:val="00A2062B"/>
    <w:rsid w:val="00A20666"/>
    <w:rsid w:val="00A206A5"/>
    <w:rsid w:val="00A206AF"/>
    <w:rsid w:val="00A206D1"/>
    <w:rsid w:val="00A20704"/>
    <w:rsid w:val="00A20750"/>
    <w:rsid w:val="00A20766"/>
    <w:rsid w:val="00A207BE"/>
    <w:rsid w:val="00A2080D"/>
    <w:rsid w:val="00A20834"/>
    <w:rsid w:val="00A2088D"/>
    <w:rsid w:val="00A20917"/>
    <w:rsid w:val="00A2095D"/>
    <w:rsid w:val="00A20A06"/>
    <w:rsid w:val="00A20A2D"/>
    <w:rsid w:val="00A20A6A"/>
    <w:rsid w:val="00A20AF9"/>
    <w:rsid w:val="00A20B4D"/>
    <w:rsid w:val="00A20C39"/>
    <w:rsid w:val="00A20C3A"/>
    <w:rsid w:val="00A20C58"/>
    <w:rsid w:val="00A20CCB"/>
    <w:rsid w:val="00A20D14"/>
    <w:rsid w:val="00A20E75"/>
    <w:rsid w:val="00A20EBD"/>
    <w:rsid w:val="00A20F11"/>
    <w:rsid w:val="00A20F29"/>
    <w:rsid w:val="00A20F5D"/>
    <w:rsid w:val="00A20FA0"/>
    <w:rsid w:val="00A20FF7"/>
    <w:rsid w:val="00A21049"/>
    <w:rsid w:val="00A210BF"/>
    <w:rsid w:val="00A21117"/>
    <w:rsid w:val="00A212F2"/>
    <w:rsid w:val="00A2144D"/>
    <w:rsid w:val="00A21576"/>
    <w:rsid w:val="00A21665"/>
    <w:rsid w:val="00A21781"/>
    <w:rsid w:val="00A21822"/>
    <w:rsid w:val="00A21843"/>
    <w:rsid w:val="00A21892"/>
    <w:rsid w:val="00A2192F"/>
    <w:rsid w:val="00A21964"/>
    <w:rsid w:val="00A21B13"/>
    <w:rsid w:val="00A21B23"/>
    <w:rsid w:val="00A21C7D"/>
    <w:rsid w:val="00A21D49"/>
    <w:rsid w:val="00A21D7C"/>
    <w:rsid w:val="00A21DFC"/>
    <w:rsid w:val="00A21EDA"/>
    <w:rsid w:val="00A21EF7"/>
    <w:rsid w:val="00A21F3B"/>
    <w:rsid w:val="00A2202E"/>
    <w:rsid w:val="00A220A2"/>
    <w:rsid w:val="00A22113"/>
    <w:rsid w:val="00A2219F"/>
    <w:rsid w:val="00A22226"/>
    <w:rsid w:val="00A22233"/>
    <w:rsid w:val="00A222FC"/>
    <w:rsid w:val="00A2235A"/>
    <w:rsid w:val="00A22385"/>
    <w:rsid w:val="00A22412"/>
    <w:rsid w:val="00A22438"/>
    <w:rsid w:val="00A22493"/>
    <w:rsid w:val="00A224EC"/>
    <w:rsid w:val="00A2262B"/>
    <w:rsid w:val="00A226E1"/>
    <w:rsid w:val="00A2273B"/>
    <w:rsid w:val="00A22795"/>
    <w:rsid w:val="00A227A2"/>
    <w:rsid w:val="00A227CC"/>
    <w:rsid w:val="00A227D4"/>
    <w:rsid w:val="00A22850"/>
    <w:rsid w:val="00A22AF8"/>
    <w:rsid w:val="00A22B1D"/>
    <w:rsid w:val="00A22B9E"/>
    <w:rsid w:val="00A22C5C"/>
    <w:rsid w:val="00A22CC4"/>
    <w:rsid w:val="00A22D6B"/>
    <w:rsid w:val="00A22DEF"/>
    <w:rsid w:val="00A22FAA"/>
    <w:rsid w:val="00A23041"/>
    <w:rsid w:val="00A230E0"/>
    <w:rsid w:val="00A23124"/>
    <w:rsid w:val="00A231B2"/>
    <w:rsid w:val="00A2325E"/>
    <w:rsid w:val="00A23273"/>
    <w:rsid w:val="00A232B1"/>
    <w:rsid w:val="00A2330F"/>
    <w:rsid w:val="00A23376"/>
    <w:rsid w:val="00A233CE"/>
    <w:rsid w:val="00A234DE"/>
    <w:rsid w:val="00A2354E"/>
    <w:rsid w:val="00A236AC"/>
    <w:rsid w:val="00A236FE"/>
    <w:rsid w:val="00A23850"/>
    <w:rsid w:val="00A23858"/>
    <w:rsid w:val="00A23919"/>
    <w:rsid w:val="00A23993"/>
    <w:rsid w:val="00A2399A"/>
    <w:rsid w:val="00A23AD4"/>
    <w:rsid w:val="00A23B13"/>
    <w:rsid w:val="00A23B6C"/>
    <w:rsid w:val="00A23BBF"/>
    <w:rsid w:val="00A23C6A"/>
    <w:rsid w:val="00A23C99"/>
    <w:rsid w:val="00A23C9C"/>
    <w:rsid w:val="00A23CE3"/>
    <w:rsid w:val="00A23D93"/>
    <w:rsid w:val="00A23E17"/>
    <w:rsid w:val="00A23ED3"/>
    <w:rsid w:val="00A23F21"/>
    <w:rsid w:val="00A23F99"/>
    <w:rsid w:val="00A23FD6"/>
    <w:rsid w:val="00A2402F"/>
    <w:rsid w:val="00A240E9"/>
    <w:rsid w:val="00A24205"/>
    <w:rsid w:val="00A242C0"/>
    <w:rsid w:val="00A2433A"/>
    <w:rsid w:val="00A24372"/>
    <w:rsid w:val="00A243FB"/>
    <w:rsid w:val="00A24463"/>
    <w:rsid w:val="00A2452E"/>
    <w:rsid w:val="00A24554"/>
    <w:rsid w:val="00A24590"/>
    <w:rsid w:val="00A245BD"/>
    <w:rsid w:val="00A24695"/>
    <w:rsid w:val="00A246D2"/>
    <w:rsid w:val="00A24819"/>
    <w:rsid w:val="00A24849"/>
    <w:rsid w:val="00A24862"/>
    <w:rsid w:val="00A248AA"/>
    <w:rsid w:val="00A249CA"/>
    <w:rsid w:val="00A24BC1"/>
    <w:rsid w:val="00A24C71"/>
    <w:rsid w:val="00A24C95"/>
    <w:rsid w:val="00A24CC8"/>
    <w:rsid w:val="00A24CF1"/>
    <w:rsid w:val="00A24E30"/>
    <w:rsid w:val="00A24F7A"/>
    <w:rsid w:val="00A24FEC"/>
    <w:rsid w:val="00A2501D"/>
    <w:rsid w:val="00A250C9"/>
    <w:rsid w:val="00A25105"/>
    <w:rsid w:val="00A25169"/>
    <w:rsid w:val="00A2518D"/>
    <w:rsid w:val="00A251FD"/>
    <w:rsid w:val="00A25218"/>
    <w:rsid w:val="00A25229"/>
    <w:rsid w:val="00A25263"/>
    <w:rsid w:val="00A25329"/>
    <w:rsid w:val="00A25394"/>
    <w:rsid w:val="00A2540B"/>
    <w:rsid w:val="00A254FD"/>
    <w:rsid w:val="00A2551A"/>
    <w:rsid w:val="00A25527"/>
    <w:rsid w:val="00A2552A"/>
    <w:rsid w:val="00A2555F"/>
    <w:rsid w:val="00A25594"/>
    <w:rsid w:val="00A255F2"/>
    <w:rsid w:val="00A2567A"/>
    <w:rsid w:val="00A25781"/>
    <w:rsid w:val="00A257A1"/>
    <w:rsid w:val="00A257C5"/>
    <w:rsid w:val="00A257C6"/>
    <w:rsid w:val="00A257EF"/>
    <w:rsid w:val="00A2585A"/>
    <w:rsid w:val="00A25964"/>
    <w:rsid w:val="00A25A68"/>
    <w:rsid w:val="00A25A8D"/>
    <w:rsid w:val="00A25ADD"/>
    <w:rsid w:val="00A25B3F"/>
    <w:rsid w:val="00A25B9F"/>
    <w:rsid w:val="00A25C40"/>
    <w:rsid w:val="00A25DD4"/>
    <w:rsid w:val="00A25DD6"/>
    <w:rsid w:val="00A25DDB"/>
    <w:rsid w:val="00A25E8C"/>
    <w:rsid w:val="00A25F0D"/>
    <w:rsid w:val="00A26013"/>
    <w:rsid w:val="00A2616B"/>
    <w:rsid w:val="00A2617F"/>
    <w:rsid w:val="00A262CC"/>
    <w:rsid w:val="00A262D1"/>
    <w:rsid w:val="00A262E4"/>
    <w:rsid w:val="00A26309"/>
    <w:rsid w:val="00A26337"/>
    <w:rsid w:val="00A2646E"/>
    <w:rsid w:val="00A26559"/>
    <w:rsid w:val="00A26580"/>
    <w:rsid w:val="00A265E9"/>
    <w:rsid w:val="00A26620"/>
    <w:rsid w:val="00A267BE"/>
    <w:rsid w:val="00A267FD"/>
    <w:rsid w:val="00A268E8"/>
    <w:rsid w:val="00A26906"/>
    <w:rsid w:val="00A269A7"/>
    <w:rsid w:val="00A269C9"/>
    <w:rsid w:val="00A26A2C"/>
    <w:rsid w:val="00A26A4F"/>
    <w:rsid w:val="00A26A74"/>
    <w:rsid w:val="00A26A7A"/>
    <w:rsid w:val="00A26A92"/>
    <w:rsid w:val="00A26AAC"/>
    <w:rsid w:val="00A26B01"/>
    <w:rsid w:val="00A26BB1"/>
    <w:rsid w:val="00A26D50"/>
    <w:rsid w:val="00A26D5C"/>
    <w:rsid w:val="00A26DA8"/>
    <w:rsid w:val="00A26E02"/>
    <w:rsid w:val="00A26F6A"/>
    <w:rsid w:val="00A27027"/>
    <w:rsid w:val="00A27154"/>
    <w:rsid w:val="00A271EE"/>
    <w:rsid w:val="00A27263"/>
    <w:rsid w:val="00A272CB"/>
    <w:rsid w:val="00A27304"/>
    <w:rsid w:val="00A27369"/>
    <w:rsid w:val="00A27381"/>
    <w:rsid w:val="00A273B6"/>
    <w:rsid w:val="00A27423"/>
    <w:rsid w:val="00A2745F"/>
    <w:rsid w:val="00A2761E"/>
    <w:rsid w:val="00A27661"/>
    <w:rsid w:val="00A2766F"/>
    <w:rsid w:val="00A27671"/>
    <w:rsid w:val="00A27692"/>
    <w:rsid w:val="00A27761"/>
    <w:rsid w:val="00A27773"/>
    <w:rsid w:val="00A277AA"/>
    <w:rsid w:val="00A2783D"/>
    <w:rsid w:val="00A278ED"/>
    <w:rsid w:val="00A279AA"/>
    <w:rsid w:val="00A27A1B"/>
    <w:rsid w:val="00A27AF2"/>
    <w:rsid w:val="00A27D86"/>
    <w:rsid w:val="00A27DA6"/>
    <w:rsid w:val="00A27DBE"/>
    <w:rsid w:val="00A27DC4"/>
    <w:rsid w:val="00A27E68"/>
    <w:rsid w:val="00A27EF6"/>
    <w:rsid w:val="00A27F6B"/>
    <w:rsid w:val="00A27F79"/>
    <w:rsid w:val="00A27FAF"/>
    <w:rsid w:val="00A30075"/>
    <w:rsid w:val="00A300BF"/>
    <w:rsid w:val="00A300C8"/>
    <w:rsid w:val="00A3028F"/>
    <w:rsid w:val="00A3029D"/>
    <w:rsid w:val="00A302A8"/>
    <w:rsid w:val="00A302C1"/>
    <w:rsid w:val="00A3048B"/>
    <w:rsid w:val="00A30535"/>
    <w:rsid w:val="00A306F2"/>
    <w:rsid w:val="00A30719"/>
    <w:rsid w:val="00A3079A"/>
    <w:rsid w:val="00A307E0"/>
    <w:rsid w:val="00A308AA"/>
    <w:rsid w:val="00A308CA"/>
    <w:rsid w:val="00A308D7"/>
    <w:rsid w:val="00A30989"/>
    <w:rsid w:val="00A30A83"/>
    <w:rsid w:val="00A30B61"/>
    <w:rsid w:val="00A30BB8"/>
    <w:rsid w:val="00A30C95"/>
    <w:rsid w:val="00A30D6D"/>
    <w:rsid w:val="00A30DD6"/>
    <w:rsid w:val="00A30F15"/>
    <w:rsid w:val="00A30F4E"/>
    <w:rsid w:val="00A31012"/>
    <w:rsid w:val="00A3107F"/>
    <w:rsid w:val="00A3109D"/>
    <w:rsid w:val="00A3110C"/>
    <w:rsid w:val="00A31147"/>
    <w:rsid w:val="00A31166"/>
    <w:rsid w:val="00A31241"/>
    <w:rsid w:val="00A31243"/>
    <w:rsid w:val="00A312A7"/>
    <w:rsid w:val="00A31381"/>
    <w:rsid w:val="00A31423"/>
    <w:rsid w:val="00A314B2"/>
    <w:rsid w:val="00A31574"/>
    <w:rsid w:val="00A3160D"/>
    <w:rsid w:val="00A3169B"/>
    <w:rsid w:val="00A316F3"/>
    <w:rsid w:val="00A316F7"/>
    <w:rsid w:val="00A3173C"/>
    <w:rsid w:val="00A317BF"/>
    <w:rsid w:val="00A31992"/>
    <w:rsid w:val="00A319A6"/>
    <w:rsid w:val="00A31A37"/>
    <w:rsid w:val="00A31B54"/>
    <w:rsid w:val="00A31C33"/>
    <w:rsid w:val="00A31CD5"/>
    <w:rsid w:val="00A31CF9"/>
    <w:rsid w:val="00A31D33"/>
    <w:rsid w:val="00A31D79"/>
    <w:rsid w:val="00A31D7B"/>
    <w:rsid w:val="00A31DA8"/>
    <w:rsid w:val="00A31DC0"/>
    <w:rsid w:val="00A31DD9"/>
    <w:rsid w:val="00A31EC0"/>
    <w:rsid w:val="00A31EC2"/>
    <w:rsid w:val="00A31F47"/>
    <w:rsid w:val="00A32063"/>
    <w:rsid w:val="00A321EA"/>
    <w:rsid w:val="00A32262"/>
    <w:rsid w:val="00A32398"/>
    <w:rsid w:val="00A324F6"/>
    <w:rsid w:val="00A32541"/>
    <w:rsid w:val="00A3259D"/>
    <w:rsid w:val="00A325E9"/>
    <w:rsid w:val="00A327BC"/>
    <w:rsid w:val="00A327E9"/>
    <w:rsid w:val="00A32800"/>
    <w:rsid w:val="00A3299A"/>
    <w:rsid w:val="00A329F5"/>
    <w:rsid w:val="00A32A44"/>
    <w:rsid w:val="00A32B41"/>
    <w:rsid w:val="00A32B42"/>
    <w:rsid w:val="00A32D03"/>
    <w:rsid w:val="00A32D12"/>
    <w:rsid w:val="00A32E1C"/>
    <w:rsid w:val="00A32E60"/>
    <w:rsid w:val="00A32EE7"/>
    <w:rsid w:val="00A32F00"/>
    <w:rsid w:val="00A32F43"/>
    <w:rsid w:val="00A32F88"/>
    <w:rsid w:val="00A32FE8"/>
    <w:rsid w:val="00A33020"/>
    <w:rsid w:val="00A330F4"/>
    <w:rsid w:val="00A33109"/>
    <w:rsid w:val="00A331E0"/>
    <w:rsid w:val="00A33215"/>
    <w:rsid w:val="00A33266"/>
    <w:rsid w:val="00A33275"/>
    <w:rsid w:val="00A332C4"/>
    <w:rsid w:val="00A3333C"/>
    <w:rsid w:val="00A33393"/>
    <w:rsid w:val="00A33394"/>
    <w:rsid w:val="00A333FA"/>
    <w:rsid w:val="00A33435"/>
    <w:rsid w:val="00A3350B"/>
    <w:rsid w:val="00A3356D"/>
    <w:rsid w:val="00A3357E"/>
    <w:rsid w:val="00A335A1"/>
    <w:rsid w:val="00A33996"/>
    <w:rsid w:val="00A339B2"/>
    <w:rsid w:val="00A339DA"/>
    <w:rsid w:val="00A33AD3"/>
    <w:rsid w:val="00A33AF4"/>
    <w:rsid w:val="00A33C33"/>
    <w:rsid w:val="00A33C58"/>
    <w:rsid w:val="00A33D02"/>
    <w:rsid w:val="00A33D71"/>
    <w:rsid w:val="00A33D7E"/>
    <w:rsid w:val="00A33E17"/>
    <w:rsid w:val="00A33F44"/>
    <w:rsid w:val="00A33FAC"/>
    <w:rsid w:val="00A34037"/>
    <w:rsid w:val="00A34068"/>
    <w:rsid w:val="00A340F5"/>
    <w:rsid w:val="00A34205"/>
    <w:rsid w:val="00A342AA"/>
    <w:rsid w:val="00A34409"/>
    <w:rsid w:val="00A34459"/>
    <w:rsid w:val="00A34475"/>
    <w:rsid w:val="00A344B5"/>
    <w:rsid w:val="00A34553"/>
    <w:rsid w:val="00A345A3"/>
    <w:rsid w:val="00A345BA"/>
    <w:rsid w:val="00A34638"/>
    <w:rsid w:val="00A3464C"/>
    <w:rsid w:val="00A346C8"/>
    <w:rsid w:val="00A34734"/>
    <w:rsid w:val="00A3476E"/>
    <w:rsid w:val="00A3477D"/>
    <w:rsid w:val="00A347B6"/>
    <w:rsid w:val="00A34811"/>
    <w:rsid w:val="00A3487F"/>
    <w:rsid w:val="00A34884"/>
    <w:rsid w:val="00A34924"/>
    <w:rsid w:val="00A34975"/>
    <w:rsid w:val="00A349CB"/>
    <w:rsid w:val="00A34ABD"/>
    <w:rsid w:val="00A34B0E"/>
    <w:rsid w:val="00A34BF1"/>
    <w:rsid w:val="00A34C3E"/>
    <w:rsid w:val="00A34C79"/>
    <w:rsid w:val="00A34CB7"/>
    <w:rsid w:val="00A34D60"/>
    <w:rsid w:val="00A34DD3"/>
    <w:rsid w:val="00A34E4A"/>
    <w:rsid w:val="00A34E9E"/>
    <w:rsid w:val="00A35040"/>
    <w:rsid w:val="00A3519C"/>
    <w:rsid w:val="00A351C6"/>
    <w:rsid w:val="00A35207"/>
    <w:rsid w:val="00A352B2"/>
    <w:rsid w:val="00A35485"/>
    <w:rsid w:val="00A355DD"/>
    <w:rsid w:val="00A3564E"/>
    <w:rsid w:val="00A356AD"/>
    <w:rsid w:val="00A357FB"/>
    <w:rsid w:val="00A357FF"/>
    <w:rsid w:val="00A35814"/>
    <w:rsid w:val="00A359C3"/>
    <w:rsid w:val="00A35B0E"/>
    <w:rsid w:val="00A35B43"/>
    <w:rsid w:val="00A35B82"/>
    <w:rsid w:val="00A35BA1"/>
    <w:rsid w:val="00A35C18"/>
    <w:rsid w:val="00A35C50"/>
    <w:rsid w:val="00A35CF7"/>
    <w:rsid w:val="00A35DEE"/>
    <w:rsid w:val="00A35E39"/>
    <w:rsid w:val="00A35E4C"/>
    <w:rsid w:val="00A35EB0"/>
    <w:rsid w:val="00A35F5A"/>
    <w:rsid w:val="00A36025"/>
    <w:rsid w:val="00A36041"/>
    <w:rsid w:val="00A3604B"/>
    <w:rsid w:val="00A36071"/>
    <w:rsid w:val="00A360AC"/>
    <w:rsid w:val="00A36307"/>
    <w:rsid w:val="00A3630B"/>
    <w:rsid w:val="00A363F4"/>
    <w:rsid w:val="00A36469"/>
    <w:rsid w:val="00A36490"/>
    <w:rsid w:val="00A364D7"/>
    <w:rsid w:val="00A36551"/>
    <w:rsid w:val="00A3657B"/>
    <w:rsid w:val="00A36807"/>
    <w:rsid w:val="00A36835"/>
    <w:rsid w:val="00A36860"/>
    <w:rsid w:val="00A36882"/>
    <w:rsid w:val="00A3689B"/>
    <w:rsid w:val="00A368A1"/>
    <w:rsid w:val="00A368D2"/>
    <w:rsid w:val="00A36956"/>
    <w:rsid w:val="00A36974"/>
    <w:rsid w:val="00A36992"/>
    <w:rsid w:val="00A369BA"/>
    <w:rsid w:val="00A36A22"/>
    <w:rsid w:val="00A36AAA"/>
    <w:rsid w:val="00A36B7A"/>
    <w:rsid w:val="00A36BEE"/>
    <w:rsid w:val="00A36BF1"/>
    <w:rsid w:val="00A36BF6"/>
    <w:rsid w:val="00A36C64"/>
    <w:rsid w:val="00A36D81"/>
    <w:rsid w:val="00A36DFB"/>
    <w:rsid w:val="00A36E21"/>
    <w:rsid w:val="00A36E75"/>
    <w:rsid w:val="00A36E78"/>
    <w:rsid w:val="00A36E7A"/>
    <w:rsid w:val="00A36EA7"/>
    <w:rsid w:val="00A36EB0"/>
    <w:rsid w:val="00A36FA7"/>
    <w:rsid w:val="00A3703B"/>
    <w:rsid w:val="00A3705C"/>
    <w:rsid w:val="00A370DE"/>
    <w:rsid w:val="00A370E8"/>
    <w:rsid w:val="00A37197"/>
    <w:rsid w:val="00A372FD"/>
    <w:rsid w:val="00A37325"/>
    <w:rsid w:val="00A373E1"/>
    <w:rsid w:val="00A373E4"/>
    <w:rsid w:val="00A37417"/>
    <w:rsid w:val="00A374EB"/>
    <w:rsid w:val="00A3758C"/>
    <w:rsid w:val="00A375EE"/>
    <w:rsid w:val="00A37620"/>
    <w:rsid w:val="00A376EF"/>
    <w:rsid w:val="00A37704"/>
    <w:rsid w:val="00A37727"/>
    <w:rsid w:val="00A377A3"/>
    <w:rsid w:val="00A3784F"/>
    <w:rsid w:val="00A378A6"/>
    <w:rsid w:val="00A379F8"/>
    <w:rsid w:val="00A37AC1"/>
    <w:rsid w:val="00A37BAB"/>
    <w:rsid w:val="00A37C20"/>
    <w:rsid w:val="00A37C75"/>
    <w:rsid w:val="00A37CBE"/>
    <w:rsid w:val="00A37CD1"/>
    <w:rsid w:val="00A37CED"/>
    <w:rsid w:val="00A37D2D"/>
    <w:rsid w:val="00A37E55"/>
    <w:rsid w:val="00A37E59"/>
    <w:rsid w:val="00A37E5F"/>
    <w:rsid w:val="00A37EC5"/>
    <w:rsid w:val="00A37F3F"/>
    <w:rsid w:val="00A37F43"/>
    <w:rsid w:val="00A40054"/>
    <w:rsid w:val="00A400D3"/>
    <w:rsid w:val="00A400F0"/>
    <w:rsid w:val="00A400FE"/>
    <w:rsid w:val="00A40104"/>
    <w:rsid w:val="00A4010B"/>
    <w:rsid w:val="00A401BB"/>
    <w:rsid w:val="00A401CB"/>
    <w:rsid w:val="00A4020A"/>
    <w:rsid w:val="00A4027D"/>
    <w:rsid w:val="00A402EA"/>
    <w:rsid w:val="00A403FE"/>
    <w:rsid w:val="00A4041C"/>
    <w:rsid w:val="00A40436"/>
    <w:rsid w:val="00A404F3"/>
    <w:rsid w:val="00A40627"/>
    <w:rsid w:val="00A406C8"/>
    <w:rsid w:val="00A40711"/>
    <w:rsid w:val="00A4072C"/>
    <w:rsid w:val="00A40855"/>
    <w:rsid w:val="00A408B7"/>
    <w:rsid w:val="00A408D7"/>
    <w:rsid w:val="00A409DA"/>
    <w:rsid w:val="00A40A43"/>
    <w:rsid w:val="00A40AD1"/>
    <w:rsid w:val="00A40B52"/>
    <w:rsid w:val="00A40C11"/>
    <w:rsid w:val="00A40C1C"/>
    <w:rsid w:val="00A40CF9"/>
    <w:rsid w:val="00A40D22"/>
    <w:rsid w:val="00A40D30"/>
    <w:rsid w:val="00A40D6C"/>
    <w:rsid w:val="00A40DBA"/>
    <w:rsid w:val="00A40E05"/>
    <w:rsid w:val="00A40E28"/>
    <w:rsid w:val="00A40E2A"/>
    <w:rsid w:val="00A40E2D"/>
    <w:rsid w:val="00A40EB6"/>
    <w:rsid w:val="00A40F07"/>
    <w:rsid w:val="00A41021"/>
    <w:rsid w:val="00A4103F"/>
    <w:rsid w:val="00A4104D"/>
    <w:rsid w:val="00A41064"/>
    <w:rsid w:val="00A4109E"/>
    <w:rsid w:val="00A411CF"/>
    <w:rsid w:val="00A41229"/>
    <w:rsid w:val="00A41254"/>
    <w:rsid w:val="00A412BD"/>
    <w:rsid w:val="00A412DA"/>
    <w:rsid w:val="00A4133B"/>
    <w:rsid w:val="00A41359"/>
    <w:rsid w:val="00A41395"/>
    <w:rsid w:val="00A413C4"/>
    <w:rsid w:val="00A413FF"/>
    <w:rsid w:val="00A41457"/>
    <w:rsid w:val="00A4147D"/>
    <w:rsid w:val="00A414F9"/>
    <w:rsid w:val="00A4151B"/>
    <w:rsid w:val="00A4154E"/>
    <w:rsid w:val="00A4158C"/>
    <w:rsid w:val="00A415FC"/>
    <w:rsid w:val="00A41624"/>
    <w:rsid w:val="00A41698"/>
    <w:rsid w:val="00A416BF"/>
    <w:rsid w:val="00A417BB"/>
    <w:rsid w:val="00A418EC"/>
    <w:rsid w:val="00A41934"/>
    <w:rsid w:val="00A41955"/>
    <w:rsid w:val="00A41963"/>
    <w:rsid w:val="00A41994"/>
    <w:rsid w:val="00A419E1"/>
    <w:rsid w:val="00A41A9B"/>
    <w:rsid w:val="00A41B16"/>
    <w:rsid w:val="00A41C0E"/>
    <w:rsid w:val="00A41C6F"/>
    <w:rsid w:val="00A41C8D"/>
    <w:rsid w:val="00A41D92"/>
    <w:rsid w:val="00A41EAF"/>
    <w:rsid w:val="00A41F5C"/>
    <w:rsid w:val="00A41F68"/>
    <w:rsid w:val="00A41FAA"/>
    <w:rsid w:val="00A41FE1"/>
    <w:rsid w:val="00A42014"/>
    <w:rsid w:val="00A420DB"/>
    <w:rsid w:val="00A42133"/>
    <w:rsid w:val="00A4219F"/>
    <w:rsid w:val="00A423C8"/>
    <w:rsid w:val="00A423DE"/>
    <w:rsid w:val="00A42427"/>
    <w:rsid w:val="00A42459"/>
    <w:rsid w:val="00A424B8"/>
    <w:rsid w:val="00A424E6"/>
    <w:rsid w:val="00A424FE"/>
    <w:rsid w:val="00A4251B"/>
    <w:rsid w:val="00A42574"/>
    <w:rsid w:val="00A425F2"/>
    <w:rsid w:val="00A42676"/>
    <w:rsid w:val="00A42795"/>
    <w:rsid w:val="00A427F6"/>
    <w:rsid w:val="00A428B8"/>
    <w:rsid w:val="00A42A13"/>
    <w:rsid w:val="00A42A14"/>
    <w:rsid w:val="00A42A22"/>
    <w:rsid w:val="00A42A8E"/>
    <w:rsid w:val="00A42ACA"/>
    <w:rsid w:val="00A42AF7"/>
    <w:rsid w:val="00A42B04"/>
    <w:rsid w:val="00A42B35"/>
    <w:rsid w:val="00A42B36"/>
    <w:rsid w:val="00A42C08"/>
    <w:rsid w:val="00A42D0A"/>
    <w:rsid w:val="00A42D64"/>
    <w:rsid w:val="00A42D9B"/>
    <w:rsid w:val="00A42E53"/>
    <w:rsid w:val="00A42E80"/>
    <w:rsid w:val="00A42E97"/>
    <w:rsid w:val="00A42FCE"/>
    <w:rsid w:val="00A43071"/>
    <w:rsid w:val="00A43078"/>
    <w:rsid w:val="00A430AF"/>
    <w:rsid w:val="00A4315F"/>
    <w:rsid w:val="00A43175"/>
    <w:rsid w:val="00A431D6"/>
    <w:rsid w:val="00A432D0"/>
    <w:rsid w:val="00A433E9"/>
    <w:rsid w:val="00A43416"/>
    <w:rsid w:val="00A43457"/>
    <w:rsid w:val="00A435FD"/>
    <w:rsid w:val="00A43691"/>
    <w:rsid w:val="00A4370C"/>
    <w:rsid w:val="00A437FE"/>
    <w:rsid w:val="00A43882"/>
    <w:rsid w:val="00A4392D"/>
    <w:rsid w:val="00A43967"/>
    <w:rsid w:val="00A43976"/>
    <w:rsid w:val="00A439A0"/>
    <w:rsid w:val="00A439A3"/>
    <w:rsid w:val="00A439C6"/>
    <w:rsid w:val="00A43A8D"/>
    <w:rsid w:val="00A43AE1"/>
    <w:rsid w:val="00A43AEA"/>
    <w:rsid w:val="00A43C84"/>
    <w:rsid w:val="00A43CC3"/>
    <w:rsid w:val="00A43D1D"/>
    <w:rsid w:val="00A43D26"/>
    <w:rsid w:val="00A43D43"/>
    <w:rsid w:val="00A43D8F"/>
    <w:rsid w:val="00A43DF0"/>
    <w:rsid w:val="00A43E03"/>
    <w:rsid w:val="00A43E07"/>
    <w:rsid w:val="00A43EBC"/>
    <w:rsid w:val="00A43F53"/>
    <w:rsid w:val="00A43F60"/>
    <w:rsid w:val="00A44003"/>
    <w:rsid w:val="00A44092"/>
    <w:rsid w:val="00A4420B"/>
    <w:rsid w:val="00A44280"/>
    <w:rsid w:val="00A4437B"/>
    <w:rsid w:val="00A443A2"/>
    <w:rsid w:val="00A44432"/>
    <w:rsid w:val="00A4448B"/>
    <w:rsid w:val="00A444A3"/>
    <w:rsid w:val="00A44500"/>
    <w:rsid w:val="00A44531"/>
    <w:rsid w:val="00A4457E"/>
    <w:rsid w:val="00A44607"/>
    <w:rsid w:val="00A44618"/>
    <w:rsid w:val="00A44723"/>
    <w:rsid w:val="00A44787"/>
    <w:rsid w:val="00A44842"/>
    <w:rsid w:val="00A448E1"/>
    <w:rsid w:val="00A449B7"/>
    <w:rsid w:val="00A449D1"/>
    <w:rsid w:val="00A449E5"/>
    <w:rsid w:val="00A44AF0"/>
    <w:rsid w:val="00A44B71"/>
    <w:rsid w:val="00A44B80"/>
    <w:rsid w:val="00A44B9B"/>
    <w:rsid w:val="00A44C04"/>
    <w:rsid w:val="00A44C5A"/>
    <w:rsid w:val="00A44D08"/>
    <w:rsid w:val="00A44D09"/>
    <w:rsid w:val="00A44DA5"/>
    <w:rsid w:val="00A44F3F"/>
    <w:rsid w:val="00A4507A"/>
    <w:rsid w:val="00A45087"/>
    <w:rsid w:val="00A450F8"/>
    <w:rsid w:val="00A451E0"/>
    <w:rsid w:val="00A453FA"/>
    <w:rsid w:val="00A45435"/>
    <w:rsid w:val="00A454CB"/>
    <w:rsid w:val="00A454CC"/>
    <w:rsid w:val="00A45503"/>
    <w:rsid w:val="00A45519"/>
    <w:rsid w:val="00A45520"/>
    <w:rsid w:val="00A45596"/>
    <w:rsid w:val="00A455BA"/>
    <w:rsid w:val="00A455C8"/>
    <w:rsid w:val="00A4562D"/>
    <w:rsid w:val="00A45662"/>
    <w:rsid w:val="00A45749"/>
    <w:rsid w:val="00A457D6"/>
    <w:rsid w:val="00A457F1"/>
    <w:rsid w:val="00A45893"/>
    <w:rsid w:val="00A45899"/>
    <w:rsid w:val="00A458A2"/>
    <w:rsid w:val="00A45A1B"/>
    <w:rsid w:val="00A45A42"/>
    <w:rsid w:val="00A45AC4"/>
    <w:rsid w:val="00A45AC5"/>
    <w:rsid w:val="00A45B02"/>
    <w:rsid w:val="00A45C2D"/>
    <w:rsid w:val="00A45C68"/>
    <w:rsid w:val="00A45D18"/>
    <w:rsid w:val="00A45D60"/>
    <w:rsid w:val="00A45D65"/>
    <w:rsid w:val="00A45DA1"/>
    <w:rsid w:val="00A45DA6"/>
    <w:rsid w:val="00A45E1F"/>
    <w:rsid w:val="00A45ECA"/>
    <w:rsid w:val="00A45F24"/>
    <w:rsid w:val="00A46008"/>
    <w:rsid w:val="00A46036"/>
    <w:rsid w:val="00A46079"/>
    <w:rsid w:val="00A46106"/>
    <w:rsid w:val="00A46141"/>
    <w:rsid w:val="00A4614D"/>
    <w:rsid w:val="00A4616B"/>
    <w:rsid w:val="00A46199"/>
    <w:rsid w:val="00A46245"/>
    <w:rsid w:val="00A46288"/>
    <w:rsid w:val="00A462D4"/>
    <w:rsid w:val="00A4630F"/>
    <w:rsid w:val="00A463EB"/>
    <w:rsid w:val="00A46416"/>
    <w:rsid w:val="00A46441"/>
    <w:rsid w:val="00A46546"/>
    <w:rsid w:val="00A4659D"/>
    <w:rsid w:val="00A466B7"/>
    <w:rsid w:val="00A466FC"/>
    <w:rsid w:val="00A4670F"/>
    <w:rsid w:val="00A467C3"/>
    <w:rsid w:val="00A46814"/>
    <w:rsid w:val="00A46890"/>
    <w:rsid w:val="00A4689C"/>
    <w:rsid w:val="00A46938"/>
    <w:rsid w:val="00A46973"/>
    <w:rsid w:val="00A46983"/>
    <w:rsid w:val="00A469D2"/>
    <w:rsid w:val="00A46BC1"/>
    <w:rsid w:val="00A46C02"/>
    <w:rsid w:val="00A46CB9"/>
    <w:rsid w:val="00A46CCE"/>
    <w:rsid w:val="00A46D17"/>
    <w:rsid w:val="00A46D4D"/>
    <w:rsid w:val="00A46DA3"/>
    <w:rsid w:val="00A46DF7"/>
    <w:rsid w:val="00A46EC2"/>
    <w:rsid w:val="00A46F43"/>
    <w:rsid w:val="00A46FFC"/>
    <w:rsid w:val="00A47075"/>
    <w:rsid w:val="00A47093"/>
    <w:rsid w:val="00A47094"/>
    <w:rsid w:val="00A47106"/>
    <w:rsid w:val="00A47109"/>
    <w:rsid w:val="00A4714E"/>
    <w:rsid w:val="00A47154"/>
    <w:rsid w:val="00A47158"/>
    <w:rsid w:val="00A47160"/>
    <w:rsid w:val="00A47172"/>
    <w:rsid w:val="00A471CA"/>
    <w:rsid w:val="00A47205"/>
    <w:rsid w:val="00A47279"/>
    <w:rsid w:val="00A4737A"/>
    <w:rsid w:val="00A47385"/>
    <w:rsid w:val="00A4743B"/>
    <w:rsid w:val="00A474F8"/>
    <w:rsid w:val="00A47510"/>
    <w:rsid w:val="00A47566"/>
    <w:rsid w:val="00A475EA"/>
    <w:rsid w:val="00A477A3"/>
    <w:rsid w:val="00A477DB"/>
    <w:rsid w:val="00A4781B"/>
    <w:rsid w:val="00A47873"/>
    <w:rsid w:val="00A478AF"/>
    <w:rsid w:val="00A478FC"/>
    <w:rsid w:val="00A4796E"/>
    <w:rsid w:val="00A479E8"/>
    <w:rsid w:val="00A47A3F"/>
    <w:rsid w:val="00A47A45"/>
    <w:rsid w:val="00A47B48"/>
    <w:rsid w:val="00A47B4C"/>
    <w:rsid w:val="00A47C0D"/>
    <w:rsid w:val="00A47CFD"/>
    <w:rsid w:val="00A47D03"/>
    <w:rsid w:val="00A47D19"/>
    <w:rsid w:val="00A47D72"/>
    <w:rsid w:val="00A47D7C"/>
    <w:rsid w:val="00A47DAF"/>
    <w:rsid w:val="00A47F1A"/>
    <w:rsid w:val="00A47F3A"/>
    <w:rsid w:val="00A47F56"/>
    <w:rsid w:val="00A47FFD"/>
    <w:rsid w:val="00A5000B"/>
    <w:rsid w:val="00A5001C"/>
    <w:rsid w:val="00A500C4"/>
    <w:rsid w:val="00A50108"/>
    <w:rsid w:val="00A50119"/>
    <w:rsid w:val="00A50172"/>
    <w:rsid w:val="00A50194"/>
    <w:rsid w:val="00A501A0"/>
    <w:rsid w:val="00A501B7"/>
    <w:rsid w:val="00A50200"/>
    <w:rsid w:val="00A5022B"/>
    <w:rsid w:val="00A502A6"/>
    <w:rsid w:val="00A502B8"/>
    <w:rsid w:val="00A50349"/>
    <w:rsid w:val="00A503AE"/>
    <w:rsid w:val="00A50437"/>
    <w:rsid w:val="00A504C3"/>
    <w:rsid w:val="00A504E6"/>
    <w:rsid w:val="00A505BD"/>
    <w:rsid w:val="00A5068B"/>
    <w:rsid w:val="00A50783"/>
    <w:rsid w:val="00A50807"/>
    <w:rsid w:val="00A5081B"/>
    <w:rsid w:val="00A50AA1"/>
    <w:rsid w:val="00A50B6F"/>
    <w:rsid w:val="00A50BFB"/>
    <w:rsid w:val="00A50CB8"/>
    <w:rsid w:val="00A50D4B"/>
    <w:rsid w:val="00A50DD5"/>
    <w:rsid w:val="00A50E97"/>
    <w:rsid w:val="00A50F6A"/>
    <w:rsid w:val="00A50F6E"/>
    <w:rsid w:val="00A50FAD"/>
    <w:rsid w:val="00A510A5"/>
    <w:rsid w:val="00A5117A"/>
    <w:rsid w:val="00A5128B"/>
    <w:rsid w:val="00A512F1"/>
    <w:rsid w:val="00A5130C"/>
    <w:rsid w:val="00A5139F"/>
    <w:rsid w:val="00A5146B"/>
    <w:rsid w:val="00A5147C"/>
    <w:rsid w:val="00A514C9"/>
    <w:rsid w:val="00A515C1"/>
    <w:rsid w:val="00A5163D"/>
    <w:rsid w:val="00A51663"/>
    <w:rsid w:val="00A51684"/>
    <w:rsid w:val="00A516CB"/>
    <w:rsid w:val="00A51729"/>
    <w:rsid w:val="00A517FB"/>
    <w:rsid w:val="00A5193A"/>
    <w:rsid w:val="00A51972"/>
    <w:rsid w:val="00A51A87"/>
    <w:rsid w:val="00A51AA0"/>
    <w:rsid w:val="00A51AA1"/>
    <w:rsid w:val="00A51BA9"/>
    <w:rsid w:val="00A51C3F"/>
    <w:rsid w:val="00A51C9F"/>
    <w:rsid w:val="00A51CBC"/>
    <w:rsid w:val="00A51D7F"/>
    <w:rsid w:val="00A51D80"/>
    <w:rsid w:val="00A51D86"/>
    <w:rsid w:val="00A51F9D"/>
    <w:rsid w:val="00A51FB2"/>
    <w:rsid w:val="00A5207B"/>
    <w:rsid w:val="00A52180"/>
    <w:rsid w:val="00A5224B"/>
    <w:rsid w:val="00A5233D"/>
    <w:rsid w:val="00A523D4"/>
    <w:rsid w:val="00A52458"/>
    <w:rsid w:val="00A524B0"/>
    <w:rsid w:val="00A52561"/>
    <w:rsid w:val="00A52594"/>
    <w:rsid w:val="00A5259B"/>
    <w:rsid w:val="00A526A5"/>
    <w:rsid w:val="00A5279C"/>
    <w:rsid w:val="00A52877"/>
    <w:rsid w:val="00A52942"/>
    <w:rsid w:val="00A529B7"/>
    <w:rsid w:val="00A529C6"/>
    <w:rsid w:val="00A52A17"/>
    <w:rsid w:val="00A52A58"/>
    <w:rsid w:val="00A52A5D"/>
    <w:rsid w:val="00A52A78"/>
    <w:rsid w:val="00A52AE1"/>
    <w:rsid w:val="00A52B33"/>
    <w:rsid w:val="00A52BD3"/>
    <w:rsid w:val="00A52C07"/>
    <w:rsid w:val="00A52C15"/>
    <w:rsid w:val="00A52D0C"/>
    <w:rsid w:val="00A52D9D"/>
    <w:rsid w:val="00A52E15"/>
    <w:rsid w:val="00A52E9A"/>
    <w:rsid w:val="00A52EB0"/>
    <w:rsid w:val="00A52EE0"/>
    <w:rsid w:val="00A52F1D"/>
    <w:rsid w:val="00A53034"/>
    <w:rsid w:val="00A5308C"/>
    <w:rsid w:val="00A53091"/>
    <w:rsid w:val="00A530CA"/>
    <w:rsid w:val="00A530DE"/>
    <w:rsid w:val="00A53290"/>
    <w:rsid w:val="00A5329A"/>
    <w:rsid w:val="00A53367"/>
    <w:rsid w:val="00A533CB"/>
    <w:rsid w:val="00A53455"/>
    <w:rsid w:val="00A534B4"/>
    <w:rsid w:val="00A534F9"/>
    <w:rsid w:val="00A53519"/>
    <w:rsid w:val="00A5356F"/>
    <w:rsid w:val="00A53588"/>
    <w:rsid w:val="00A535F6"/>
    <w:rsid w:val="00A53613"/>
    <w:rsid w:val="00A53617"/>
    <w:rsid w:val="00A5364B"/>
    <w:rsid w:val="00A53711"/>
    <w:rsid w:val="00A53770"/>
    <w:rsid w:val="00A537AC"/>
    <w:rsid w:val="00A537D3"/>
    <w:rsid w:val="00A538B1"/>
    <w:rsid w:val="00A53934"/>
    <w:rsid w:val="00A53A25"/>
    <w:rsid w:val="00A53B7C"/>
    <w:rsid w:val="00A53C1F"/>
    <w:rsid w:val="00A53D94"/>
    <w:rsid w:val="00A53DA7"/>
    <w:rsid w:val="00A53E1F"/>
    <w:rsid w:val="00A53E27"/>
    <w:rsid w:val="00A53E32"/>
    <w:rsid w:val="00A53FF7"/>
    <w:rsid w:val="00A53FFA"/>
    <w:rsid w:val="00A54106"/>
    <w:rsid w:val="00A5412F"/>
    <w:rsid w:val="00A54164"/>
    <w:rsid w:val="00A541C4"/>
    <w:rsid w:val="00A541D1"/>
    <w:rsid w:val="00A5420F"/>
    <w:rsid w:val="00A5422B"/>
    <w:rsid w:val="00A54254"/>
    <w:rsid w:val="00A54287"/>
    <w:rsid w:val="00A5432F"/>
    <w:rsid w:val="00A54342"/>
    <w:rsid w:val="00A5442D"/>
    <w:rsid w:val="00A5449F"/>
    <w:rsid w:val="00A5454B"/>
    <w:rsid w:val="00A5455C"/>
    <w:rsid w:val="00A5457F"/>
    <w:rsid w:val="00A54662"/>
    <w:rsid w:val="00A5470C"/>
    <w:rsid w:val="00A547AC"/>
    <w:rsid w:val="00A5483D"/>
    <w:rsid w:val="00A5485F"/>
    <w:rsid w:val="00A54889"/>
    <w:rsid w:val="00A54932"/>
    <w:rsid w:val="00A549A9"/>
    <w:rsid w:val="00A549AA"/>
    <w:rsid w:val="00A549C8"/>
    <w:rsid w:val="00A54A32"/>
    <w:rsid w:val="00A54B85"/>
    <w:rsid w:val="00A54BED"/>
    <w:rsid w:val="00A54BF9"/>
    <w:rsid w:val="00A54DA5"/>
    <w:rsid w:val="00A54DAC"/>
    <w:rsid w:val="00A54E4E"/>
    <w:rsid w:val="00A54F79"/>
    <w:rsid w:val="00A54F8E"/>
    <w:rsid w:val="00A55046"/>
    <w:rsid w:val="00A550B0"/>
    <w:rsid w:val="00A550CB"/>
    <w:rsid w:val="00A55105"/>
    <w:rsid w:val="00A55183"/>
    <w:rsid w:val="00A551EE"/>
    <w:rsid w:val="00A551F2"/>
    <w:rsid w:val="00A55264"/>
    <w:rsid w:val="00A5531D"/>
    <w:rsid w:val="00A55373"/>
    <w:rsid w:val="00A55383"/>
    <w:rsid w:val="00A55534"/>
    <w:rsid w:val="00A55686"/>
    <w:rsid w:val="00A556FF"/>
    <w:rsid w:val="00A55774"/>
    <w:rsid w:val="00A557BE"/>
    <w:rsid w:val="00A55899"/>
    <w:rsid w:val="00A55993"/>
    <w:rsid w:val="00A5599E"/>
    <w:rsid w:val="00A559B3"/>
    <w:rsid w:val="00A559B6"/>
    <w:rsid w:val="00A55B07"/>
    <w:rsid w:val="00A55B58"/>
    <w:rsid w:val="00A55C39"/>
    <w:rsid w:val="00A55DBB"/>
    <w:rsid w:val="00A55E41"/>
    <w:rsid w:val="00A55E7D"/>
    <w:rsid w:val="00A55E83"/>
    <w:rsid w:val="00A55EBA"/>
    <w:rsid w:val="00A55EED"/>
    <w:rsid w:val="00A55FFB"/>
    <w:rsid w:val="00A5608C"/>
    <w:rsid w:val="00A5612B"/>
    <w:rsid w:val="00A561BD"/>
    <w:rsid w:val="00A563DE"/>
    <w:rsid w:val="00A5643D"/>
    <w:rsid w:val="00A5650F"/>
    <w:rsid w:val="00A565CE"/>
    <w:rsid w:val="00A56670"/>
    <w:rsid w:val="00A566C4"/>
    <w:rsid w:val="00A566DE"/>
    <w:rsid w:val="00A56758"/>
    <w:rsid w:val="00A56817"/>
    <w:rsid w:val="00A5694B"/>
    <w:rsid w:val="00A56C0B"/>
    <w:rsid w:val="00A56C2B"/>
    <w:rsid w:val="00A56D08"/>
    <w:rsid w:val="00A56D12"/>
    <w:rsid w:val="00A56D32"/>
    <w:rsid w:val="00A56D3A"/>
    <w:rsid w:val="00A56D45"/>
    <w:rsid w:val="00A56DE5"/>
    <w:rsid w:val="00A56E57"/>
    <w:rsid w:val="00A56E7B"/>
    <w:rsid w:val="00A56FF1"/>
    <w:rsid w:val="00A5702B"/>
    <w:rsid w:val="00A5717B"/>
    <w:rsid w:val="00A5718F"/>
    <w:rsid w:val="00A5722D"/>
    <w:rsid w:val="00A57252"/>
    <w:rsid w:val="00A57295"/>
    <w:rsid w:val="00A5730F"/>
    <w:rsid w:val="00A57403"/>
    <w:rsid w:val="00A57562"/>
    <w:rsid w:val="00A575CE"/>
    <w:rsid w:val="00A57723"/>
    <w:rsid w:val="00A5779E"/>
    <w:rsid w:val="00A577A0"/>
    <w:rsid w:val="00A57845"/>
    <w:rsid w:val="00A5789C"/>
    <w:rsid w:val="00A578B8"/>
    <w:rsid w:val="00A5792D"/>
    <w:rsid w:val="00A5798B"/>
    <w:rsid w:val="00A579B3"/>
    <w:rsid w:val="00A57A8C"/>
    <w:rsid w:val="00A57AC1"/>
    <w:rsid w:val="00A57B01"/>
    <w:rsid w:val="00A57D33"/>
    <w:rsid w:val="00A57D49"/>
    <w:rsid w:val="00A57D5C"/>
    <w:rsid w:val="00A57DE0"/>
    <w:rsid w:val="00A57F24"/>
    <w:rsid w:val="00A57F58"/>
    <w:rsid w:val="00A57F63"/>
    <w:rsid w:val="00A57FE1"/>
    <w:rsid w:val="00A60089"/>
    <w:rsid w:val="00A600A1"/>
    <w:rsid w:val="00A601D7"/>
    <w:rsid w:val="00A60351"/>
    <w:rsid w:val="00A60374"/>
    <w:rsid w:val="00A60381"/>
    <w:rsid w:val="00A603D7"/>
    <w:rsid w:val="00A60440"/>
    <w:rsid w:val="00A604A1"/>
    <w:rsid w:val="00A6050F"/>
    <w:rsid w:val="00A605A3"/>
    <w:rsid w:val="00A606A3"/>
    <w:rsid w:val="00A6070C"/>
    <w:rsid w:val="00A607EB"/>
    <w:rsid w:val="00A6088C"/>
    <w:rsid w:val="00A608E5"/>
    <w:rsid w:val="00A6092A"/>
    <w:rsid w:val="00A60A49"/>
    <w:rsid w:val="00A60AA7"/>
    <w:rsid w:val="00A60AFE"/>
    <w:rsid w:val="00A60B51"/>
    <w:rsid w:val="00A60B5E"/>
    <w:rsid w:val="00A60BC7"/>
    <w:rsid w:val="00A60BCC"/>
    <w:rsid w:val="00A60BCD"/>
    <w:rsid w:val="00A60C4A"/>
    <w:rsid w:val="00A60C4F"/>
    <w:rsid w:val="00A60C78"/>
    <w:rsid w:val="00A60D30"/>
    <w:rsid w:val="00A60D4E"/>
    <w:rsid w:val="00A60DEE"/>
    <w:rsid w:val="00A60DFF"/>
    <w:rsid w:val="00A60EB7"/>
    <w:rsid w:val="00A60F44"/>
    <w:rsid w:val="00A60FB1"/>
    <w:rsid w:val="00A61069"/>
    <w:rsid w:val="00A61075"/>
    <w:rsid w:val="00A6116A"/>
    <w:rsid w:val="00A61252"/>
    <w:rsid w:val="00A6128B"/>
    <w:rsid w:val="00A61297"/>
    <w:rsid w:val="00A613FE"/>
    <w:rsid w:val="00A614AD"/>
    <w:rsid w:val="00A614EF"/>
    <w:rsid w:val="00A61507"/>
    <w:rsid w:val="00A61589"/>
    <w:rsid w:val="00A615B4"/>
    <w:rsid w:val="00A6160C"/>
    <w:rsid w:val="00A61610"/>
    <w:rsid w:val="00A61643"/>
    <w:rsid w:val="00A6172E"/>
    <w:rsid w:val="00A61737"/>
    <w:rsid w:val="00A617D1"/>
    <w:rsid w:val="00A617D2"/>
    <w:rsid w:val="00A6184B"/>
    <w:rsid w:val="00A61857"/>
    <w:rsid w:val="00A6185E"/>
    <w:rsid w:val="00A6188F"/>
    <w:rsid w:val="00A61897"/>
    <w:rsid w:val="00A618D0"/>
    <w:rsid w:val="00A618EB"/>
    <w:rsid w:val="00A61926"/>
    <w:rsid w:val="00A61928"/>
    <w:rsid w:val="00A61AA1"/>
    <w:rsid w:val="00A61ABC"/>
    <w:rsid w:val="00A61AD0"/>
    <w:rsid w:val="00A61B5E"/>
    <w:rsid w:val="00A61B70"/>
    <w:rsid w:val="00A61C80"/>
    <w:rsid w:val="00A61CBD"/>
    <w:rsid w:val="00A61D1D"/>
    <w:rsid w:val="00A61D52"/>
    <w:rsid w:val="00A61D7C"/>
    <w:rsid w:val="00A61D96"/>
    <w:rsid w:val="00A61D97"/>
    <w:rsid w:val="00A61DE1"/>
    <w:rsid w:val="00A61E30"/>
    <w:rsid w:val="00A61E36"/>
    <w:rsid w:val="00A61EA5"/>
    <w:rsid w:val="00A61F66"/>
    <w:rsid w:val="00A61FFD"/>
    <w:rsid w:val="00A62149"/>
    <w:rsid w:val="00A62169"/>
    <w:rsid w:val="00A621B0"/>
    <w:rsid w:val="00A621D9"/>
    <w:rsid w:val="00A62228"/>
    <w:rsid w:val="00A62258"/>
    <w:rsid w:val="00A6231A"/>
    <w:rsid w:val="00A6233A"/>
    <w:rsid w:val="00A62414"/>
    <w:rsid w:val="00A6245D"/>
    <w:rsid w:val="00A62540"/>
    <w:rsid w:val="00A62582"/>
    <w:rsid w:val="00A62629"/>
    <w:rsid w:val="00A626F3"/>
    <w:rsid w:val="00A62739"/>
    <w:rsid w:val="00A62846"/>
    <w:rsid w:val="00A628DA"/>
    <w:rsid w:val="00A628EF"/>
    <w:rsid w:val="00A62908"/>
    <w:rsid w:val="00A6291F"/>
    <w:rsid w:val="00A6294C"/>
    <w:rsid w:val="00A62969"/>
    <w:rsid w:val="00A62A4F"/>
    <w:rsid w:val="00A62A89"/>
    <w:rsid w:val="00A62AF1"/>
    <w:rsid w:val="00A62C1A"/>
    <w:rsid w:val="00A62C29"/>
    <w:rsid w:val="00A62C9B"/>
    <w:rsid w:val="00A62D9A"/>
    <w:rsid w:val="00A62DFB"/>
    <w:rsid w:val="00A62E4E"/>
    <w:rsid w:val="00A62F8E"/>
    <w:rsid w:val="00A63039"/>
    <w:rsid w:val="00A6308F"/>
    <w:rsid w:val="00A63164"/>
    <w:rsid w:val="00A631A4"/>
    <w:rsid w:val="00A6335E"/>
    <w:rsid w:val="00A63433"/>
    <w:rsid w:val="00A634AB"/>
    <w:rsid w:val="00A63523"/>
    <w:rsid w:val="00A636EA"/>
    <w:rsid w:val="00A63776"/>
    <w:rsid w:val="00A637FF"/>
    <w:rsid w:val="00A638C3"/>
    <w:rsid w:val="00A639CF"/>
    <w:rsid w:val="00A639EF"/>
    <w:rsid w:val="00A63AA5"/>
    <w:rsid w:val="00A63B77"/>
    <w:rsid w:val="00A63C73"/>
    <w:rsid w:val="00A63DB9"/>
    <w:rsid w:val="00A63E2B"/>
    <w:rsid w:val="00A63EAD"/>
    <w:rsid w:val="00A63ED9"/>
    <w:rsid w:val="00A63F93"/>
    <w:rsid w:val="00A63FA5"/>
    <w:rsid w:val="00A63FAD"/>
    <w:rsid w:val="00A63FC1"/>
    <w:rsid w:val="00A64013"/>
    <w:rsid w:val="00A64033"/>
    <w:rsid w:val="00A64232"/>
    <w:rsid w:val="00A64248"/>
    <w:rsid w:val="00A6425F"/>
    <w:rsid w:val="00A64293"/>
    <w:rsid w:val="00A64295"/>
    <w:rsid w:val="00A643D1"/>
    <w:rsid w:val="00A6446A"/>
    <w:rsid w:val="00A64479"/>
    <w:rsid w:val="00A644DC"/>
    <w:rsid w:val="00A645D3"/>
    <w:rsid w:val="00A645F1"/>
    <w:rsid w:val="00A64665"/>
    <w:rsid w:val="00A6467C"/>
    <w:rsid w:val="00A646A5"/>
    <w:rsid w:val="00A646C9"/>
    <w:rsid w:val="00A647EB"/>
    <w:rsid w:val="00A647F6"/>
    <w:rsid w:val="00A64824"/>
    <w:rsid w:val="00A64848"/>
    <w:rsid w:val="00A648A6"/>
    <w:rsid w:val="00A648AA"/>
    <w:rsid w:val="00A648D5"/>
    <w:rsid w:val="00A648D9"/>
    <w:rsid w:val="00A64989"/>
    <w:rsid w:val="00A64A71"/>
    <w:rsid w:val="00A64A86"/>
    <w:rsid w:val="00A64B0B"/>
    <w:rsid w:val="00A64B13"/>
    <w:rsid w:val="00A64B78"/>
    <w:rsid w:val="00A64D25"/>
    <w:rsid w:val="00A64E8E"/>
    <w:rsid w:val="00A64E95"/>
    <w:rsid w:val="00A64F15"/>
    <w:rsid w:val="00A64F42"/>
    <w:rsid w:val="00A65039"/>
    <w:rsid w:val="00A6505E"/>
    <w:rsid w:val="00A6506D"/>
    <w:rsid w:val="00A650D3"/>
    <w:rsid w:val="00A65119"/>
    <w:rsid w:val="00A65139"/>
    <w:rsid w:val="00A65205"/>
    <w:rsid w:val="00A65266"/>
    <w:rsid w:val="00A652E2"/>
    <w:rsid w:val="00A6534C"/>
    <w:rsid w:val="00A6543C"/>
    <w:rsid w:val="00A6548D"/>
    <w:rsid w:val="00A6551F"/>
    <w:rsid w:val="00A65524"/>
    <w:rsid w:val="00A655D1"/>
    <w:rsid w:val="00A65674"/>
    <w:rsid w:val="00A656CA"/>
    <w:rsid w:val="00A65707"/>
    <w:rsid w:val="00A65764"/>
    <w:rsid w:val="00A6576B"/>
    <w:rsid w:val="00A65777"/>
    <w:rsid w:val="00A65797"/>
    <w:rsid w:val="00A657B6"/>
    <w:rsid w:val="00A657CA"/>
    <w:rsid w:val="00A65807"/>
    <w:rsid w:val="00A6596B"/>
    <w:rsid w:val="00A659B6"/>
    <w:rsid w:val="00A65A01"/>
    <w:rsid w:val="00A65AD1"/>
    <w:rsid w:val="00A65B10"/>
    <w:rsid w:val="00A65BC8"/>
    <w:rsid w:val="00A65C3B"/>
    <w:rsid w:val="00A65C98"/>
    <w:rsid w:val="00A65D0A"/>
    <w:rsid w:val="00A65EAA"/>
    <w:rsid w:val="00A65EC4"/>
    <w:rsid w:val="00A65F3F"/>
    <w:rsid w:val="00A65F61"/>
    <w:rsid w:val="00A65FAA"/>
    <w:rsid w:val="00A6600A"/>
    <w:rsid w:val="00A66184"/>
    <w:rsid w:val="00A6620A"/>
    <w:rsid w:val="00A66288"/>
    <w:rsid w:val="00A6636F"/>
    <w:rsid w:val="00A66386"/>
    <w:rsid w:val="00A66396"/>
    <w:rsid w:val="00A664C3"/>
    <w:rsid w:val="00A664C6"/>
    <w:rsid w:val="00A664CB"/>
    <w:rsid w:val="00A66615"/>
    <w:rsid w:val="00A66742"/>
    <w:rsid w:val="00A66771"/>
    <w:rsid w:val="00A667B0"/>
    <w:rsid w:val="00A6686D"/>
    <w:rsid w:val="00A66890"/>
    <w:rsid w:val="00A668BC"/>
    <w:rsid w:val="00A668DA"/>
    <w:rsid w:val="00A669B7"/>
    <w:rsid w:val="00A66A5C"/>
    <w:rsid w:val="00A66ADD"/>
    <w:rsid w:val="00A66ADF"/>
    <w:rsid w:val="00A66B6E"/>
    <w:rsid w:val="00A66C0A"/>
    <w:rsid w:val="00A66C3A"/>
    <w:rsid w:val="00A66C44"/>
    <w:rsid w:val="00A66CA3"/>
    <w:rsid w:val="00A66CE1"/>
    <w:rsid w:val="00A66CF6"/>
    <w:rsid w:val="00A66DD2"/>
    <w:rsid w:val="00A66F15"/>
    <w:rsid w:val="00A66F87"/>
    <w:rsid w:val="00A66FDD"/>
    <w:rsid w:val="00A6711B"/>
    <w:rsid w:val="00A67271"/>
    <w:rsid w:val="00A67274"/>
    <w:rsid w:val="00A67298"/>
    <w:rsid w:val="00A672C1"/>
    <w:rsid w:val="00A67398"/>
    <w:rsid w:val="00A673E6"/>
    <w:rsid w:val="00A673F4"/>
    <w:rsid w:val="00A6741B"/>
    <w:rsid w:val="00A674BD"/>
    <w:rsid w:val="00A674CA"/>
    <w:rsid w:val="00A67555"/>
    <w:rsid w:val="00A67582"/>
    <w:rsid w:val="00A6761D"/>
    <w:rsid w:val="00A67621"/>
    <w:rsid w:val="00A67633"/>
    <w:rsid w:val="00A6769D"/>
    <w:rsid w:val="00A6775E"/>
    <w:rsid w:val="00A67847"/>
    <w:rsid w:val="00A678A8"/>
    <w:rsid w:val="00A67997"/>
    <w:rsid w:val="00A6799C"/>
    <w:rsid w:val="00A679B1"/>
    <w:rsid w:val="00A67A1A"/>
    <w:rsid w:val="00A67A54"/>
    <w:rsid w:val="00A67A7A"/>
    <w:rsid w:val="00A67ABD"/>
    <w:rsid w:val="00A67B2E"/>
    <w:rsid w:val="00A67C75"/>
    <w:rsid w:val="00A67C88"/>
    <w:rsid w:val="00A67CDE"/>
    <w:rsid w:val="00A67CF2"/>
    <w:rsid w:val="00A67CF5"/>
    <w:rsid w:val="00A67DF8"/>
    <w:rsid w:val="00A67EA8"/>
    <w:rsid w:val="00A67EE0"/>
    <w:rsid w:val="00A67F21"/>
    <w:rsid w:val="00A70090"/>
    <w:rsid w:val="00A70110"/>
    <w:rsid w:val="00A7012C"/>
    <w:rsid w:val="00A70130"/>
    <w:rsid w:val="00A7015D"/>
    <w:rsid w:val="00A70287"/>
    <w:rsid w:val="00A70305"/>
    <w:rsid w:val="00A703F0"/>
    <w:rsid w:val="00A7059C"/>
    <w:rsid w:val="00A705E7"/>
    <w:rsid w:val="00A70660"/>
    <w:rsid w:val="00A7077B"/>
    <w:rsid w:val="00A7078A"/>
    <w:rsid w:val="00A707B0"/>
    <w:rsid w:val="00A70945"/>
    <w:rsid w:val="00A70982"/>
    <w:rsid w:val="00A70985"/>
    <w:rsid w:val="00A709B0"/>
    <w:rsid w:val="00A709CE"/>
    <w:rsid w:val="00A70A22"/>
    <w:rsid w:val="00A70A61"/>
    <w:rsid w:val="00A70A87"/>
    <w:rsid w:val="00A70B22"/>
    <w:rsid w:val="00A70C13"/>
    <w:rsid w:val="00A70C59"/>
    <w:rsid w:val="00A70E5B"/>
    <w:rsid w:val="00A70EA8"/>
    <w:rsid w:val="00A70EB0"/>
    <w:rsid w:val="00A70F1C"/>
    <w:rsid w:val="00A70F40"/>
    <w:rsid w:val="00A70F45"/>
    <w:rsid w:val="00A70F60"/>
    <w:rsid w:val="00A70FC7"/>
    <w:rsid w:val="00A70FDB"/>
    <w:rsid w:val="00A7101D"/>
    <w:rsid w:val="00A71050"/>
    <w:rsid w:val="00A71074"/>
    <w:rsid w:val="00A710F9"/>
    <w:rsid w:val="00A71167"/>
    <w:rsid w:val="00A71199"/>
    <w:rsid w:val="00A7123E"/>
    <w:rsid w:val="00A713CC"/>
    <w:rsid w:val="00A713ED"/>
    <w:rsid w:val="00A71577"/>
    <w:rsid w:val="00A715C3"/>
    <w:rsid w:val="00A715FD"/>
    <w:rsid w:val="00A71652"/>
    <w:rsid w:val="00A7165C"/>
    <w:rsid w:val="00A716F2"/>
    <w:rsid w:val="00A717CE"/>
    <w:rsid w:val="00A717D6"/>
    <w:rsid w:val="00A71A7A"/>
    <w:rsid w:val="00A71AB2"/>
    <w:rsid w:val="00A71B40"/>
    <w:rsid w:val="00A71BA9"/>
    <w:rsid w:val="00A71BAD"/>
    <w:rsid w:val="00A71C03"/>
    <w:rsid w:val="00A71CAC"/>
    <w:rsid w:val="00A71DB5"/>
    <w:rsid w:val="00A71EF1"/>
    <w:rsid w:val="00A71FF9"/>
    <w:rsid w:val="00A7202E"/>
    <w:rsid w:val="00A7207F"/>
    <w:rsid w:val="00A720C8"/>
    <w:rsid w:val="00A720E9"/>
    <w:rsid w:val="00A7215D"/>
    <w:rsid w:val="00A72177"/>
    <w:rsid w:val="00A72192"/>
    <w:rsid w:val="00A7229B"/>
    <w:rsid w:val="00A722B4"/>
    <w:rsid w:val="00A722DB"/>
    <w:rsid w:val="00A72307"/>
    <w:rsid w:val="00A72321"/>
    <w:rsid w:val="00A72329"/>
    <w:rsid w:val="00A72331"/>
    <w:rsid w:val="00A7243C"/>
    <w:rsid w:val="00A72472"/>
    <w:rsid w:val="00A7259A"/>
    <w:rsid w:val="00A725AA"/>
    <w:rsid w:val="00A72646"/>
    <w:rsid w:val="00A7264D"/>
    <w:rsid w:val="00A72676"/>
    <w:rsid w:val="00A72714"/>
    <w:rsid w:val="00A7272A"/>
    <w:rsid w:val="00A7277A"/>
    <w:rsid w:val="00A72788"/>
    <w:rsid w:val="00A727E4"/>
    <w:rsid w:val="00A72878"/>
    <w:rsid w:val="00A728C0"/>
    <w:rsid w:val="00A728E1"/>
    <w:rsid w:val="00A72951"/>
    <w:rsid w:val="00A729F1"/>
    <w:rsid w:val="00A729F3"/>
    <w:rsid w:val="00A72B0A"/>
    <w:rsid w:val="00A72B1B"/>
    <w:rsid w:val="00A72BAE"/>
    <w:rsid w:val="00A72CD8"/>
    <w:rsid w:val="00A72D9A"/>
    <w:rsid w:val="00A72D9F"/>
    <w:rsid w:val="00A72DA9"/>
    <w:rsid w:val="00A72DBA"/>
    <w:rsid w:val="00A72DD5"/>
    <w:rsid w:val="00A72DEC"/>
    <w:rsid w:val="00A72E18"/>
    <w:rsid w:val="00A72F0C"/>
    <w:rsid w:val="00A72F24"/>
    <w:rsid w:val="00A73046"/>
    <w:rsid w:val="00A7309A"/>
    <w:rsid w:val="00A730E6"/>
    <w:rsid w:val="00A731C7"/>
    <w:rsid w:val="00A7321B"/>
    <w:rsid w:val="00A7324A"/>
    <w:rsid w:val="00A732D9"/>
    <w:rsid w:val="00A7333C"/>
    <w:rsid w:val="00A734D5"/>
    <w:rsid w:val="00A73548"/>
    <w:rsid w:val="00A735BD"/>
    <w:rsid w:val="00A736DF"/>
    <w:rsid w:val="00A7374B"/>
    <w:rsid w:val="00A7377E"/>
    <w:rsid w:val="00A737DB"/>
    <w:rsid w:val="00A73861"/>
    <w:rsid w:val="00A738EB"/>
    <w:rsid w:val="00A738F3"/>
    <w:rsid w:val="00A739DE"/>
    <w:rsid w:val="00A73A0F"/>
    <w:rsid w:val="00A73A32"/>
    <w:rsid w:val="00A73AD9"/>
    <w:rsid w:val="00A73AF9"/>
    <w:rsid w:val="00A73BA4"/>
    <w:rsid w:val="00A73C03"/>
    <w:rsid w:val="00A73C1D"/>
    <w:rsid w:val="00A73D4A"/>
    <w:rsid w:val="00A73D4F"/>
    <w:rsid w:val="00A73D95"/>
    <w:rsid w:val="00A73DA4"/>
    <w:rsid w:val="00A73E58"/>
    <w:rsid w:val="00A73EA1"/>
    <w:rsid w:val="00A73EEA"/>
    <w:rsid w:val="00A73EFB"/>
    <w:rsid w:val="00A73F0A"/>
    <w:rsid w:val="00A73F48"/>
    <w:rsid w:val="00A73F92"/>
    <w:rsid w:val="00A73FBF"/>
    <w:rsid w:val="00A73FDF"/>
    <w:rsid w:val="00A74073"/>
    <w:rsid w:val="00A741A8"/>
    <w:rsid w:val="00A7423B"/>
    <w:rsid w:val="00A7423E"/>
    <w:rsid w:val="00A7426B"/>
    <w:rsid w:val="00A74349"/>
    <w:rsid w:val="00A7434F"/>
    <w:rsid w:val="00A7435C"/>
    <w:rsid w:val="00A7435D"/>
    <w:rsid w:val="00A74380"/>
    <w:rsid w:val="00A743BF"/>
    <w:rsid w:val="00A74403"/>
    <w:rsid w:val="00A74443"/>
    <w:rsid w:val="00A74526"/>
    <w:rsid w:val="00A745D8"/>
    <w:rsid w:val="00A7463E"/>
    <w:rsid w:val="00A74652"/>
    <w:rsid w:val="00A74704"/>
    <w:rsid w:val="00A7470C"/>
    <w:rsid w:val="00A7472F"/>
    <w:rsid w:val="00A7476C"/>
    <w:rsid w:val="00A74797"/>
    <w:rsid w:val="00A747D5"/>
    <w:rsid w:val="00A74825"/>
    <w:rsid w:val="00A74890"/>
    <w:rsid w:val="00A74954"/>
    <w:rsid w:val="00A749BA"/>
    <w:rsid w:val="00A749E7"/>
    <w:rsid w:val="00A74B44"/>
    <w:rsid w:val="00A74B61"/>
    <w:rsid w:val="00A74CE1"/>
    <w:rsid w:val="00A74DF8"/>
    <w:rsid w:val="00A74DFC"/>
    <w:rsid w:val="00A74E2B"/>
    <w:rsid w:val="00A75043"/>
    <w:rsid w:val="00A7504B"/>
    <w:rsid w:val="00A75157"/>
    <w:rsid w:val="00A75205"/>
    <w:rsid w:val="00A7529E"/>
    <w:rsid w:val="00A7534A"/>
    <w:rsid w:val="00A75382"/>
    <w:rsid w:val="00A753BD"/>
    <w:rsid w:val="00A753FE"/>
    <w:rsid w:val="00A7542A"/>
    <w:rsid w:val="00A754C3"/>
    <w:rsid w:val="00A75626"/>
    <w:rsid w:val="00A7562C"/>
    <w:rsid w:val="00A7572A"/>
    <w:rsid w:val="00A75887"/>
    <w:rsid w:val="00A758B3"/>
    <w:rsid w:val="00A75939"/>
    <w:rsid w:val="00A75991"/>
    <w:rsid w:val="00A75A5D"/>
    <w:rsid w:val="00A75A5F"/>
    <w:rsid w:val="00A75ABB"/>
    <w:rsid w:val="00A75B3F"/>
    <w:rsid w:val="00A75B52"/>
    <w:rsid w:val="00A75B78"/>
    <w:rsid w:val="00A75B7E"/>
    <w:rsid w:val="00A75BD8"/>
    <w:rsid w:val="00A75C6C"/>
    <w:rsid w:val="00A75C8A"/>
    <w:rsid w:val="00A75D25"/>
    <w:rsid w:val="00A75D4F"/>
    <w:rsid w:val="00A75E17"/>
    <w:rsid w:val="00A75E89"/>
    <w:rsid w:val="00A75F09"/>
    <w:rsid w:val="00A75F30"/>
    <w:rsid w:val="00A75F9F"/>
    <w:rsid w:val="00A76059"/>
    <w:rsid w:val="00A760EE"/>
    <w:rsid w:val="00A7624F"/>
    <w:rsid w:val="00A762EB"/>
    <w:rsid w:val="00A76312"/>
    <w:rsid w:val="00A763C3"/>
    <w:rsid w:val="00A763C4"/>
    <w:rsid w:val="00A7640E"/>
    <w:rsid w:val="00A764C6"/>
    <w:rsid w:val="00A764E3"/>
    <w:rsid w:val="00A7667C"/>
    <w:rsid w:val="00A766D4"/>
    <w:rsid w:val="00A76867"/>
    <w:rsid w:val="00A7686E"/>
    <w:rsid w:val="00A7687B"/>
    <w:rsid w:val="00A7690C"/>
    <w:rsid w:val="00A76920"/>
    <w:rsid w:val="00A76A09"/>
    <w:rsid w:val="00A76AB5"/>
    <w:rsid w:val="00A76BB0"/>
    <w:rsid w:val="00A76BC3"/>
    <w:rsid w:val="00A76CBD"/>
    <w:rsid w:val="00A76D65"/>
    <w:rsid w:val="00A76DD6"/>
    <w:rsid w:val="00A76DE8"/>
    <w:rsid w:val="00A76E21"/>
    <w:rsid w:val="00A76EE3"/>
    <w:rsid w:val="00A76FA0"/>
    <w:rsid w:val="00A76FA5"/>
    <w:rsid w:val="00A77002"/>
    <w:rsid w:val="00A7702F"/>
    <w:rsid w:val="00A7719E"/>
    <w:rsid w:val="00A77220"/>
    <w:rsid w:val="00A7724A"/>
    <w:rsid w:val="00A7729C"/>
    <w:rsid w:val="00A77306"/>
    <w:rsid w:val="00A77337"/>
    <w:rsid w:val="00A77365"/>
    <w:rsid w:val="00A7737D"/>
    <w:rsid w:val="00A773FF"/>
    <w:rsid w:val="00A77478"/>
    <w:rsid w:val="00A774DA"/>
    <w:rsid w:val="00A7750D"/>
    <w:rsid w:val="00A7751D"/>
    <w:rsid w:val="00A77574"/>
    <w:rsid w:val="00A7758A"/>
    <w:rsid w:val="00A775CE"/>
    <w:rsid w:val="00A775E8"/>
    <w:rsid w:val="00A77645"/>
    <w:rsid w:val="00A776DD"/>
    <w:rsid w:val="00A77869"/>
    <w:rsid w:val="00A77879"/>
    <w:rsid w:val="00A778DD"/>
    <w:rsid w:val="00A778EF"/>
    <w:rsid w:val="00A779AB"/>
    <w:rsid w:val="00A779AD"/>
    <w:rsid w:val="00A779B3"/>
    <w:rsid w:val="00A77A01"/>
    <w:rsid w:val="00A77B1F"/>
    <w:rsid w:val="00A77B26"/>
    <w:rsid w:val="00A77B55"/>
    <w:rsid w:val="00A77B6E"/>
    <w:rsid w:val="00A77B7E"/>
    <w:rsid w:val="00A77C2B"/>
    <w:rsid w:val="00A77C9E"/>
    <w:rsid w:val="00A77D6F"/>
    <w:rsid w:val="00A77DE6"/>
    <w:rsid w:val="00A77E0B"/>
    <w:rsid w:val="00A77EB5"/>
    <w:rsid w:val="00A77F41"/>
    <w:rsid w:val="00A77FE7"/>
    <w:rsid w:val="00A8005E"/>
    <w:rsid w:val="00A800B3"/>
    <w:rsid w:val="00A80116"/>
    <w:rsid w:val="00A80180"/>
    <w:rsid w:val="00A801BA"/>
    <w:rsid w:val="00A801D8"/>
    <w:rsid w:val="00A80263"/>
    <w:rsid w:val="00A802D2"/>
    <w:rsid w:val="00A80380"/>
    <w:rsid w:val="00A80501"/>
    <w:rsid w:val="00A80667"/>
    <w:rsid w:val="00A8073F"/>
    <w:rsid w:val="00A80745"/>
    <w:rsid w:val="00A8087D"/>
    <w:rsid w:val="00A80A6E"/>
    <w:rsid w:val="00A80A9C"/>
    <w:rsid w:val="00A80B67"/>
    <w:rsid w:val="00A80B8A"/>
    <w:rsid w:val="00A80C2C"/>
    <w:rsid w:val="00A80C80"/>
    <w:rsid w:val="00A80F61"/>
    <w:rsid w:val="00A80F9C"/>
    <w:rsid w:val="00A80FE9"/>
    <w:rsid w:val="00A8102D"/>
    <w:rsid w:val="00A8111F"/>
    <w:rsid w:val="00A81197"/>
    <w:rsid w:val="00A811BB"/>
    <w:rsid w:val="00A811C3"/>
    <w:rsid w:val="00A811EF"/>
    <w:rsid w:val="00A81229"/>
    <w:rsid w:val="00A81289"/>
    <w:rsid w:val="00A812E5"/>
    <w:rsid w:val="00A812FE"/>
    <w:rsid w:val="00A81379"/>
    <w:rsid w:val="00A8141B"/>
    <w:rsid w:val="00A814BF"/>
    <w:rsid w:val="00A814E1"/>
    <w:rsid w:val="00A81513"/>
    <w:rsid w:val="00A81531"/>
    <w:rsid w:val="00A81567"/>
    <w:rsid w:val="00A8162A"/>
    <w:rsid w:val="00A8164B"/>
    <w:rsid w:val="00A8165B"/>
    <w:rsid w:val="00A8165D"/>
    <w:rsid w:val="00A81737"/>
    <w:rsid w:val="00A818F9"/>
    <w:rsid w:val="00A81AAB"/>
    <w:rsid w:val="00A81C19"/>
    <w:rsid w:val="00A81CCB"/>
    <w:rsid w:val="00A81D2F"/>
    <w:rsid w:val="00A81DCC"/>
    <w:rsid w:val="00A81E30"/>
    <w:rsid w:val="00A81E3C"/>
    <w:rsid w:val="00A81E5E"/>
    <w:rsid w:val="00A81EB5"/>
    <w:rsid w:val="00A81EBE"/>
    <w:rsid w:val="00A81EE0"/>
    <w:rsid w:val="00A81EE8"/>
    <w:rsid w:val="00A81FC8"/>
    <w:rsid w:val="00A821ED"/>
    <w:rsid w:val="00A82311"/>
    <w:rsid w:val="00A82356"/>
    <w:rsid w:val="00A82408"/>
    <w:rsid w:val="00A82426"/>
    <w:rsid w:val="00A82493"/>
    <w:rsid w:val="00A82499"/>
    <w:rsid w:val="00A8258D"/>
    <w:rsid w:val="00A82643"/>
    <w:rsid w:val="00A82751"/>
    <w:rsid w:val="00A8280B"/>
    <w:rsid w:val="00A8281A"/>
    <w:rsid w:val="00A82A30"/>
    <w:rsid w:val="00A82A6E"/>
    <w:rsid w:val="00A82A92"/>
    <w:rsid w:val="00A82AB3"/>
    <w:rsid w:val="00A82AB8"/>
    <w:rsid w:val="00A82B2E"/>
    <w:rsid w:val="00A82C1A"/>
    <w:rsid w:val="00A82DD4"/>
    <w:rsid w:val="00A82DD6"/>
    <w:rsid w:val="00A82DEE"/>
    <w:rsid w:val="00A82DF4"/>
    <w:rsid w:val="00A82E83"/>
    <w:rsid w:val="00A82E8E"/>
    <w:rsid w:val="00A82EA0"/>
    <w:rsid w:val="00A82ECF"/>
    <w:rsid w:val="00A8306B"/>
    <w:rsid w:val="00A830AE"/>
    <w:rsid w:val="00A83122"/>
    <w:rsid w:val="00A831C4"/>
    <w:rsid w:val="00A831DF"/>
    <w:rsid w:val="00A83240"/>
    <w:rsid w:val="00A83325"/>
    <w:rsid w:val="00A8339D"/>
    <w:rsid w:val="00A833C2"/>
    <w:rsid w:val="00A83442"/>
    <w:rsid w:val="00A83464"/>
    <w:rsid w:val="00A834CC"/>
    <w:rsid w:val="00A835E4"/>
    <w:rsid w:val="00A8360C"/>
    <w:rsid w:val="00A8368C"/>
    <w:rsid w:val="00A836B9"/>
    <w:rsid w:val="00A8376E"/>
    <w:rsid w:val="00A837FB"/>
    <w:rsid w:val="00A8380C"/>
    <w:rsid w:val="00A83878"/>
    <w:rsid w:val="00A838ED"/>
    <w:rsid w:val="00A838FA"/>
    <w:rsid w:val="00A83BB1"/>
    <w:rsid w:val="00A83BC1"/>
    <w:rsid w:val="00A83CE3"/>
    <w:rsid w:val="00A83D9C"/>
    <w:rsid w:val="00A83E84"/>
    <w:rsid w:val="00A83EA4"/>
    <w:rsid w:val="00A83F5C"/>
    <w:rsid w:val="00A83FFD"/>
    <w:rsid w:val="00A8404C"/>
    <w:rsid w:val="00A8407B"/>
    <w:rsid w:val="00A8408F"/>
    <w:rsid w:val="00A840E7"/>
    <w:rsid w:val="00A84136"/>
    <w:rsid w:val="00A8417B"/>
    <w:rsid w:val="00A8417F"/>
    <w:rsid w:val="00A8428F"/>
    <w:rsid w:val="00A84334"/>
    <w:rsid w:val="00A8437C"/>
    <w:rsid w:val="00A8449C"/>
    <w:rsid w:val="00A844A0"/>
    <w:rsid w:val="00A844BE"/>
    <w:rsid w:val="00A844C9"/>
    <w:rsid w:val="00A84559"/>
    <w:rsid w:val="00A84593"/>
    <w:rsid w:val="00A84594"/>
    <w:rsid w:val="00A8460B"/>
    <w:rsid w:val="00A8467E"/>
    <w:rsid w:val="00A846B2"/>
    <w:rsid w:val="00A846D2"/>
    <w:rsid w:val="00A846D3"/>
    <w:rsid w:val="00A84757"/>
    <w:rsid w:val="00A84816"/>
    <w:rsid w:val="00A84845"/>
    <w:rsid w:val="00A84891"/>
    <w:rsid w:val="00A84962"/>
    <w:rsid w:val="00A84986"/>
    <w:rsid w:val="00A849BD"/>
    <w:rsid w:val="00A849E9"/>
    <w:rsid w:val="00A84A3C"/>
    <w:rsid w:val="00A84B87"/>
    <w:rsid w:val="00A84BAD"/>
    <w:rsid w:val="00A84C04"/>
    <w:rsid w:val="00A84CA4"/>
    <w:rsid w:val="00A84CBE"/>
    <w:rsid w:val="00A84D24"/>
    <w:rsid w:val="00A84D87"/>
    <w:rsid w:val="00A84EBA"/>
    <w:rsid w:val="00A84ED8"/>
    <w:rsid w:val="00A84F01"/>
    <w:rsid w:val="00A84F5C"/>
    <w:rsid w:val="00A84FA5"/>
    <w:rsid w:val="00A84FA9"/>
    <w:rsid w:val="00A84FC5"/>
    <w:rsid w:val="00A8518D"/>
    <w:rsid w:val="00A851CB"/>
    <w:rsid w:val="00A85247"/>
    <w:rsid w:val="00A85255"/>
    <w:rsid w:val="00A8528B"/>
    <w:rsid w:val="00A8538B"/>
    <w:rsid w:val="00A854CF"/>
    <w:rsid w:val="00A8559F"/>
    <w:rsid w:val="00A85645"/>
    <w:rsid w:val="00A8564F"/>
    <w:rsid w:val="00A856A1"/>
    <w:rsid w:val="00A8572D"/>
    <w:rsid w:val="00A8573D"/>
    <w:rsid w:val="00A8574E"/>
    <w:rsid w:val="00A857DD"/>
    <w:rsid w:val="00A85871"/>
    <w:rsid w:val="00A858FB"/>
    <w:rsid w:val="00A85A21"/>
    <w:rsid w:val="00A85AC2"/>
    <w:rsid w:val="00A85B52"/>
    <w:rsid w:val="00A85BF0"/>
    <w:rsid w:val="00A85C29"/>
    <w:rsid w:val="00A85CBB"/>
    <w:rsid w:val="00A85CDF"/>
    <w:rsid w:val="00A85D4B"/>
    <w:rsid w:val="00A85DCB"/>
    <w:rsid w:val="00A85DED"/>
    <w:rsid w:val="00A85E81"/>
    <w:rsid w:val="00A85ED1"/>
    <w:rsid w:val="00A85FEF"/>
    <w:rsid w:val="00A86004"/>
    <w:rsid w:val="00A8603D"/>
    <w:rsid w:val="00A8607C"/>
    <w:rsid w:val="00A86124"/>
    <w:rsid w:val="00A861A7"/>
    <w:rsid w:val="00A861C8"/>
    <w:rsid w:val="00A86277"/>
    <w:rsid w:val="00A8627F"/>
    <w:rsid w:val="00A862D2"/>
    <w:rsid w:val="00A862D7"/>
    <w:rsid w:val="00A862F7"/>
    <w:rsid w:val="00A8630B"/>
    <w:rsid w:val="00A86311"/>
    <w:rsid w:val="00A8632A"/>
    <w:rsid w:val="00A863C9"/>
    <w:rsid w:val="00A8648D"/>
    <w:rsid w:val="00A864DF"/>
    <w:rsid w:val="00A8669F"/>
    <w:rsid w:val="00A866CD"/>
    <w:rsid w:val="00A866F2"/>
    <w:rsid w:val="00A866F7"/>
    <w:rsid w:val="00A86775"/>
    <w:rsid w:val="00A867A0"/>
    <w:rsid w:val="00A86818"/>
    <w:rsid w:val="00A8682E"/>
    <w:rsid w:val="00A868C4"/>
    <w:rsid w:val="00A86903"/>
    <w:rsid w:val="00A8690D"/>
    <w:rsid w:val="00A8693E"/>
    <w:rsid w:val="00A8697D"/>
    <w:rsid w:val="00A8698C"/>
    <w:rsid w:val="00A869D5"/>
    <w:rsid w:val="00A86B24"/>
    <w:rsid w:val="00A86B51"/>
    <w:rsid w:val="00A86C07"/>
    <w:rsid w:val="00A86C0A"/>
    <w:rsid w:val="00A86C1E"/>
    <w:rsid w:val="00A86CC1"/>
    <w:rsid w:val="00A86D7B"/>
    <w:rsid w:val="00A86DA7"/>
    <w:rsid w:val="00A86E26"/>
    <w:rsid w:val="00A86F17"/>
    <w:rsid w:val="00A86F31"/>
    <w:rsid w:val="00A86F5A"/>
    <w:rsid w:val="00A86F5C"/>
    <w:rsid w:val="00A86F86"/>
    <w:rsid w:val="00A86FD1"/>
    <w:rsid w:val="00A86FE0"/>
    <w:rsid w:val="00A87017"/>
    <w:rsid w:val="00A87053"/>
    <w:rsid w:val="00A87087"/>
    <w:rsid w:val="00A87133"/>
    <w:rsid w:val="00A87138"/>
    <w:rsid w:val="00A871CD"/>
    <w:rsid w:val="00A871DD"/>
    <w:rsid w:val="00A871F0"/>
    <w:rsid w:val="00A872BF"/>
    <w:rsid w:val="00A87360"/>
    <w:rsid w:val="00A87391"/>
    <w:rsid w:val="00A873AE"/>
    <w:rsid w:val="00A873B7"/>
    <w:rsid w:val="00A873DE"/>
    <w:rsid w:val="00A873E9"/>
    <w:rsid w:val="00A8747E"/>
    <w:rsid w:val="00A874FF"/>
    <w:rsid w:val="00A87553"/>
    <w:rsid w:val="00A87577"/>
    <w:rsid w:val="00A8767A"/>
    <w:rsid w:val="00A87766"/>
    <w:rsid w:val="00A877C4"/>
    <w:rsid w:val="00A8785F"/>
    <w:rsid w:val="00A878E7"/>
    <w:rsid w:val="00A8790B"/>
    <w:rsid w:val="00A87991"/>
    <w:rsid w:val="00A879A0"/>
    <w:rsid w:val="00A879CE"/>
    <w:rsid w:val="00A879F3"/>
    <w:rsid w:val="00A87A6D"/>
    <w:rsid w:val="00A87B40"/>
    <w:rsid w:val="00A87B95"/>
    <w:rsid w:val="00A87BBB"/>
    <w:rsid w:val="00A87D1B"/>
    <w:rsid w:val="00A87D65"/>
    <w:rsid w:val="00A87D8D"/>
    <w:rsid w:val="00A87DF4"/>
    <w:rsid w:val="00A87E13"/>
    <w:rsid w:val="00A87E14"/>
    <w:rsid w:val="00A87ECA"/>
    <w:rsid w:val="00A87EEE"/>
    <w:rsid w:val="00A87FA1"/>
    <w:rsid w:val="00A87FCE"/>
    <w:rsid w:val="00A900A0"/>
    <w:rsid w:val="00A900BD"/>
    <w:rsid w:val="00A90259"/>
    <w:rsid w:val="00A902E3"/>
    <w:rsid w:val="00A90308"/>
    <w:rsid w:val="00A9035E"/>
    <w:rsid w:val="00A90434"/>
    <w:rsid w:val="00A90439"/>
    <w:rsid w:val="00A90491"/>
    <w:rsid w:val="00A9050C"/>
    <w:rsid w:val="00A9069F"/>
    <w:rsid w:val="00A906DB"/>
    <w:rsid w:val="00A90708"/>
    <w:rsid w:val="00A9083B"/>
    <w:rsid w:val="00A90859"/>
    <w:rsid w:val="00A9085B"/>
    <w:rsid w:val="00A909EE"/>
    <w:rsid w:val="00A90AD1"/>
    <w:rsid w:val="00A90ADC"/>
    <w:rsid w:val="00A90B31"/>
    <w:rsid w:val="00A90C48"/>
    <w:rsid w:val="00A90C52"/>
    <w:rsid w:val="00A90C63"/>
    <w:rsid w:val="00A90DA8"/>
    <w:rsid w:val="00A90DE8"/>
    <w:rsid w:val="00A90E92"/>
    <w:rsid w:val="00A90E9B"/>
    <w:rsid w:val="00A90FA5"/>
    <w:rsid w:val="00A91038"/>
    <w:rsid w:val="00A91042"/>
    <w:rsid w:val="00A910EC"/>
    <w:rsid w:val="00A91118"/>
    <w:rsid w:val="00A91165"/>
    <w:rsid w:val="00A9116C"/>
    <w:rsid w:val="00A9123F"/>
    <w:rsid w:val="00A9131A"/>
    <w:rsid w:val="00A9137E"/>
    <w:rsid w:val="00A9141C"/>
    <w:rsid w:val="00A9146B"/>
    <w:rsid w:val="00A9149A"/>
    <w:rsid w:val="00A914D4"/>
    <w:rsid w:val="00A914D7"/>
    <w:rsid w:val="00A91545"/>
    <w:rsid w:val="00A915C0"/>
    <w:rsid w:val="00A915E2"/>
    <w:rsid w:val="00A9160F"/>
    <w:rsid w:val="00A917A9"/>
    <w:rsid w:val="00A91846"/>
    <w:rsid w:val="00A9188C"/>
    <w:rsid w:val="00A91895"/>
    <w:rsid w:val="00A91934"/>
    <w:rsid w:val="00A91A2F"/>
    <w:rsid w:val="00A91A30"/>
    <w:rsid w:val="00A91ACB"/>
    <w:rsid w:val="00A91B88"/>
    <w:rsid w:val="00A91D25"/>
    <w:rsid w:val="00A91D46"/>
    <w:rsid w:val="00A91D5B"/>
    <w:rsid w:val="00A91D8C"/>
    <w:rsid w:val="00A91D98"/>
    <w:rsid w:val="00A91DA5"/>
    <w:rsid w:val="00A91DFD"/>
    <w:rsid w:val="00A91F4E"/>
    <w:rsid w:val="00A91F63"/>
    <w:rsid w:val="00A91FE0"/>
    <w:rsid w:val="00A92015"/>
    <w:rsid w:val="00A920E6"/>
    <w:rsid w:val="00A9213A"/>
    <w:rsid w:val="00A92151"/>
    <w:rsid w:val="00A92280"/>
    <w:rsid w:val="00A9228A"/>
    <w:rsid w:val="00A9238B"/>
    <w:rsid w:val="00A92405"/>
    <w:rsid w:val="00A92554"/>
    <w:rsid w:val="00A9259A"/>
    <w:rsid w:val="00A9259D"/>
    <w:rsid w:val="00A925A1"/>
    <w:rsid w:val="00A9263A"/>
    <w:rsid w:val="00A92640"/>
    <w:rsid w:val="00A92694"/>
    <w:rsid w:val="00A927AC"/>
    <w:rsid w:val="00A927D8"/>
    <w:rsid w:val="00A928CD"/>
    <w:rsid w:val="00A928E9"/>
    <w:rsid w:val="00A928F6"/>
    <w:rsid w:val="00A92945"/>
    <w:rsid w:val="00A9299D"/>
    <w:rsid w:val="00A929A4"/>
    <w:rsid w:val="00A92A02"/>
    <w:rsid w:val="00A92A17"/>
    <w:rsid w:val="00A92A1F"/>
    <w:rsid w:val="00A92A33"/>
    <w:rsid w:val="00A92A77"/>
    <w:rsid w:val="00A92ACE"/>
    <w:rsid w:val="00A92BB4"/>
    <w:rsid w:val="00A92C34"/>
    <w:rsid w:val="00A92C4C"/>
    <w:rsid w:val="00A92C5C"/>
    <w:rsid w:val="00A92D28"/>
    <w:rsid w:val="00A92E53"/>
    <w:rsid w:val="00A92F2F"/>
    <w:rsid w:val="00A92F3E"/>
    <w:rsid w:val="00A92F4B"/>
    <w:rsid w:val="00A92F81"/>
    <w:rsid w:val="00A92FCC"/>
    <w:rsid w:val="00A9300C"/>
    <w:rsid w:val="00A93243"/>
    <w:rsid w:val="00A93270"/>
    <w:rsid w:val="00A932C8"/>
    <w:rsid w:val="00A932E7"/>
    <w:rsid w:val="00A93359"/>
    <w:rsid w:val="00A9336A"/>
    <w:rsid w:val="00A933F5"/>
    <w:rsid w:val="00A9345C"/>
    <w:rsid w:val="00A935E7"/>
    <w:rsid w:val="00A9363E"/>
    <w:rsid w:val="00A936A6"/>
    <w:rsid w:val="00A936FA"/>
    <w:rsid w:val="00A9372F"/>
    <w:rsid w:val="00A93752"/>
    <w:rsid w:val="00A9380A"/>
    <w:rsid w:val="00A93938"/>
    <w:rsid w:val="00A939B6"/>
    <w:rsid w:val="00A93A78"/>
    <w:rsid w:val="00A93B2D"/>
    <w:rsid w:val="00A93B76"/>
    <w:rsid w:val="00A93B91"/>
    <w:rsid w:val="00A93C36"/>
    <w:rsid w:val="00A93CBB"/>
    <w:rsid w:val="00A93D3D"/>
    <w:rsid w:val="00A93DA1"/>
    <w:rsid w:val="00A93DE7"/>
    <w:rsid w:val="00A93E2C"/>
    <w:rsid w:val="00A93E8F"/>
    <w:rsid w:val="00A93E9F"/>
    <w:rsid w:val="00A93F0F"/>
    <w:rsid w:val="00A93F18"/>
    <w:rsid w:val="00A93F62"/>
    <w:rsid w:val="00A94040"/>
    <w:rsid w:val="00A940A4"/>
    <w:rsid w:val="00A941D9"/>
    <w:rsid w:val="00A94233"/>
    <w:rsid w:val="00A942BA"/>
    <w:rsid w:val="00A942D9"/>
    <w:rsid w:val="00A9435C"/>
    <w:rsid w:val="00A9437A"/>
    <w:rsid w:val="00A943C0"/>
    <w:rsid w:val="00A943CE"/>
    <w:rsid w:val="00A944CB"/>
    <w:rsid w:val="00A94691"/>
    <w:rsid w:val="00A946D0"/>
    <w:rsid w:val="00A94700"/>
    <w:rsid w:val="00A94736"/>
    <w:rsid w:val="00A947CC"/>
    <w:rsid w:val="00A947F2"/>
    <w:rsid w:val="00A9489D"/>
    <w:rsid w:val="00A948E3"/>
    <w:rsid w:val="00A9491E"/>
    <w:rsid w:val="00A94C06"/>
    <w:rsid w:val="00A94C56"/>
    <w:rsid w:val="00A94CB1"/>
    <w:rsid w:val="00A94D5D"/>
    <w:rsid w:val="00A94D6A"/>
    <w:rsid w:val="00A94E7D"/>
    <w:rsid w:val="00A94F2B"/>
    <w:rsid w:val="00A94FF8"/>
    <w:rsid w:val="00A9510B"/>
    <w:rsid w:val="00A95122"/>
    <w:rsid w:val="00A9512D"/>
    <w:rsid w:val="00A9513E"/>
    <w:rsid w:val="00A951EF"/>
    <w:rsid w:val="00A9521B"/>
    <w:rsid w:val="00A95352"/>
    <w:rsid w:val="00A95373"/>
    <w:rsid w:val="00A9537E"/>
    <w:rsid w:val="00A953AD"/>
    <w:rsid w:val="00A95491"/>
    <w:rsid w:val="00A9551A"/>
    <w:rsid w:val="00A955A9"/>
    <w:rsid w:val="00A955E4"/>
    <w:rsid w:val="00A95608"/>
    <w:rsid w:val="00A95644"/>
    <w:rsid w:val="00A956F0"/>
    <w:rsid w:val="00A956F9"/>
    <w:rsid w:val="00A9579C"/>
    <w:rsid w:val="00A958AF"/>
    <w:rsid w:val="00A9598E"/>
    <w:rsid w:val="00A959FD"/>
    <w:rsid w:val="00A95B74"/>
    <w:rsid w:val="00A95BB8"/>
    <w:rsid w:val="00A95BF2"/>
    <w:rsid w:val="00A95C30"/>
    <w:rsid w:val="00A95C61"/>
    <w:rsid w:val="00A95C88"/>
    <w:rsid w:val="00A95CA2"/>
    <w:rsid w:val="00A95CC6"/>
    <w:rsid w:val="00A95CC9"/>
    <w:rsid w:val="00A95CD5"/>
    <w:rsid w:val="00A95DB7"/>
    <w:rsid w:val="00A95E76"/>
    <w:rsid w:val="00A95EB3"/>
    <w:rsid w:val="00A95FBC"/>
    <w:rsid w:val="00A95FCB"/>
    <w:rsid w:val="00A95FD2"/>
    <w:rsid w:val="00A95FDF"/>
    <w:rsid w:val="00A9604D"/>
    <w:rsid w:val="00A960C0"/>
    <w:rsid w:val="00A960C4"/>
    <w:rsid w:val="00A961F2"/>
    <w:rsid w:val="00A962D5"/>
    <w:rsid w:val="00A962F1"/>
    <w:rsid w:val="00A963F7"/>
    <w:rsid w:val="00A96482"/>
    <w:rsid w:val="00A964B0"/>
    <w:rsid w:val="00A965A5"/>
    <w:rsid w:val="00A965D1"/>
    <w:rsid w:val="00A96618"/>
    <w:rsid w:val="00A966DA"/>
    <w:rsid w:val="00A966EC"/>
    <w:rsid w:val="00A9678C"/>
    <w:rsid w:val="00A967FF"/>
    <w:rsid w:val="00A96859"/>
    <w:rsid w:val="00A96973"/>
    <w:rsid w:val="00A9699B"/>
    <w:rsid w:val="00A969B2"/>
    <w:rsid w:val="00A969C7"/>
    <w:rsid w:val="00A96B0A"/>
    <w:rsid w:val="00A96B1C"/>
    <w:rsid w:val="00A96BC9"/>
    <w:rsid w:val="00A96C09"/>
    <w:rsid w:val="00A96C12"/>
    <w:rsid w:val="00A96C1C"/>
    <w:rsid w:val="00A96C55"/>
    <w:rsid w:val="00A96C97"/>
    <w:rsid w:val="00A96D67"/>
    <w:rsid w:val="00A96D96"/>
    <w:rsid w:val="00A96DB0"/>
    <w:rsid w:val="00A96E6F"/>
    <w:rsid w:val="00A9701C"/>
    <w:rsid w:val="00A9701F"/>
    <w:rsid w:val="00A971D1"/>
    <w:rsid w:val="00A97228"/>
    <w:rsid w:val="00A9723C"/>
    <w:rsid w:val="00A97246"/>
    <w:rsid w:val="00A9725E"/>
    <w:rsid w:val="00A97277"/>
    <w:rsid w:val="00A972BA"/>
    <w:rsid w:val="00A972DC"/>
    <w:rsid w:val="00A9736E"/>
    <w:rsid w:val="00A973C5"/>
    <w:rsid w:val="00A97427"/>
    <w:rsid w:val="00A97451"/>
    <w:rsid w:val="00A9746E"/>
    <w:rsid w:val="00A974B2"/>
    <w:rsid w:val="00A974F6"/>
    <w:rsid w:val="00A97525"/>
    <w:rsid w:val="00A97539"/>
    <w:rsid w:val="00A975A8"/>
    <w:rsid w:val="00A975B4"/>
    <w:rsid w:val="00A97611"/>
    <w:rsid w:val="00A9769E"/>
    <w:rsid w:val="00A97870"/>
    <w:rsid w:val="00A97890"/>
    <w:rsid w:val="00A978BB"/>
    <w:rsid w:val="00A9791D"/>
    <w:rsid w:val="00A9795E"/>
    <w:rsid w:val="00A97A38"/>
    <w:rsid w:val="00A97A6B"/>
    <w:rsid w:val="00A97A9F"/>
    <w:rsid w:val="00A97B11"/>
    <w:rsid w:val="00A97B7E"/>
    <w:rsid w:val="00A97BA6"/>
    <w:rsid w:val="00A97CAD"/>
    <w:rsid w:val="00A97CCE"/>
    <w:rsid w:val="00A97D12"/>
    <w:rsid w:val="00A97DB8"/>
    <w:rsid w:val="00A97ECD"/>
    <w:rsid w:val="00A97F10"/>
    <w:rsid w:val="00A97F57"/>
    <w:rsid w:val="00A97FB2"/>
    <w:rsid w:val="00A97FB6"/>
    <w:rsid w:val="00AA0076"/>
    <w:rsid w:val="00AA0115"/>
    <w:rsid w:val="00AA0119"/>
    <w:rsid w:val="00AA0188"/>
    <w:rsid w:val="00AA0252"/>
    <w:rsid w:val="00AA0259"/>
    <w:rsid w:val="00AA025E"/>
    <w:rsid w:val="00AA0268"/>
    <w:rsid w:val="00AA03E3"/>
    <w:rsid w:val="00AA061D"/>
    <w:rsid w:val="00AA0683"/>
    <w:rsid w:val="00AA0859"/>
    <w:rsid w:val="00AA0866"/>
    <w:rsid w:val="00AA0916"/>
    <w:rsid w:val="00AA09D3"/>
    <w:rsid w:val="00AA0A7E"/>
    <w:rsid w:val="00AA0AB9"/>
    <w:rsid w:val="00AA0B15"/>
    <w:rsid w:val="00AA0B2A"/>
    <w:rsid w:val="00AA0BC6"/>
    <w:rsid w:val="00AA0BE2"/>
    <w:rsid w:val="00AA0C3E"/>
    <w:rsid w:val="00AA0C47"/>
    <w:rsid w:val="00AA0CF8"/>
    <w:rsid w:val="00AA0DAA"/>
    <w:rsid w:val="00AA0E7B"/>
    <w:rsid w:val="00AA0F33"/>
    <w:rsid w:val="00AA0F48"/>
    <w:rsid w:val="00AA0F8A"/>
    <w:rsid w:val="00AA0FF9"/>
    <w:rsid w:val="00AA1194"/>
    <w:rsid w:val="00AA124E"/>
    <w:rsid w:val="00AA126B"/>
    <w:rsid w:val="00AA1276"/>
    <w:rsid w:val="00AA129B"/>
    <w:rsid w:val="00AA1304"/>
    <w:rsid w:val="00AA1441"/>
    <w:rsid w:val="00AA14EA"/>
    <w:rsid w:val="00AA1557"/>
    <w:rsid w:val="00AA15DF"/>
    <w:rsid w:val="00AA162E"/>
    <w:rsid w:val="00AA1641"/>
    <w:rsid w:val="00AA16A5"/>
    <w:rsid w:val="00AA16BB"/>
    <w:rsid w:val="00AA1874"/>
    <w:rsid w:val="00AA1884"/>
    <w:rsid w:val="00AA1903"/>
    <w:rsid w:val="00AA1A40"/>
    <w:rsid w:val="00AA1A42"/>
    <w:rsid w:val="00AA1A79"/>
    <w:rsid w:val="00AA1AED"/>
    <w:rsid w:val="00AA1C13"/>
    <w:rsid w:val="00AA1DF2"/>
    <w:rsid w:val="00AA1E2A"/>
    <w:rsid w:val="00AA1E8D"/>
    <w:rsid w:val="00AA1F4D"/>
    <w:rsid w:val="00AA1FE2"/>
    <w:rsid w:val="00AA1FEB"/>
    <w:rsid w:val="00AA202A"/>
    <w:rsid w:val="00AA205B"/>
    <w:rsid w:val="00AA2082"/>
    <w:rsid w:val="00AA211E"/>
    <w:rsid w:val="00AA21A7"/>
    <w:rsid w:val="00AA21CC"/>
    <w:rsid w:val="00AA2203"/>
    <w:rsid w:val="00AA2267"/>
    <w:rsid w:val="00AA230E"/>
    <w:rsid w:val="00AA235B"/>
    <w:rsid w:val="00AA23C0"/>
    <w:rsid w:val="00AA23F8"/>
    <w:rsid w:val="00AA2421"/>
    <w:rsid w:val="00AA2581"/>
    <w:rsid w:val="00AA2602"/>
    <w:rsid w:val="00AA260F"/>
    <w:rsid w:val="00AA2668"/>
    <w:rsid w:val="00AA269B"/>
    <w:rsid w:val="00AA27A4"/>
    <w:rsid w:val="00AA27B6"/>
    <w:rsid w:val="00AA2829"/>
    <w:rsid w:val="00AA2857"/>
    <w:rsid w:val="00AA2885"/>
    <w:rsid w:val="00AA2890"/>
    <w:rsid w:val="00AA2976"/>
    <w:rsid w:val="00AA29EB"/>
    <w:rsid w:val="00AA2A69"/>
    <w:rsid w:val="00AA2A74"/>
    <w:rsid w:val="00AA2A8A"/>
    <w:rsid w:val="00AA2AED"/>
    <w:rsid w:val="00AA2B3E"/>
    <w:rsid w:val="00AA2B79"/>
    <w:rsid w:val="00AA2B86"/>
    <w:rsid w:val="00AA2BF1"/>
    <w:rsid w:val="00AA2D49"/>
    <w:rsid w:val="00AA2D74"/>
    <w:rsid w:val="00AA2DD3"/>
    <w:rsid w:val="00AA2E7E"/>
    <w:rsid w:val="00AA2EC6"/>
    <w:rsid w:val="00AA2F67"/>
    <w:rsid w:val="00AA30AE"/>
    <w:rsid w:val="00AA30BB"/>
    <w:rsid w:val="00AA30F4"/>
    <w:rsid w:val="00AA315C"/>
    <w:rsid w:val="00AA3218"/>
    <w:rsid w:val="00AA3234"/>
    <w:rsid w:val="00AA32CB"/>
    <w:rsid w:val="00AA3346"/>
    <w:rsid w:val="00AA3348"/>
    <w:rsid w:val="00AA336C"/>
    <w:rsid w:val="00AA337E"/>
    <w:rsid w:val="00AA33AB"/>
    <w:rsid w:val="00AA33B1"/>
    <w:rsid w:val="00AA33C4"/>
    <w:rsid w:val="00AA3428"/>
    <w:rsid w:val="00AA34B2"/>
    <w:rsid w:val="00AA34DB"/>
    <w:rsid w:val="00AA3551"/>
    <w:rsid w:val="00AA35B4"/>
    <w:rsid w:val="00AA35D0"/>
    <w:rsid w:val="00AA36E3"/>
    <w:rsid w:val="00AA3796"/>
    <w:rsid w:val="00AA37EC"/>
    <w:rsid w:val="00AA3877"/>
    <w:rsid w:val="00AA3927"/>
    <w:rsid w:val="00AA396C"/>
    <w:rsid w:val="00AA39DD"/>
    <w:rsid w:val="00AA3A16"/>
    <w:rsid w:val="00AA3A83"/>
    <w:rsid w:val="00AA3A90"/>
    <w:rsid w:val="00AA3A9E"/>
    <w:rsid w:val="00AA3B41"/>
    <w:rsid w:val="00AA3D65"/>
    <w:rsid w:val="00AA3DAB"/>
    <w:rsid w:val="00AA3E7F"/>
    <w:rsid w:val="00AA3E98"/>
    <w:rsid w:val="00AA3F0E"/>
    <w:rsid w:val="00AA3FBC"/>
    <w:rsid w:val="00AA409D"/>
    <w:rsid w:val="00AA40AA"/>
    <w:rsid w:val="00AA4135"/>
    <w:rsid w:val="00AA414D"/>
    <w:rsid w:val="00AA41A3"/>
    <w:rsid w:val="00AA44BC"/>
    <w:rsid w:val="00AA456E"/>
    <w:rsid w:val="00AA45CC"/>
    <w:rsid w:val="00AA45E8"/>
    <w:rsid w:val="00AA46E7"/>
    <w:rsid w:val="00AA4789"/>
    <w:rsid w:val="00AA479E"/>
    <w:rsid w:val="00AA47AA"/>
    <w:rsid w:val="00AA4881"/>
    <w:rsid w:val="00AA48F0"/>
    <w:rsid w:val="00AA4921"/>
    <w:rsid w:val="00AA494A"/>
    <w:rsid w:val="00AA49FF"/>
    <w:rsid w:val="00AA4AC5"/>
    <w:rsid w:val="00AA4AD4"/>
    <w:rsid w:val="00AA4ADE"/>
    <w:rsid w:val="00AA4C1D"/>
    <w:rsid w:val="00AA4C2B"/>
    <w:rsid w:val="00AA4CB2"/>
    <w:rsid w:val="00AA4D4E"/>
    <w:rsid w:val="00AA4D94"/>
    <w:rsid w:val="00AA4D9B"/>
    <w:rsid w:val="00AA4F3B"/>
    <w:rsid w:val="00AA4F5A"/>
    <w:rsid w:val="00AA4FC2"/>
    <w:rsid w:val="00AA500D"/>
    <w:rsid w:val="00AA5095"/>
    <w:rsid w:val="00AA50D8"/>
    <w:rsid w:val="00AA51A1"/>
    <w:rsid w:val="00AA53AA"/>
    <w:rsid w:val="00AA53BC"/>
    <w:rsid w:val="00AA53C7"/>
    <w:rsid w:val="00AA53D8"/>
    <w:rsid w:val="00AA53E5"/>
    <w:rsid w:val="00AA5409"/>
    <w:rsid w:val="00AA5485"/>
    <w:rsid w:val="00AA54F4"/>
    <w:rsid w:val="00AA5501"/>
    <w:rsid w:val="00AA55AD"/>
    <w:rsid w:val="00AA55DF"/>
    <w:rsid w:val="00AA573C"/>
    <w:rsid w:val="00AA582A"/>
    <w:rsid w:val="00AA58D6"/>
    <w:rsid w:val="00AA58F1"/>
    <w:rsid w:val="00AA58F6"/>
    <w:rsid w:val="00AA5920"/>
    <w:rsid w:val="00AA5A0D"/>
    <w:rsid w:val="00AA5A13"/>
    <w:rsid w:val="00AA5A3F"/>
    <w:rsid w:val="00AA5A8A"/>
    <w:rsid w:val="00AA5AF3"/>
    <w:rsid w:val="00AA5B24"/>
    <w:rsid w:val="00AA5CC7"/>
    <w:rsid w:val="00AA5D83"/>
    <w:rsid w:val="00AA5D89"/>
    <w:rsid w:val="00AA5DA1"/>
    <w:rsid w:val="00AA5DEF"/>
    <w:rsid w:val="00AA5FAB"/>
    <w:rsid w:val="00AA607A"/>
    <w:rsid w:val="00AA6250"/>
    <w:rsid w:val="00AA62C9"/>
    <w:rsid w:val="00AA62E4"/>
    <w:rsid w:val="00AA6346"/>
    <w:rsid w:val="00AA6412"/>
    <w:rsid w:val="00AA6437"/>
    <w:rsid w:val="00AA6453"/>
    <w:rsid w:val="00AA6464"/>
    <w:rsid w:val="00AA646B"/>
    <w:rsid w:val="00AA646F"/>
    <w:rsid w:val="00AA64BC"/>
    <w:rsid w:val="00AA669B"/>
    <w:rsid w:val="00AA6774"/>
    <w:rsid w:val="00AA68DF"/>
    <w:rsid w:val="00AA68F5"/>
    <w:rsid w:val="00AA6939"/>
    <w:rsid w:val="00AA6A23"/>
    <w:rsid w:val="00AA6BF2"/>
    <w:rsid w:val="00AA6C19"/>
    <w:rsid w:val="00AA6C8B"/>
    <w:rsid w:val="00AA6CD4"/>
    <w:rsid w:val="00AA6D67"/>
    <w:rsid w:val="00AA6E05"/>
    <w:rsid w:val="00AA6F33"/>
    <w:rsid w:val="00AA6F95"/>
    <w:rsid w:val="00AA6F9A"/>
    <w:rsid w:val="00AA702E"/>
    <w:rsid w:val="00AA710B"/>
    <w:rsid w:val="00AA71E5"/>
    <w:rsid w:val="00AA7239"/>
    <w:rsid w:val="00AA7273"/>
    <w:rsid w:val="00AA7284"/>
    <w:rsid w:val="00AA7308"/>
    <w:rsid w:val="00AA7358"/>
    <w:rsid w:val="00AA7376"/>
    <w:rsid w:val="00AA73A2"/>
    <w:rsid w:val="00AA740F"/>
    <w:rsid w:val="00AA7472"/>
    <w:rsid w:val="00AA74B8"/>
    <w:rsid w:val="00AA74BF"/>
    <w:rsid w:val="00AA74FD"/>
    <w:rsid w:val="00AA7511"/>
    <w:rsid w:val="00AA752D"/>
    <w:rsid w:val="00AA7550"/>
    <w:rsid w:val="00AA75C4"/>
    <w:rsid w:val="00AA764F"/>
    <w:rsid w:val="00AA7690"/>
    <w:rsid w:val="00AA76F9"/>
    <w:rsid w:val="00AA773D"/>
    <w:rsid w:val="00AA7784"/>
    <w:rsid w:val="00AA7831"/>
    <w:rsid w:val="00AA7869"/>
    <w:rsid w:val="00AA78A7"/>
    <w:rsid w:val="00AA7925"/>
    <w:rsid w:val="00AA7931"/>
    <w:rsid w:val="00AA7956"/>
    <w:rsid w:val="00AA7A0E"/>
    <w:rsid w:val="00AA7A2C"/>
    <w:rsid w:val="00AA7A2F"/>
    <w:rsid w:val="00AA7A91"/>
    <w:rsid w:val="00AA7AA3"/>
    <w:rsid w:val="00AA7B83"/>
    <w:rsid w:val="00AA7B92"/>
    <w:rsid w:val="00AA7BC1"/>
    <w:rsid w:val="00AA7BC2"/>
    <w:rsid w:val="00AA7BC6"/>
    <w:rsid w:val="00AA7C2F"/>
    <w:rsid w:val="00AA7C89"/>
    <w:rsid w:val="00AA7CAD"/>
    <w:rsid w:val="00AA7CBC"/>
    <w:rsid w:val="00AA7CC0"/>
    <w:rsid w:val="00AA7D37"/>
    <w:rsid w:val="00AA7E00"/>
    <w:rsid w:val="00AA7E5D"/>
    <w:rsid w:val="00AA7E78"/>
    <w:rsid w:val="00AA7EF4"/>
    <w:rsid w:val="00AA7F1F"/>
    <w:rsid w:val="00AA7F32"/>
    <w:rsid w:val="00AB00B2"/>
    <w:rsid w:val="00AB014D"/>
    <w:rsid w:val="00AB01A1"/>
    <w:rsid w:val="00AB021D"/>
    <w:rsid w:val="00AB025E"/>
    <w:rsid w:val="00AB02AE"/>
    <w:rsid w:val="00AB02B1"/>
    <w:rsid w:val="00AB0312"/>
    <w:rsid w:val="00AB03AD"/>
    <w:rsid w:val="00AB0414"/>
    <w:rsid w:val="00AB0461"/>
    <w:rsid w:val="00AB048E"/>
    <w:rsid w:val="00AB04C3"/>
    <w:rsid w:val="00AB04E2"/>
    <w:rsid w:val="00AB0545"/>
    <w:rsid w:val="00AB05EE"/>
    <w:rsid w:val="00AB05FD"/>
    <w:rsid w:val="00AB0696"/>
    <w:rsid w:val="00AB07AD"/>
    <w:rsid w:val="00AB07F1"/>
    <w:rsid w:val="00AB0845"/>
    <w:rsid w:val="00AB08E5"/>
    <w:rsid w:val="00AB08E6"/>
    <w:rsid w:val="00AB099A"/>
    <w:rsid w:val="00AB09FB"/>
    <w:rsid w:val="00AB0A52"/>
    <w:rsid w:val="00AB0B6F"/>
    <w:rsid w:val="00AB0CE4"/>
    <w:rsid w:val="00AB0D57"/>
    <w:rsid w:val="00AB0E0F"/>
    <w:rsid w:val="00AB0E13"/>
    <w:rsid w:val="00AB0E1A"/>
    <w:rsid w:val="00AB0E54"/>
    <w:rsid w:val="00AB0EAA"/>
    <w:rsid w:val="00AB0EEC"/>
    <w:rsid w:val="00AB0F8B"/>
    <w:rsid w:val="00AB0F96"/>
    <w:rsid w:val="00AB1015"/>
    <w:rsid w:val="00AB105E"/>
    <w:rsid w:val="00AB107A"/>
    <w:rsid w:val="00AB109D"/>
    <w:rsid w:val="00AB1103"/>
    <w:rsid w:val="00AB11FE"/>
    <w:rsid w:val="00AB1204"/>
    <w:rsid w:val="00AB122C"/>
    <w:rsid w:val="00AB1525"/>
    <w:rsid w:val="00AB155C"/>
    <w:rsid w:val="00AB1619"/>
    <w:rsid w:val="00AB1643"/>
    <w:rsid w:val="00AB1671"/>
    <w:rsid w:val="00AB1711"/>
    <w:rsid w:val="00AB1740"/>
    <w:rsid w:val="00AB17D8"/>
    <w:rsid w:val="00AB18B7"/>
    <w:rsid w:val="00AB1954"/>
    <w:rsid w:val="00AB1958"/>
    <w:rsid w:val="00AB1AF0"/>
    <w:rsid w:val="00AB1B1E"/>
    <w:rsid w:val="00AB1BFC"/>
    <w:rsid w:val="00AB1C74"/>
    <w:rsid w:val="00AB1DA3"/>
    <w:rsid w:val="00AB1E02"/>
    <w:rsid w:val="00AB1E47"/>
    <w:rsid w:val="00AB1E5B"/>
    <w:rsid w:val="00AB1E7B"/>
    <w:rsid w:val="00AB1F22"/>
    <w:rsid w:val="00AB1F87"/>
    <w:rsid w:val="00AB207A"/>
    <w:rsid w:val="00AB2090"/>
    <w:rsid w:val="00AB21DE"/>
    <w:rsid w:val="00AB2390"/>
    <w:rsid w:val="00AB23AA"/>
    <w:rsid w:val="00AB23B8"/>
    <w:rsid w:val="00AB2492"/>
    <w:rsid w:val="00AB252A"/>
    <w:rsid w:val="00AB252F"/>
    <w:rsid w:val="00AB2548"/>
    <w:rsid w:val="00AB2605"/>
    <w:rsid w:val="00AB2626"/>
    <w:rsid w:val="00AB2737"/>
    <w:rsid w:val="00AB2743"/>
    <w:rsid w:val="00AB27DE"/>
    <w:rsid w:val="00AB2945"/>
    <w:rsid w:val="00AB295A"/>
    <w:rsid w:val="00AB295E"/>
    <w:rsid w:val="00AB29E9"/>
    <w:rsid w:val="00AB2AA0"/>
    <w:rsid w:val="00AB2B90"/>
    <w:rsid w:val="00AB2BA9"/>
    <w:rsid w:val="00AB2BAC"/>
    <w:rsid w:val="00AB2BB0"/>
    <w:rsid w:val="00AB2BD6"/>
    <w:rsid w:val="00AB2CB8"/>
    <w:rsid w:val="00AB2CCF"/>
    <w:rsid w:val="00AB2CEC"/>
    <w:rsid w:val="00AB2DAF"/>
    <w:rsid w:val="00AB2DEB"/>
    <w:rsid w:val="00AB2E4D"/>
    <w:rsid w:val="00AB2E79"/>
    <w:rsid w:val="00AB2F0C"/>
    <w:rsid w:val="00AB2F5A"/>
    <w:rsid w:val="00AB306D"/>
    <w:rsid w:val="00AB3088"/>
    <w:rsid w:val="00AB3099"/>
    <w:rsid w:val="00AB32A2"/>
    <w:rsid w:val="00AB32EC"/>
    <w:rsid w:val="00AB33B9"/>
    <w:rsid w:val="00AB33DA"/>
    <w:rsid w:val="00AB33FF"/>
    <w:rsid w:val="00AB341B"/>
    <w:rsid w:val="00AB3433"/>
    <w:rsid w:val="00AB3482"/>
    <w:rsid w:val="00AB3535"/>
    <w:rsid w:val="00AB3564"/>
    <w:rsid w:val="00AB35E3"/>
    <w:rsid w:val="00AB3679"/>
    <w:rsid w:val="00AB371F"/>
    <w:rsid w:val="00AB383F"/>
    <w:rsid w:val="00AB388B"/>
    <w:rsid w:val="00AB38C1"/>
    <w:rsid w:val="00AB38E6"/>
    <w:rsid w:val="00AB397F"/>
    <w:rsid w:val="00AB39B4"/>
    <w:rsid w:val="00AB39B6"/>
    <w:rsid w:val="00AB3A01"/>
    <w:rsid w:val="00AB3A0D"/>
    <w:rsid w:val="00AB3B20"/>
    <w:rsid w:val="00AB3B35"/>
    <w:rsid w:val="00AB3C0A"/>
    <w:rsid w:val="00AB3C8C"/>
    <w:rsid w:val="00AB3CF0"/>
    <w:rsid w:val="00AB3E3F"/>
    <w:rsid w:val="00AB3E6B"/>
    <w:rsid w:val="00AB3E71"/>
    <w:rsid w:val="00AB3EF0"/>
    <w:rsid w:val="00AB3EFB"/>
    <w:rsid w:val="00AB3F62"/>
    <w:rsid w:val="00AB3F8F"/>
    <w:rsid w:val="00AB3F9C"/>
    <w:rsid w:val="00AB3FD8"/>
    <w:rsid w:val="00AB404A"/>
    <w:rsid w:val="00AB4069"/>
    <w:rsid w:val="00AB407F"/>
    <w:rsid w:val="00AB412A"/>
    <w:rsid w:val="00AB41EC"/>
    <w:rsid w:val="00AB41F5"/>
    <w:rsid w:val="00AB4232"/>
    <w:rsid w:val="00AB426B"/>
    <w:rsid w:val="00AB4358"/>
    <w:rsid w:val="00AB4403"/>
    <w:rsid w:val="00AB4432"/>
    <w:rsid w:val="00AB4438"/>
    <w:rsid w:val="00AB4598"/>
    <w:rsid w:val="00AB4599"/>
    <w:rsid w:val="00AB45EA"/>
    <w:rsid w:val="00AB4660"/>
    <w:rsid w:val="00AB46D7"/>
    <w:rsid w:val="00AB46D9"/>
    <w:rsid w:val="00AB4704"/>
    <w:rsid w:val="00AB4757"/>
    <w:rsid w:val="00AB47A4"/>
    <w:rsid w:val="00AB47C4"/>
    <w:rsid w:val="00AB47F6"/>
    <w:rsid w:val="00AB47FB"/>
    <w:rsid w:val="00AB47FE"/>
    <w:rsid w:val="00AB4800"/>
    <w:rsid w:val="00AB486E"/>
    <w:rsid w:val="00AB48DC"/>
    <w:rsid w:val="00AB48FE"/>
    <w:rsid w:val="00AB49CC"/>
    <w:rsid w:val="00AB4A7B"/>
    <w:rsid w:val="00AB4ABC"/>
    <w:rsid w:val="00AB4B4A"/>
    <w:rsid w:val="00AB4B6A"/>
    <w:rsid w:val="00AB4BDC"/>
    <w:rsid w:val="00AB4CC7"/>
    <w:rsid w:val="00AB4D11"/>
    <w:rsid w:val="00AB4D2B"/>
    <w:rsid w:val="00AB4DA6"/>
    <w:rsid w:val="00AB4E38"/>
    <w:rsid w:val="00AB4E3A"/>
    <w:rsid w:val="00AB4E61"/>
    <w:rsid w:val="00AB4E82"/>
    <w:rsid w:val="00AB4F21"/>
    <w:rsid w:val="00AB5014"/>
    <w:rsid w:val="00AB5050"/>
    <w:rsid w:val="00AB5099"/>
    <w:rsid w:val="00AB509F"/>
    <w:rsid w:val="00AB50BB"/>
    <w:rsid w:val="00AB50CE"/>
    <w:rsid w:val="00AB5132"/>
    <w:rsid w:val="00AB51A3"/>
    <w:rsid w:val="00AB5283"/>
    <w:rsid w:val="00AB52A0"/>
    <w:rsid w:val="00AB5348"/>
    <w:rsid w:val="00AB5382"/>
    <w:rsid w:val="00AB5442"/>
    <w:rsid w:val="00AB5470"/>
    <w:rsid w:val="00AB54B0"/>
    <w:rsid w:val="00AB54DE"/>
    <w:rsid w:val="00AB5537"/>
    <w:rsid w:val="00AB556C"/>
    <w:rsid w:val="00AB5580"/>
    <w:rsid w:val="00AB55ED"/>
    <w:rsid w:val="00AB55F9"/>
    <w:rsid w:val="00AB56C7"/>
    <w:rsid w:val="00AB56D9"/>
    <w:rsid w:val="00AB5740"/>
    <w:rsid w:val="00AB578E"/>
    <w:rsid w:val="00AB57A2"/>
    <w:rsid w:val="00AB5895"/>
    <w:rsid w:val="00AB5915"/>
    <w:rsid w:val="00AB5991"/>
    <w:rsid w:val="00AB59D6"/>
    <w:rsid w:val="00AB5A09"/>
    <w:rsid w:val="00AB5AE1"/>
    <w:rsid w:val="00AB5B49"/>
    <w:rsid w:val="00AB5B5F"/>
    <w:rsid w:val="00AB5BA6"/>
    <w:rsid w:val="00AB5D11"/>
    <w:rsid w:val="00AB5D4C"/>
    <w:rsid w:val="00AB5E61"/>
    <w:rsid w:val="00AB5E68"/>
    <w:rsid w:val="00AB5E6D"/>
    <w:rsid w:val="00AB5FE5"/>
    <w:rsid w:val="00AB6008"/>
    <w:rsid w:val="00AB6195"/>
    <w:rsid w:val="00AB62C8"/>
    <w:rsid w:val="00AB63CC"/>
    <w:rsid w:val="00AB65D6"/>
    <w:rsid w:val="00AB66BC"/>
    <w:rsid w:val="00AB66F9"/>
    <w:rsid w:val="00AB67F6"/>
    <w:rsid w:val="00AB685D"/>
    <w:rsid w:val="00AB68C0"/>
    <w:rsid w:val="00AB6921"/>
    <w:rsid w:val="00AB69B1"/>
    <w:rsid w:val="00AB6A42"/>
    <w:rsid w:val="00AB6B00"/>
    <w:rsid w:val="00AB6B4C"/>
    <w:rsid w:val="00AB6B5A"/>
    <w:rsid w:val="00AB6B5B"/>
    <w:rsid w:val="00AB6B87"/>
    <w:rsid w:val="00AB6C21"/>
    <w:rsid w:val="00AB6C3F"/>
    <w:rsid w:val="00AB6C73"/>
    <w:rsid w:val="00AB6D03"/>
    <w:rsid w:val="00AB6D0E"/>
    <w:rsid w:val="00AB6D55"/>
    <w:rsid w:val="00AB6E91"/>
    <w:rsid w:val="00AB6F2F"/>
    <w:rsid w:val="00AB7006"/>
    <w:rsid w:val="00AB700C"/>
    <w:rsid w:val="00AB705A"/>
    <w:rsid w:val="00AB70A7"/>
    <w:rsid w:val="00AB71D2"/>
    <w:rsid w:val="00AB71E4"/>
    <w:rsid w:val="00AB71FF"/>
    <w:rsid w:val="00AB7208"/>
    <w:rsid w:val="00AB721B"/>
    <w:rsid w:val="00AB72AE"/>
    <w:rsid w:val="00AB72B0"/>
    <w:rsid w:val="00AB72DA"/>
    <w:rsid w:val="00AB72DE"/>
    <w:rsid w:val="00AB73F0"/>
    <w:rsid w:val="00AB745E"/>
    <w:rsid w:val="00AB7548"/>
    <w:rsid w:val="00AB754D"/>
    <w:rsid w:val="00AB759E"/>
    <w:rsid w:val="00AB75D4"/>
    <w:rsid w:val="00AB75E2"/>
    <w:rsid w:val="00AB7673"/>
    <w:rsid w:val="00AB7720"/>
    <w:rsid w:val="00AB7778"/>
    <w:rsid w:val="00AB7781"/>
    <w:rsid w:val="00AB785C"/>
    <w:rsid w:val="00AB7889"/>
    <w:rsid w:val="00AB78A3"/>
    <w:rsid w:val="00AB78C4"/>
    <w:rsid w:val="00AB7909"/>
    <w:rsid w:val="00AB795A"/>
    <w:rsid w:val="00AB79E3"/>
    <w:rsid w:val="00AB7A67"/>
    <w:rsid w:val="00AB7B70"/>
    <w:rsid w:val="00AB7D06"/>
    <w:rsid w:val="00AB7D15"/>
    <w:rsid w:val="00AB7E18"/>
    <w:rsid w:val="00AB7E60"/>
    <w:rsid w:val="00AB7F16"/>
    <w:rsid w:val="00AB7F65"/>
    <w:rsid w:val="00AB7F9B"/>
    <w:rsid w:val="00AB7FC3"/>
    <w:rsid w:val="00AB7FF3"/>
    <w:rsid w:val="00AC0035"/>
    <w:rsid w:val="00AC0058"/>
    <w:rsid w:val="00AC005D"/>
    <w:rsid w:val="00AC00CA"/>
    <w:rsid w:val="00AC01C5"/>
    <w:rsid w:val="00AC01E0"/>
    <w:rsid w:val="00AC0210"/>
    <w:rsid w:val="00AC0214"/>
    <w:rsid w:val="00AC026F"/>
    <w:rsid w:val="00AC02A2"/>
    <w:rsid w:val="00AC02F1"/>
    <w:rsid w:val="00AC0323"/>
    <w:rsid w:val="00AC0385"/>
    <w:rsid w:val="00AC03A0"/>
    <w:rsid w:val="00AC0482"/>
    <w:rsid w:val="00AC049C"/>
    <w:rsid w:val="00AC055C"/>
    <w:rsid w:val="00AC0605"/>
    <w:rsid w:val="00AC06C5"/>
    <w:rsid w:val="00AC06F2"/>
    <w:rsid w:val="00AC079B"/>
    <w:rsid w:val="00AC0862"/>
    <w:rsid w:val="00AC0864"/>
    <w:rsid w:val="00AC093F"/>
    <w:rsid w:val="00AC096C"/>
    <w:rsid w:val="00AC098F"/>
    <w:rsid w:val="00AC09AA"/>
    <w:rsid w:val="00AC09AE"/>
    <w:rsid w:val="00AC0A46"/>
    <w:rsid w:val="00AC0A74"/>
    <w:rsid w:val="00AC0B2A"/>
    <w:rsid w:val="00AC0BC9"/>
    <w:rsid w:val="00AC0C99"/>
    <w:rsid w:val="00AC0D22"/>
    <w:rsid w:val="00AC0EB4"/>
    <w:rsid w:val="00AC0EB6"/>
    <w:rsid w:val="00AC0F4B"/>
    <w:rsid w:val="00AC0F81"/>
    <w:rsid w:val="00AC0FF5"/>
    <w:rsid w:val="00AC1037"/>
    <w:rsid w:val="00AC1067"/>
    <w:rsid w:val="00AC1296"/>
    <w:rsid w:val="00AC1427"/>
    <w:rsid w:val="00AC149C"/>
    <w:rsid w:val="00AC14EC"/>
    <w:rsid w:val="00AC167F"/>
    <w:rsid w:val="00AC1701"/>
    <w:rsid w:val="00AC17BE"/>
    <w:rsid w:val="00AC1856"/>
    <w:rsid w:val="00AC188E"/>
    <w:rsid w:val="00AC18BA"/>
    <w:rsid w:val="00AC1905"/>
    <w:rsid w:val="00AC191A"/>
    <w:rsid w:val="00AC1920"/>
    <w:rsid w:val="00AC1983"/>
    <w:rsid w:val="00AC1A17"/>
    <w:rsid w:val="00AC1A58"/>
    <w:rsid w:val="00AC1ACC"/>
    <w:rsid w:val="00AC1AD1"/>
    <w:rsid w:val="00AC1B15"/>
    <w:rsid w:val="00AC1D02"/>
    <w:rsid w:val="00AC1D1E"/>
    <w:rsid w:val="00AC1D2D"/>
    <w:rsid w:val="00AC1DA1"/>
    <w:rsid w:val="00AC1E1B"/>
    <w:rsid w:val="00AC1ECE"/>
    <w:rsid w:val="00AC1EE2"/>
    <w:rsid w:val="00AC1F65"/>
    <w:rsid w:val="00AC2029"/>
    <w:rsid w:val="00AC2034"/>
    <w:rsid w:val="00AC211E"/>
    <w:rsid w:val="00AC2144"/>
    <w:rsid w:val="00AC2170"/>
    <w:rsid w:val="00AC2240"/>
    <w:rsid w:val="00AC2398"/>
    <w:rsid w:val="00AC2489"/>
    <w:rsid w:val="00AC2493"/>
    <w:rsid w:val="00AC24A5"/>
    <w:rsid w:val="00AC2564"/>
    <w:rsid w:val="00AC264E"/>
    <w:rsid w:val="00AC26AC"/>
    <w:rsid w:val="00AC2772"/>
    <w:rsid w:val="00AC2787"/>
    <w:rsid w:val="00AC27C0"/>
    <w:rsid w:val="00AC27F9"/>
    <w:rsid w:val="00AC2804"/>
    <w:rsid w:val="00AC28AF"/>
    <w:rsid w:val="00AC28D9"/>
    <w:rsid w:val="00AC290C"/>
    <w:rsid w:val="00AC2A84"/>
    <w:rsid w:val="00AC2AE3"/>
    <w:rsid w:val="00AC2B11"/>
    <w:rsid w:val="00AC2B9E"/>
    <w:rsid w:val="00AC2B9F"/>
    <w:rsid w:val="00AC2BB3"/>
    <w:rsid w:val="00AC2BD3"/>
    <w:rsid w:val="00AC2C13"/>
    <w:rsid w:val="00AC2E0F"/>
    <w:rsid w:val="00AC2E4C"/>
    <w:rsid w:val="00AC2EF2"/>
    <w:rsid w:val="00AC2F5A"/>
    <w:rsid w:val="00AC2FCD"/>
    <w:rsid w:val="00AC301C"/>
    <w:rsid w:val="00AC3022"/>
    <w:rsid w:val="00AC3060"/>
    <w:rsid w:val="00AC30D2"/>
    <w:rsid w:val="00AC332D"/>
    <w:rsid w:val="00AC3489"/>
    <w:rsid w:val="00AC3562"/>
    <w:rsid w:val="00AC3564"/>
    <w:rsid w:val="00AC3565"/>
    <w:rsid w:val="00AC3577"/>
    <w:rsid w:val="00AC35E5"/>
    <w:rsid w:val="00AC35F0"/>
    <w:rsid w:val="00AC35F6"/>
    <w:rsid w:val="00AC3625"/>
    <w:rsid w:val="00AC3637"/>
    <w:rsid w:val="00AC36AA"/>
    <w:rsid w:val="00AC3707"/>
    <w:rsid w:val="00AC3798"/>
    <w:rsid w:val="00AC37B9"/>
    <w:rsid w:val="00AC37D7"/>
    <w:rsid w:val="00AC3859"/>
    <w:rsid w:val="00AC38CD"/>
    <w:rsid w:val="00AC3911"/>
    <w:rsid w:val="00AC396A"/>
    <w:rsid w:val="00AC39C4"/>
    <w:rsid w:val="00AC39F7"/>
    <w:rsid w:val="00AC3A33"/>
    <w:rsid w:val="00AC3A62"/>
    <w:rsid w:val="00AC3B25"/>
    <w:rsid w:val="00AC3B4E"/>
    <w:rsid w:val="00AC3B52"/>
    <w:rsid w:val="00AC3B55"/>
    <w:rsid w:val="00AC3C0B"/>
    <w:rsid w:val="00AC3C3D"/>
    <w:rsid w:val="00AC3CFE"/>
    <w:rsid w:val="00AC3D87"/>
    <w:rsid w:val="00AC3D90"/>
    <w:rsid w:val="00AC3DCD"/>
    <w:rsid w:val="00AC3DF4"/>
    <w:rsid w:val="00AC3E16"/>
    <w:rsid w:val="00AC4075"/>
    <w:rsid w:val="00AC4127"/>
    <w:rsid w:val="00AC4325"/>
    <w:rsid w:val="00AC432D"/>
    <w:rsid w:val="00AC433A"/>
    <w:rsid w:val="00AC4361"/>
    <w:rsid w:val="00AC4559"/>
    <w:rsid w:val="00AC45C2"/>
    <w:rsid w:val="00AC45C3"/>
    <w:rsid w:val="00AC4759"/>
    <w:rsid w:val="00AC47B3"/>
    <w:rsid w:val="00AC48EC"/>
    <w:rsid w:val="00AC49B8"/>
    <w:rsid w:val="00AC4A0D"/>
    <w:rsid w:val="00AC4A53"/>
    <w:rsid w:val="00AC4AB0"/>
    <w:rsid w:val="00AC4C70"/>
    <w:rsid w:val="00AC4CA8"/>
    <w:rsid w:val="00AC4CF2"/>
    <w:rsid w:val="00AC4F43"/>
    <w:rsid w:val="00AC4FB6"/>
    <w:rsid w:val="00AC505C"/>
    <w:rsid w:val="00AC51AB"/>
    <w:rsid w:val="00AC51F0"/>
    <w:rsid w:val="00AC521E"/>
    <w:rsid w:val="00AC523C"/>
    <w:rsid w:val="00AC5241"/>
    <w:rsid w:val="00AC5298"/>
    <w:rsid w:val="00AC540D"/>
    <w:rsid w:val="00AC546B"/>
    <w:rsid w:val="00AC5564"/>
    <w:rsid w:val="00AC556D"/>
    <w:rsid w:val="00AC55B7"/>
    <w:rsid w:val="00AC5607"/>
    <w:rsid w:val="00AC5665"/>
    <w:rsid w:val="00AC57AE"/>
    <w:rsid w:val="00AC57D0"/>
    <w:rsid w:val="00AC57EC"/>
    <w:rsid w:val="00AC584E"/>
    <w:rsid w:val="00AC5915"/>
    <w:rsid w:val="00AC5932"/>
    <w:rsid w:val="00AC596B"/>
    <w:rsid w:val="00AC5995"/>
    <w:rsid w:val="00AC59D8"/>
    <w:rsid w:val="00AC5A03"/>
    <w:rsid w:val="00AC5A29"/>
    <w:rsid w:val="00AC5A6E"/>
    <w:rsid w:val="00AC5A70"/>
    <w:rsid w:val="00AC5A80"/>
    <w:rsid w:val="00AC5B54"/>
    <w:rsid w:val="00AC5B64"/>
    <w:rsid w:val="00AC5D31"/>
    <w:rsid w:val="00AC5D82"/>
    <w:rsid w:val="00AC5E62"/>
    <w:rsid w:val="00AC5E7A"/>
    <w:rsid w:val="00AC5EA8"/>
    <w:rsid w:val="00AC5EE1"/>
    <w:rsid w:val="00AC5EE6"/>
    <w:rsid w:val="00AC5F12"/>
    <w:rsid w:val="00AC5F7E"/>
    <w:rsid w:val="00AC6051"/>
    <w:rsid w:val="00AC6065"/>
    <w:rsid w:val="00AC612D"/>
    <w:rsid w:val="00AC61DF"/>
    <w:rsid w:val="00AC61E8"/>
    <w:rsid w:val="00AC61F7"/>
    <w:rsid w:val="00AC625B"/>
    <w:rsid w:val="00AC62F7"/>
    <w:rsid w:val="00AC6373"/>
    <w:rsid w:val="00AC6391"/>
    <w:rsid w:val="00AC63C0"/>
    <w:rsid w:val="00AC63E0"/>
    <w:rsid w:val="00AC641A"/>
    <w:rsid w:val="00AC64A5"/>
    <w:rsid w:val="00AC64DD"/>
    <w:rsid w:val="00AC64EB"/>
    <w:rsid w:val="00AC64EC"/>
    <w:rsid w:val="00AC6527"/>
    <w:rsid w:val="00AC6559"/>
    <w:rsid w:val="00AC655F"/>
    <w:rsid w:val="00AC6581"/>
    <w:rsid w:val="00AC664C"/>
    <w:rsid w:val="00AC66E0"/>
    <w:rsid w:val="00AC6713"/>
    <w:rsid w:val="00AC67E2"/>
    <w:rsid w:val="00AC683F"/>
    <w:rsid w:val="00AC6844"/>
    <w:rsid w:val="00AC68CC"/>
    <w:rsid w:val="00AC690B"/>
    <w:rsid w:val="00AC691F"/>
    <w:rsid w:val="00AC698A"/>
    <w:rsid w:val="00AC69FE"/>
    <w:rsid w:val="00AC6A12"/>
    <w:rsid w:val="00AC6A1F"/>
    <w:rsid w:val="00AC6A89"/>
    <w:rsid w:val="00AC6B5D"/>
    <w:rsid w:val="00AC6CF9"/>
    <w:rsid w:val="00AC6D65"/>
    <w:rsid w:val="00AC6D6A"/>
    <w:rsid w:val="00AC6D6F"/>
    <w:rsid w:val="00AC6DF2"/>
    <w:rsid w:val="00AC6E15"/>
    <w:rsid w:val="00AC6E28"/>
    <w:rsid w:val="00AC6E65"/>
    <w:rsid w:val="00AC6E76"/>
    <w:rsid w:val="00AC6ECB"/>
    <w:rsid w:val="00AC6F23"/>
    <w:rsid w:val="00AC6F47"/>
    <w:rsid w:val="00AC6FAA"/>
    <w:rsid w:val="00AC6FB6"/>
    <w:rsid w:val="00AC6FB8"/>
    <w:rsid w:val="00AC72AD"/>
    <w:rsid w:val="00AC72B1"/>
    <w:rsid w:val="00AC73AD"/>
    <w:rsid w:val="00AC7414"/>
    <w:rsid w:val="00AC74A9"/>
    <w:rsid w:val="00AC753B"/>
    <w:rsid w:val="00AC756D"/>
    <w:rsid w:val="00AC75D0"/>
    <w:rsid w:val="00AC75E9"/>
    <w:rsid w:val="00AC7691"/>
    <w:rsid w:val="00AC76B4"/>
    <w:rsid w:val="00AC7779"/>
    <w:rsid w:val="00AC7784"/>
    <w:rsid w:val="00AC77AB"/>
    <w:rsid w:val="00AC77D9"/>
    <w:rsid w:val="00AC7834"/>
    <w:rsid w:val="00AC7877"/>
    <w:rsid w:val="00AC79A9"/>
    <w:rsid w:val="00AC79F8"/>
    <w:rsid w:val="00AC7AEB"/>
    <w:rsid w:val="00AC7B0F"/>
    <w:rsid w:val="00AC7BF4"/>
    <w:rsid w:val="00AC7C46"/>
    <w:rsid w:val="00AC7C8E"/>
    <w:rsid w:val="00AC7CAE"/>
    <w:rsid w:val="00AC7CC3"/>
    <w:rsid w:val="00AC7CD5"/>
    <w:rsid w:val="00AC7D6B"/>
    <w:rsid w:val="00AC7DD9"/>
    <w:rsid w:val="00AC7DE6"/>
    <w:rsid w:val="00AD0007"/>
    <w:rsid w:val="00AD0153"/>
    <w:rsid w:val="00AD01F6"/>
    <w:rsid w:val="00AD0267"/>
    <w:rsid w:val="00AD029C"/>
    <w:rsid w:val="00AD0320"/>
    <w:rsid w:val="00AD034C"/>
    <w:rsid w:val="00AD03A9"/>
    <w:rsid w:val="00AD05B8"/>
    <w:rsid w:val="00AD0653"/>
    <w:rsid w:val="00AD067B"/>
    <w:rsid w:val="00AD06DE"/>
    <w:rsid w:val="00AD0742"/>
    <w:rsid w:val="00AD0752"/>
    <w:rsid w:val="00AD07FD"/>
    <w:rsid w:val="00AD082D"/>
    <w:rsid w:val="00AD086F"/>
    <w:rsid w:val="00AD0A13"/>
    <w:rsid w:val="00AD0AF8"/>
    <w:rsid w:val="00AD0B7E"/>
    <w:rsid w:val="00AD0B98"/>
    <w:rsid w:val="00AD0BE6"/>
    <w:rsid w:val="00AD0D44"/>
    <w:rsid w:val="00AD0DF3"/>
    <w:rsid w:val="00AD0EDC"/>
    <w:rsid w:val="00AD0F46"/>
    <w:rsid w:val="00AD0F56"/>
    <w:rsid w:val="00AD0FCD"/>
    <w:rsid w:val="00AD0FFE"/>
    <w:rsid w:val="00AD1040"/>
    <w:rsid w:val="00AD1056"/>
    <w:rsid w:val="00AD1085"/>
    <w:rsid w:val="00AD10A6"/>
    <w:rsid w:val="00AD10F4"/>
    <w:rsid w:val="00AD110E"/>
    <w:rsid w:val="00AD111B"/>
    <w:rsid w:val="00AD114E"/>
    <w:rsid w:val="00AD1170"/>
    <w:rsid w:val="00AD12E3"/>
    <w:rsid w:val="00AD1362"/>
    <w:rsid w:val="00AD138C"/>
    <w:rsid w:val="00AD13A7"/>
    <w:rsid w:val="00AD13A9"/>
    <w:rsid w:val="00AD13FA"/>
    <w:rsid w:val="00AD1408"/>
    <w:rsid w:val="00AD1481"/>
    <w:rsid w:val="00AD15B2"/>
    <w:rsid w:val="00AD15CD"/>
    <w:rsid w:val="00AD17A1"/>
    <w:rsid w:val="00AD1813"/>
    <w:rsid w:val="00AD18CF"/>
    <w:rsid w:val="00AD18E7"/>
    <w:rsid w:val="00AD1964"/>
    <w:rsid w:val="00AD1987"/>
    <w:rsid w:val="00AD19CE"/>
    <w:rsid w:val="00AD1B3A"/>
    <w:rsid w:val="00AD1B78"/>
    <w:rsid w:val="00AD1BDE"/>
    <w:rsid w:val="00AD1C77"/>
    <w:rsid w:val="00AD1D04"/>
    <w:rsid w:val="00AD1D65"/>
    <w:rsid w:val="00AD1E03"/>
    <w:rsid w:val="00AD1F11"/>
    <w:rsid w:val="00AD1F89"/>
    <w:rsid w:val="00AD1FB4"/>
    <w:rsid w:val="00AD1FB7"/>
    <w:rsid w:val="00AD1FCD"/>
    <w:rsid w:val="00AD2039"/>
    <w:rsid w:val="00AD20D4"/>
    <w:rsid w:val="00AD20ED"/>
    <w:rsid w:val="00AD211E"/>
    <w:rsid w:val="00AD214F"/>
    <w:rsid w:val="00AD21F4"/>
    <w:rsid w:val="00AD2217"/>
    <w:rsid w:val="00AD2363"/>
    <w:rsid w:val="00AD2519"/>
    <w:rsid w:val="00AD2526"/>
    <w:rsid w:val="00AD253A"/>
    <w:rsid w:val="00AD25A4"/>
    <w:rsid w:val="00AD2656"/>
    <w:rsid w:val="00AD26B9"/>
    <w:rsid w:val="00AD273F"/>
    <w:rsid w:val="00AD27C7"/>
    <w:rsid w:val="00AD27DF"/>
    <w:rsid w:val="00AD2877"/>
    <w:rsid w:val="00AD291A"/>
    <w:rsid w:val="00AD2980"/>
    <w:rsid w:val="00AD299A"/>
    <w:rsid w:val="00AD29CA"/>
    <w:rsid w:val="00AD29E2"/>
    <w:rsid w:val="00AD2A96"/>
    <w:rsid w:val="00AD2AF2"/>
    <w:rsid w:val="00AD2B57"/>
    <w:rsid w:val="00AD2CBE"/>
    <w:rsid w:val="00AD2CED"/>
    <w:rsid w:val="00AD2E27"/>
    <w:rsid w:val="00AD2E7D"/>
    <w:rsid w:val="00AD2F33"/>
    <w:rsid w:val="00AD2FA3"/>
    <w:rsid w:val="00AD2FAE"/>
    <w:rsid w:val="00AD3014"/>
    <w:rsid w:val="00AD301E"/>
    <w:rsid w:val="00AD3035"/>
    <w:rsid w:val="00AD3093"/>
    <w:rsid w:val="00AD30E9"/>
    <w:rsid w:val="00AD3109"/>
    <w:rsid w:val="00AD3128"/>
    <w:rsid w:val="00AD314D"/>
    <w:rsid w:val="00AD3221"/>
    <w:rsid w:val="00AD3330"/>
    <w:rsid w:val="00AD339D"/>
    <w:rsid w:val="00AD33E8"/>
    <w:rsid w:val="00AD35B8"/>
    <w:rsid w:val="00AD35D6"/>
    <w:rsid w:val="00AD360E"/>
    <w:rsid w:val="00AD3627"/>
    <w:rsid w:val="00AD37E7"/>
    <w:rsid w:val="00AD388A"/>
    <w:rsid w:val="00AD38C3"/>
    <w:rsid w:val="00AD3972"/>
    <w:rsid w:val="00AD39EF"/>
    <w:rsid w:val="00AD3A2D"/>
    <w:rsid w:val="00AD3AAD"/>
    <w:rsid w:val="00AD3AEB"/>
    <w:rsid w:val="00AD3B67"/>
    <w:rsid w:val="00AD3BA8"/>
    <w:rsid w:val="00AD3C08"/>
    <w:rsid w:val="00AD3C0C"/>
    <w:rsid w:val="00AD3C37"/>
    <w:rsid w:val="00AD3D41"/>
    <w:rsid w:val="00AD3DD9"/>
    <w:rsid w:val="00AD3E90"/>
    <w:rsid w:val="00AD3EB9"/>
    <w:rsid w:val="00AD3F13"/>
    <w:rsid w:val="00AD3F1C"/>
    <w:rsid w:val="00AD4015"/>
    <w:rsid w:val="00AD401B"/>
    <w:rsid w:val="00AD402C"/>
    <w:rsid w:val="00AD4033"/>
    <w:rsid w:val="00AD4047"/>
    <w:rsid w:val="00AD406E"/>
    <w:rsid w:val="00AD4097"/>
    <w:rsid w:val="00AD40C8"/>
    <w:rsid w:val="00AD40D1"/>
    <w:rsid w:val="00AD4167"/>
    <w:rsid w:val="00AD4215"/>
    <w:rsid w:val="00AD428A"/>
    <w:rsid w:val="00AD4342"/>
    <w:rsid w:val="00AD4443"/>
    <w:rsid w:val="00AD444E"/>
    <w:rsid w:val="00AD44DE"/>
    <w:rsid w:val="00AD44E9"/>
    <w:rsid w:val="00AD4503"/>
    <w:rsid w:val="00AD4529"/>
    <w:rsid w:val="00AD4566"/>
    <w:rsid w:val="00AD45A4"/>
    <w:rsid w:val="00AD45BB"/>
    <w:rsid w:val="00AD46A7"/>
    <w:rsid w:val="00AD4814"/>
    <w:rsid w:val="00AD48FE"/>
    <w:rsid w:val="00AD495B"/>
    <w:rsid w:val="00AD49C9"/>
    <w:rsid w:val="00AD49CA"/>
    <w:rsid w:val="00AD4A57"/>
    <w:rsid w:val="00AD4A8F"/>
    <w:rsid w:val="00AD4B63"/>
    <w:rsid w:val="00AD4B82"/>
    <w:rsid w:val="00AD4BCD"/>
    <w:rsid w:val="00AD4CBA"/>
    <w:rsid w:val="00AD4CC2"/>
    <w:rsid w:val="00AD4E08"/>
    <w:rsid w:val="00AD5042"/>
    <w:rsid w:val="00AD505C"/>
    <w:rsid w:val="00AD50D5"/>
    <w:rsid w:val="00AD538A"/>
    <w:rsid w:val="00AD5411"/>
    <w:rsid w:val="00AD5629"/>
    <w:rsid w:val="00AD57F1"/>
    <w:rsid w:val="00AD581C"/>
    <w:rsid w:val="00AD5849"/>
    <w:rsid w:val="00AD58C4"/>
    <w:rsid w:val="00AD594E"/>
    <w:rsid w:val="00AD5974"/>
    <w:rsid w:val="00AD5996"/>
    <w:rsid w:val="00AD5A1D"/>
    <w:rsid w:val="00AD5A3B"/>
    <w:rsid w:val="00AD5C09"/>
    <w:rsid w:val="00AD5C1E"/>
    <w:rsid w:val="00AD5C37"/>
    <w:rsid w:val="00AD5C5A"/>
    <w:rsid w:val="00AD5CED"/>
    <w:rsid w:val="00AD5D05"/>
    <w:rsid w:val="00AD5DB8"/>
    <w:rsid w:val="00AD5DF4"/>
    <w:rsid w:val="00AD5E2D"/>
    <w:rsid w:val="00AD5EF9"/>
    <w:rsid w:val="00AD5F07"/>
    <w:rsid w:val="00AD5FA3"/>
    <w:rsid w:val="00AD6005"/>
    <w:rsid w:val="00AD60D6"/>
    <w:rsid w:val="00AD6196"/>
    <w:rsid w:val="00AD61D2"/>
    <w:rsid w:val="00AD6323"/>
    <w:rsid w:val="00AD63BE"/>
    <w:rsid w:val="00AD6411"/>
    <w:rsid w:val="00AD649B"/>
    <w:rsid w:val="00AD6555"/>
    <w:rsid w:val="00AD65AF"/>
    <w:rsid w:val="00AD665C"/>
    <w:rsid w:val="00AD66ED"/>
    <w:rsid w:val="00AD6726"/>
    <w:rsid w:val="00AD673E"/>
    <w:rsid w:val="00AD6755"/>
    <w:rsid w:val="00AD67A1"/>
    <w:rsid w:val="00AD67A4"/>
    <w:rsid w:val="00AD67FC"/>
    <w:rsid w:val="00AD680B"/>
    <w:rsid w:val="00AD6867"/>
    <w:rsid w:val="00AD68FD"/>
    <w:rsid w:val="00AD690C"/>
    <w:rsid w:val="00AD69A8"/>
    <w:rsid w:val="00AD69B2"/>
    <w:rsid w:val="00AD69DE"/>
    <w:rsid w:val="00AD6B22"/>
    <w:rsid w:val="00AD6B61"/>
    <w:rsid w:val="00AD6BEC"/>
    <w:rsid w:val="00AD6C83"/>
    <w:rsid w:val="00AD6C9A"/>
    <w:rsid w:val="00AD6D81"/>
    <w:rsid w:val="00AD6DAE"/>
    <w:rsid w:val="00AD6EDE"/>
    <w:rsid w:val="00AD6F1A"/>
    <w:rsid w:val="00AD6F36"/>
    <w:rsid w:val="00AD6F42"/>
    <w:rsid w:val="00AD6FF9"/>
    <w:rsid w:val="00AD7039"/>
    <w:rsid w:val="00AD7065"/>
    <w:rsid w:val="00AD709A"/>
    <w:rsid w:val="00AD7110"/>
    <w:rsid w:val="00AD7203"/>
    <w:rsid w:val="00AD7376"/>
    <w:rsid w:val="00AD7408"/>
    <w:rsid w:val="00AD74BA"/>
    <w:rsid w:val="00AD74D5"/>
    <w:rsid w:val="00AD74D8"/>
    <w:rsid w:val="00AD758D"/>
    <w:rsid w:val="00AD762F"/>
    <w:rsid w:val="00AD7665"/>
    <w:rsid w:val="00AD7716"/>
    <w:rsid w:val="00AD7814"/>
    <w:rsid w:val="00AD7875"/>
    <w:rsid w:val="00AD791C"/>
    <w:rsid w:val="00AD79DB"/>
    <w:rsid w:val="00AD7A48"/>
    <w:rsid w:val="00AD7A5C"/>
    <w:rsid w:val="00AD7A98"/>
    <w:rsid w:val="00AD7BAA"/>
    <w:rsid w:val="00AD7C07"/>
    <w:rsid w:val="00AD7CA6"/>
    <w:rsid w:val="00AD7DA5"/>
    <w:rsid w:val="00AD7E00"/>
    <w:rsid w:val="00AD7E35"/>
    <w:rsid w:val="00AD7ECE"/>
    <w:rsid w:val="00AD7F2C"/>
    <w:rsid w:val="00AD7F37"/>
    <w:rsid w:val="00AE01A5"/>
    <w:rsid w:val="00AE0475"/>
    <w:rsid w:val="00AE04B0"/>
    <w:rsid w:val="00AE051E"/>
    <w:rsid w:val="00AE0833"/>
    <w:rsid w:val="00AE0872"/>
    <w:rsid w:val="00AE0897"/>
    <w:rsid w:val="00AE08FE"/>
    <w:rsid w:val="00AE0A85"/>
    <w:rsid w:val="00AE0A8C"/>
    <w:rsid w:val="00AE0AA2"/>
    <w:rsid w:val="00AE0AD4"/>
    <w:rsid w:val="00AE0AE1"/>
    <w:rsid w:val="00AE0AF3"/>
    <w:rsid w:val="00AE0BE2"/>
    <w:rsid w:val="00AE0C79"/>
    <w:rsid w:val="00AE0C95"/>
    <w:rsid w:val="00AE0D0F"/>
    <w:rsid w:val="00AE0D25"/>
    <w:rsid w:val="00AE0E2C"/>
    <w:rsid w:val="00AE0E46"/>
    <w:rsid w:val="00AE0EB0"/>
    <w:rsid w:val="00AE1029"/>
    <w:rsid w:val="00AE1074"/>
    <w:rsid w:val="00AE10B5"/>
    <w:rsid w:val="00AE10C7"/>
    <w:rsid w:val="00AE10DA"/>
    <w:rsid w:val="00AE10FA"/>
    <w:rsid w:val="00AE129E"/>
    <w:rsid w:val="00AE12D6"/>
    <w:rsid w:val="00AE131F"/>
    <w:rsid w:val="00AE13DE"/>
    <w:rsid w:val="00AE143C"/>
    <w:rsid w:val="00AE1498"/>
    <w:rsid w:val="00AE1587"/>
    <w:rsid w:val="00AE1762"/>
    <w:rsid w:val="00AE18E3"/>
    <w:rsid w:val="00AE1913"/>
    <w:rsid w:val="00AE1931"/>
    <w:rsid w:val="00AE19BE"/>
    <w:rsid w:val="00AE1A31"/>
    <w:rsid w:val="00AE1A39"/>
    <w:rsid w:val="00AE1A40"/>
    <w:rsid w:val="00AE1A9F"/>
    <w:rsid w:val="00AE1B23"/>
    <w:rsid w:val="00AE1BBB"/>
    <w:rsid w:val="00AE1C64"/>
    <w:rsid w:val="00AE1C79"/>
    <w:rsid w:val="00AE1CCA"/>
    <w:rsid w:val="00AE1D17"/>
    <w:rsid w:val="00AE1D8B"/>
    <w:rsid w:val="00AE1E39"/>
    <w:rsid w:val="00AE1E96"/>
    <w:rsid w:val="00AE1EAA"/>
    <w:rsid w:val="00AE1F58"/>
    <w:rsid w:val="00AE20D7"/>
    <w:rsid w:val="00AE21A9"/>
    <w:rsid w:val="00AE2202"/>
    <w:rsid w:val="00AE2287"/>
    <w:rsid w:val="00AE22BF"/>
    <w:rsid w:val="00AE232B"/>
    <w:rsid w:val="00AE239F"/>
    <w:rsid w:val="00AE2447"/>
    <w:rsid w:val="00AE247D"/>
    <w:rsid w:val="00AE24C3"/>
    <w:rsid w:val="00AE24ED"/>
    <w:rsid w:val="00AE2504"/>
    <w:rsid w:val="00AE2656"/>
    <w:rsid w:val="00AE267D"/>
    <w:rsid w:val="00AE26F3"/>
    <w:rsid w:val="00AE2718"/>
    <w:rsid w:val="00AE2732"/>
    <w:rsid w:val="00AE274F"/>
    <w:rsid w:val="00AE28F6"/>
    <w:rsid w:val="00AE2921"/>
    <w:rsid w:val="00AE29A3"/>
    <w:rsid w:val="00AE29D5"/>
    <w:rsid w:val="00AE29EC"/>
    <w:rsid w:val="00AE2BED"/>
    <w:rsid w:val="00AE2C93"/>
    <w:rsid w:val="00AE2CAD"/>
    <w:rsid w:val="00AE2CD0"/>
    <w:rsid w:val="00AE2D02"/>
    <w:rsid w:val="00AE2DE5"/>
    <w:rsid w:val="00AE2E1C"/>
    <w:rsid w:val="00AE2E40"/>
    <w:rsid w:val="00AE2E4C"/>
    <w:rsid w:val="00AE2F05"/>
    <w:rsid w:val="00AE3016"/>
    <w:rsid w:val="00AE303B"/>
    <w:rsid w:val="00AE3096"/>
    <w:rsid w:val="00AE3099"/>
    <w:rsid w:val="00AE30A0"/>
    <w:rsid w:val="00AE3152"/>
    <w:rsid w:val="00AE3163"/>
    <w:rsid w:val="00AE31EA"/>
    <w:rsid w:val="00AE3220"/>
    <w:rsid w:val="00AE324C"/>
    <w:rsid w:val="00AE3363"/>
    <w:rsid w:val="00AE337F"/>
    <w:rsid w:val="00AE3467"/>
    <w:rsid w:val="00AE34BE"/>
    <w:rsid w:val="00AE3513"/>
    <w:rsid w:val="00AE3543"/>
    <w:rsid w:val="00AE3598"/>
    <w:rsid w:val="00AE35C2"/>
    <w:rsid w:val="00AE35DD"/>
    <w:rsid w:val="00AE3601"/>
    <w:rsid w:val="00AE360D"/>
    <w:rsid w:val="00AE3615"/>
    <w:rsid w:val="00AE36B0"/>
    <w:rsid w:val="00AE3740"/>
    <w:rsid w:val="00AE3751"/>
    <w:rsid w:val="00AE375F"/>
    <w:rsid w:val="00AE37C0"/>
    <w:rsid w:val="00AE37D3"/>
    <w:rsid w:val="00AE3848"/>
    <w:rsid w:val="00AE387D"/>
    <w:rsid w:val="00AE390E"/>
    <w:rsid w:val="00AE394B"/>
    <w:rsid w:val="00AE396B"/>
    <w:rsid w:val="00AE3A56"/>
    <w:rsid w:val="00AE3B13"/>
    <w:rsid w:val="00AE3B19"/>
    <w:rsid w:val="00AE3CD0"/>
    <w:rsid w:val="00AE3D01"/>
    <w:rsid w:val="00AE3D99"/>
    <w:rsid w:val="00AE3E1E"/>
    <w:rsid w:val="00AE3E71"/>
    <w:rsid w:val="00AE401D"/>
    <w:rsid w:val="00AE4049"/>
    <w:rsid w:val="00AE4085"/>
    <w:rsid w:val="00AE41CD"/>
    <w:rsid w:val="00AE4357"/>
    <w:rsid w:val="00AE4363"/>
    <w:rsid w:val="00AE436C"/>
    <w:rsid w:val="00AE44BB"/>
    <w:rsid w:val="00AE44D7"/>
    <w:rsid w:val="00AE4571"/>
    <w:rsid w:val="00AE45CA"/>
    <w:rsid w:val="00AE4629"/>
    <w:rsid w:val="00AE4637"/>
    <w:rsid w:val="00AE472C"/>
    <w:rsid w:val="00AE4749"/>
    <w:rsid w:val="00AE47C8"/>
    <w:rsid w:val="00AE47D2"/>
    <w:rsid w:val="00AE484F"/>
    <w:rsid w:val="00AE4898"/>
    <w:rsid w:val="00AE48A3"/>
    <w:rsid w:val="00AE49B5"/>
    <w:rsid w:val="00AE49D1"/>
    <w:rsid w:val="00AE4A58"/>
    <w:rsid w:val="00AE4A65"/>
    <w:rsid w:val="00AE4A93"/>
    <w:rsid w:val="00AE4AE4"/>
    <w:rsid w:val="00AE4C2F"/>
    <w:rsid w:val="00AE4CBA"/>
    <w:rsid w:val="00AE4D12"/>
    <w:rsid w:val="00AE4DBC"/>
    <w:rsid w:val="00AE4F1B"/>
    <w:rsid w:val="00AE4FA0"/>
    <w:rsid w:val="00AE4FA8"/>
    <w:rsid w:val="00AE4FDA"/>
    <w:rsid w:val="00AE4FFA"/>
    <w:rsid w:val="00AE50AC"/>
    <w:rsid w:val="00AE50DD"/>
    <w:rsid w:val="00AE50FF"/>
    <w:rsid w:val="00AE513C"/>
    <w:rsid w:val="00AE5180"/>
    <w:rsid w:val="00AE51B7"/>
    <w:rsid w:val="00AE5231"/>
    <w:rsid w:val="00AE52FB"/>
    <w:rsid w:val="00AE5310"/>
    <w:rsid w:val="00AE533A"/>
    <w:rsid w:val="00AE546F"/>
    <w:rsid w:val="00AE556D"/>
    <w:rsid w:val="00AE5582"/>
    <w:rsid w:val="00AE565C"/>
    <w:rsid w:val="00AE56F4"/>
    <w:rsid w:val="00AE56FC"/>
    <w:rsid w:val="00AE58C3"/>
    <w:rsid w:val="00AE59A2"/>
    <w:rsid w:val="00AE59AC"/>
    <w:rsid w:val="00AE5ADF"/>
    <w:rsid w:val="00AE5B1B"/>
    <w:rsid w:val="00AE5BF3"/>
    <w:rsid w:val="00AE5BFF"/>
    <w:rsid w:val="00AE5C36"/>
    <w:rsid w:val="00AE5C3E"/>
    <w:rsid w:val="00AE5CD4"/>
    <w:rsid w:val="00AE5CDE"/>
    <w:rsid w:val="00AE5D14"/>
    <w:rsid w:val="00AE5D48"/>
    <w:rsid w:val="00AE5D79"/>
    <w:rsid w:val="00AE5E63"/>
    <w:rsid w:val="00AE5E72"/>
    <w:rsid w:val="00AE5E91"/>
    <w:rsid w:val="00AE5ECF"/>
    <w:rsid w:val="00AE5F17"/>
    <w:rsid w:val="00AE5FE7"/>
    <w:rsid w:val="00AE60D9"/>
    <w:rsid w:val="00AE60F4"/>
    <w:rsid w:val="00AE611D"/>
    <w:rsid w:val="00AE6147"/>
    <w:rsid w:val="00AE6179"/>
    <w:rsid w:val="00AE624A"/>
    <w:rsid w:val="00AE6260"/>
    <w:rsid w:val="00AE6391"/>
    <w:rsid w:val="00AE640C"/>
    <w:rsid w:val="00AE646C"/>
    <w:rsid w:val="00AE647C"/>
    <w:rsid w:val="00AE64DC"/>
    <w:rsid w:val="00AE64EA"/>
    <w:rsid w:val="00AE65C8"/>
    <w:rsid w:val="00AE65F5"/>
    <w:rsid w:val="00AE6786"/>
    <w:rsid w:val="00AE6829"/>
    <w:rsid w:val="00AE687D"/>
    <w:rsid w:val="00AE68BD"/>
    <w:rsid w:val="00AE68CA"/>
    <w:rsid w:val="00AE68D6"/>
    <w:rsid w:val="00AE6A3B"/>
    <w:rsid w:val="00AE6A4D"/>
    <w:rsid w:val="00AE6B4E"/>
    <w:rsid w:val="00AE6B54"/>
    <w:rsid w:val="00AE6B5F"/>
    <w:rsid w:val="00AE6B97"/>
    <w:rsid w:val="00AE6DC8"/>
    <w:rsid w:val="00AE6DED"/>
    <w:rsid w:val="00AE6E19"/>
    <w:rsid w:val="00AE6E8A"/>
    <w:rsid w:val="00AE6F09"/>
    <w:rsid w:val="00AE6F9E"/>
    <w:rsid w:val="00AE6FA2"/>
    <w:rsid w:val="00AE70D7"/>
    <w:rsid w:val="00AE70FD"/>
    <w:rsid w:val="00AE713A"/>
    <w:rsid w:val="00AE7156"/>
    <w:rsid w:val="00AE715B"/>
    <w:rsid w:val="00AE7210"/>
    <w:rsid w:val="00AE7215"/>
    <w:rsid w:val="00AE725C"/>
    <w:rsid w:val="00AE72CD"/>
    <w:rsid w:val="00AE7375"/>
    <w:rsid w:val="00AE73F7"/>
    <w:rsid w:val="00AE75AE"/>
    <w:rsid w:val="00AE764B"/>
    <w:rsid w:val="00AE7680"/>
    <w:rsid w:val="00AE76C1"/>
    <w:rsid w:val="00AE77EB"/>
    <w:rsid w:val="00AE78C1"/>
    <w:rsid w:val="00AE7987"/>
    <w:rsid w:val="00AE7AAD"/>
    <w:rsid w:val="00AE7B11"/>
    <w:rsid w:val="00AE7CC7"/>
    <w:rsid w:val="00AE7CED"/>
    <w:rsid w:val="00AE7D0D"/>
    <w:rsid w:val="00AE7E37"/>
    <w:rsid w:val="00AE7E5C"/>
    <w:rsid w:val="00AE7EB8"/>
    <w:rsid w:val="00AE7ED7"/>
    <w:rsid w:val="00AE7F0A"/>
    <w:rsid w:val="00AE7F7E"/>
    <w:rsid w:val="00AE7FFE"/>
    <w:rsid w:val="00AF0044"/>
    <w:rsid w:val="00AF0147"/>
    <w:rsid w:val="00AF0170"/>
    <w:rsid w:val="00AF02BF"/>
    <w:rsid w:val="00AF02F2"/>
    <w:rsid w:val="00AF02FD"/>
    <w:rsid w:val="00AF0304"/>
    <w:rsid w:val="00AF0474"/>
    <w:rsid w:val="00AF04E1"/>
    <w:rsid w:val="00AF0595"/>
    <w:rsid w:val="00AF05A1"/>
    <w:rsid w:val="00AF05E2"/>
    <w:rsid w:val="00AF06C0"/>
    <w:rsid w:val="00AF06CA"/>
    <w:rsid w:val="00AF06E1"/>
    <w:rsid w:val="00AF0709"/>
    <w:rsid w:val="00AF0717"/>
    <w:rsid w:val="00AF078D"/>
    <w:rsid w:val="00AF07BF"/>
    <w:rsid w:val="00AF08AB"/>
    <w:rsid w:val="00AF0950"/>
    <w:rsid w:val="00AF0B03"/>
    <w:rsid w:val="00AF0B8A"/>
    <w:rsid w:val="00AF0B91"/>
    <w:rsid w:val="00AF0C0E"/>
    <w:rsid w:val="00AF0CAB"/>
    <w:rsid w:val="00AF0D55"/>
    <w:rsid w:val="00AF0D92"/>
    <w:rsid w:val="00AF0DEA"/>
    <w:rsid w:val="00AF0E2F"/>
    <w:rsid w:val="00AF0E95"/>
    <w:rsid w:val="00AF0ECF"/>
    <w:rsid w:val="00AF0F38"/>
    <w:rsid w:val="00AF0F40"/>
    <w:rsid w:val="00AF0F5C"/>
    <w:rsid w:val="00AF0F73"/>
    <w:rsid w:val="00AF0F90"/>
    <w:rsid w:val="00AF0F92"/>
    <w:rsid w:val="00AF0FEA"/>
    <w:rsid w:val="00AF1038"/>
    <w:rsid w:val="00AF1064"/>
    <w:rsid w:val="00AF108E"/>
    <w:rsid w:val="00AF10B8"/>
    <w:rsid w:val="00AF125A"/>
    <w:rsid w:val="00AF12DC"/>
    <w:rsid w:val="00AF13C9"/>
    <w:rsid w:val="00AF13F5"/>
    <w:rsid w:val="00AF1463"/>
    <w:rsid w:val="00AF152A"/>
    <w:rsid w:val="00AF1560"/>
    <w:rsid w:val="00AF16F2"/>
    <w:rsid w:val="00AF17C3"/>
    <w:rsid w:val="00AF183B"/>
    <w:rsid w:val="00AF18B4"/>
    <w:rsid w:val="00AF18C1"/>
    <w:rsid w:val="00AF1A6A"/>
    <w:rsid w:val="00AF1A79"/>
    <w:rsid w:val="00AF1A84"/>
    <w:rsid w:val="00AF1AD8"/>
    <w:rsid w:val="00AF1BD3"/>
    <w:rsid w:val="00AF1C27"/>
    <w:rsid w:val="00AF1C70"/>
    <w:rsid w:val="00AF1CDC"/>
    <w:rsid w:val="00AF1CF8"/>
    <w:rsid w:val="00AF1D6F"/>
    <w:rsid w:val="00AF1D8C"/>
    <w:rsid w:val="00AF1DEE"/>
    <w:rsid w:val="00AF1E7F"/>
    <w:rsid w:val="00AF1E88"/>
    <w:rsid w:val="00AF1EF7"/>
    <w:rsid w:val="00AF1FC5"/>
    <w:rsid w:val="00AF207E"/>
    <w:rsid w:val="00AF20A4"/>
    <w:rsid w:val="00AF211A"/>
    <w:rsid w:val="00AF2146"/>
    <w:rsid w:val="00AF2154"/>
    <w:rsid w:val="00AF2176"/>
    <w:rsid w:val="00AF219F"/>
    <w:rsid w:val="00AF237B"/>
    <w:rsid w:val="00AF23AE"/>
    <w:rsid w:val="00AF2425"/>
    <w:rsid w:val="00AF244A"/>
    <w:rsid w:val="00AF2597"/>
    <w:rsid w:val="00AF259A"/>
    <w:rsid w:val="00AF263C"/>
    <w:rsid w:val="00AF2687"/>
    <w:rsid w:val="00AF2716"/>
    <w:rsid w:val="00AF2763"/>
    <w:rsid w:val="00AF282D"/>
    <w:rsid w:val="00AF284B"/>
    <w:rsid w:val="00AF284C"/>
    <w:rsid w:val="00AF2858"/>
    <w:rsid w:val="00AF28AE"/>
    <w:rsid w:val="00AF2A12"/>
    <w:rsid w:val="00AF2A81"/>
    <w:rsid w:val="00AF2B0E"/>
    <w:rsid w:val="00AF2B69"/>
    <w:rsid w:val="00AF2BFA"/>
    <w:rsid w:val="00AF2C7A"/>
    <w:rsid w:val="00AF2D7E"/>
    <w:rsid w:val="00AF2D82"/>
    <w:rsid w:val="00AF2DB4"/>
    <w:rsid w:val="00AF2DE0"/>
    <w:rsid w:val="00AF2DF1"/>
    <w:rsid w:val="00AF2E3C"/>
    <w:rsid w:val="00AF2E8C"/>
    <w:rsid w:val="00AF3009"/>
    <w:rsid w:val="00AF30D2"/>
    <w:rsid w:val="00AF31EE"/>
    <w:rsid w:val="00AF325E"/>
    <w:rsid w:val="00AF32C6"/>
    <w:rsid w:val="00AF32DA"/>
    <w:rsid w:val="00AF333A"/>
    <w:rsid w:val="00AF334F"/>
    <w:rsid w:val="00AF33A0"/>
    <w:rsid w:val="00AF33B5"/>
    <w:rsid w:val="00AF33DD"/>
    <w:rsid w:val="00AF3413"/>
    <w:rsid w:val="00AF343C"/>
    <w:rsid w:val="00AF3471"/>
    <w:rsid w:val="00AF34DB"/>
    <w:rsid w:val="00AF350E"/>
    <w:rsid w:val="00AF3535"/>
    <w:rsid w:val="00AF35B6"/>
    <w:rsid w:val="00AF3665"/>
    <w:rsid w:val="00AF3710"/>
    <w:rsid w:val="00AF3711"/>
    <w:rsid w:val="00AF37CA"/>
    <w:rsid w:val="00AF37EA"/>
    <w:rsid w:val="00AF3881"/>
    <w:rsid w:val="00AF393F"/>
    <w:rsid w:val="00AF3A47"/>
    <w:rsid w:val="00AF3B57"/>
    <w:rsid w:val="00AF3BA2"/>
    <w:rsid w:val="00AF3BEF"/>
    <w:rsid w:val="00AF3BF1"/>
    <w:rsid w:val="00AF3C4E"/>
    <w:rsid w:val="00AF3C91"/>
    <w:rsid w:val="00AF3CBD"/>
    <w:rsid w:val="00AF3DF0"/>
    <w:rsid w:val="00AF3E5D"/>
    <w:rsid w:val="00AF3F09"/>
    <w:rsid w:val="00AF3F7F"/>
    <w:rsid w:val="00AF4018"/>
    <w:rsid w:val="00AF405B"/>
    <w:rsid w:val="00AF40EE"/>
    <w:rsid w:val="00AF40FF"/>
    <w:rsid w:val="00AF4119"/>
    <w:rsid w:val="00AF4167"/>
    <w:rsid w:val="00AF41EF"/>
    <w:rsid w:val="00AF4254"/>
    <w:rsid w:val="00AF4278"/>
    <w:rsid w:val="00AF4390"/>
    <w:rsid w:val="00AF439F"/>
    <w:rsid w:val="00AF43A6"/>
    <w:rsid w:val="00AF43EF"/>
    <w:rsid w:val="00AF441F"/>
    <w:rsid w:val="00AF446C"/>
    <w:rsid w:val="00AF454E"/>
    <w:rsid w:val="00AF4566"/>
    <w:rsid w:val="00AF46D2"/>
    <w:rsid w:val="00AF4714"/>
    <w:rsid w:val="00AF4721"/>
    <w:rsid w:val="00AF476B"/>
    <w:rsid w:val="00AF477B"/>
    <w:rsid w:val="00AF47CA"/>
    <w:rsid w:val="00AF495E"/>
    <w:rsid w:val="00AF4A56"/>
    <w:rsid w:val="00AF4A67"/>
    <w:rsid w:val="00AF4AE7"/>
    <w:rsid w:val="00AF4BFF"/>
    <w:rsid w:val="00AF4C99"/>
    <w:rsid w:val="00AF4C9F"/>
    <w:rsid w:val="00AF4CD8"/>
    <w:rsid w:val="00AF4CE4"/>
    <w:rsid w:val="00AF4D43"/>
    <w:rsid w:val="00AF4DA8"/>
    <w:rsid w:val="00AF4FD0"/>
    <w:rsid w:val="00AF5088"/>
    <w:rsid w:val="00AF5102"/>
    <w:rsid w:val="00AF516A"/>
    <w:rsid w:val="00AF51A8"/>
    <w:rsid w:val="00AF528B"/>
    <w:rsid w:val="00AF52E0"/>
    <w:rsid w:val="00AF52F3"/>
    <w:rsid w:val="00AF5300"/>
    <w:rsid w:val="00AF5387"/>
    <w:rsid w:val="00AF53C4"/>
    <w:rsid w:val="00AF551F"/>
    <w:rsid w:val="00AF5537"/>
    <w:rsid w:val="00AF5556"/>
    <w:rsid w:val="00AF55DB"/>
    <w:rsid w:val="00AF55F9"/>
    <w:rsid w:val="00AF562D"/>
    <w:rsid w:val="00AF5740"/>
    <w:rsid w:val="00AF5781"/>
    <w:rsid w:val="00AF583F"/>
    <w:rsid w:val="00AF5991"/>
    <w:rsid w:val="00AF5B05"/>
    <w:rsid w:val="00AF5B1A"/>
    <w:rsid w:val="00AF5B43"/>
    <w:rsid w:val="00AF5B9A"/>
    <w:rsid w:val="00AF5BC1"/>
    <w:rsid w:val="00AF5CA2"/>
    <w:rsid w:val="00AF5CE1"/>
    <w:rsid w:val="00AF5D6F"/>
    <w:rsid w:val="00AF5E09"/>
    <w:rsid w:val="00AF5F10"/>
    <w:rsid w:val="00AF5F1D"/>
    <w:rsid w:val="00AF5F1E"/>
    <w:rsid w:val="00AF5F2A"/>
    <w:rsid w:val="00AF5FAF"/>
    <w:rsid w:val="00AF6001"/>
    <w:rsid w:val="00AF6201"/>
    <w:rsid w:val="00AF623A"/>
    <w:rsid w:val="00AF62CC"/>
    <w:rsid w:val="00AF6323"/>
    <w:rsid w:val="00AF6346"/>
    <w:rsid w:val="00AF6381"/>
    <w:rsid w:val="00AF641B"/>
    <w:rsid w:val="00AF64A5"/>
    <w:rsid w:val="00AF6540"/>
    <w:rsid w:val="00AF6542"/>
    <w:rsid w:val="00AF65A0"/>
    <w:rsid w:val="00AF660A"/>
    <w:rsid w:val="00AF66C4"/>
    <w:rsid w:val="00AF674A"/>
    <w:rsid w:val="00AF679D"/>
    <w:rsid w:val="00AF68C9"/>
    <w:rsid w:val="00AF6998"/>
    <w:rsid w:val="00AF69A2"/>
    <w:rsid w:val="00AF69E9"/>
    <w:rsid w:val="00AF6A1D"/>
    <w:rsid w:val="00AF6A83"/>
    <w:rsid w:val="00AF6A85"/>
    <w:rsid w:val="00AF6B38"/>
    <w:rsid w:val="00AF6B53"/>
    <w:rsid w:val="00AF6C0A"/>
    <w:rsid w:val="00AF6C32"/>
    <w:rsid w:val="00AF6C3B"/>
    <w:rsid w:val="00AF6C4A"/>
    <w:rsid w:val="00AF6C9D"/>
    <w:rsid w:val="00AF6CB8"/>
    <w:rsid w:val="00AF6CCE"/>
    <w:rsid w:val="00AF6D8F"/>
    <w:rsid w:val="00AF6DF1"/>
    <w:rsid w:val="00AF6E00"/>
    <w:rsid w:val="00AF6E12"/>
    <w:rsid w:val="00AF6E6C"/>
    <w:rsid w:val="00AF6F6C"/>
    <w:rsid w:val="00AF6F87"/>
    <w:rsid w:val="00AF6FAA"/>
    <w:rsid w:val="00AF6FAD"/>
    <w:rsid w:val="00AF6FDE"/>
    <w:rsid w:val="00AF702A"/>
    <w:rsid w:val="00AF702D"/>
    <w:rsid w:val="00AF7063"/>
    <w:rsid w:val="00AF7291"/>
    <w:rsid w:val="00AF72AB"/>
    <w:rsid w:val="00AF7339"/>
    <w:rsid w:val="00AF737E"/>
    <w:rsid w:val="00AF73EA"/>
    <w:rsid w:val="00AF73ED"/>
    <w:rsid w:val="00AF73F3"/>
    <w:rsid w:val="00AF7401"/>
    <w:rsid w:val="00AF74C6"/>
    <w:rsid w:val="00AF74F2"/>
    <w:rsid w:val="00AF7580"/>
    <w:rsid w:val="00AF75A1"/>
    <w:rsid w:val="00AF75E9"/>
    <w:rsid w:val="00AF75F5"/>
    <w:rsid w:val="00AF7718"/>
    <w:rsid w:val="00AF775D"/>
    <w:rsid w:val="00AF785F"/>
    <w:rsid w:val="00AF78A7"/>
    <w:rsid w:val="00AF7906"/>
    <w:rsid w:val="00AF7908"/>
    <w:rsid w:val="00AF794F"/>
    <w:rsid w:val="00AF7A28"/>
    <w:rsid w:val="00AF7A36"/>
    <w:rsid w:val="00AF7AAF"/>
    <w:rsid w:val="00AF7AB2"/>
    <w:rsid w:val="00AF7B21"/>
    <w:rsid w:val="00AF7B9D"/>
    <w:rsid w:val="00AF7C59"/>
    <w:rsid w:val="00AF7CA4"/>
    <w:rsid w:val="00AF7D1A"/>
    <w:rsid w:val="00AF7D5C"/>
    <w:rsid w:val="00AF7E6B"/>
    <w:rsid w:val="00AF7EC8"/>
    <w:rsid w:val="00AF7F27"/>
    <w:rsid w:val="00AF7F58"/>
    <w:rsid w:val="00AF7FED"/>
    <w:rsid w:val="00B0000F"/>
    <w:rsid w:val="00B0005F"/>
    <w:rsid w:val="00B00149"/>
    <w:rsid w:val="00B001CC"/>
    <w:rsid w:val="00B0021A"/>
    <w:rsid w:val="00B002EE"/>
    <w:rsid w:val="00B00389"/>
    <w:rsid w:val="00B00502"/>
    <w:rsid w:val="00B00633"/>
    <w:rsid w:val="00B00689"/>
    <w:rsid w:val="00B0071C"/>
    <w:rsid w:val="00B00722"/>
    <w:rsid w:val="00B007F7"/>
    <w:rsid w:val="00B00862"/>
    <w:rsid w:val="00B008D3"/>
    <w:rsid w:val="00B008DB"/>
    <w:rsid w:val="00B00964"/>
    <w:rsid w:val="00B009AE"/>
    <w:rsid w:val="00B009E5"/>
    <w:rsid w:val="00B00A04"/>
    <w:rsid w:val="00B00A56"/>
    <w:rsid w:val="00B00B2C"/>
    <w:rsid w:val="00B00BEA"/>
    <w:rsid w:val="00B00C63"/>
    <w:rsid w:val="00B00C76"/>
    <w:rsid w:val="00B00D69"/>
    <w:rsid w:val="00B00D78"/>
    <w:rsid w:val="00B00D87"/>
    <w:rsid w:val="00B00DAC"/>
    <w:rsid w:val="00B00E17"/>
    <w:rsid w:val="00B00E5D"/>
    <w:rsid w:val="00B00F1F"/>
    <w:rsid w:val="00B00F60"/>
    <w:rsid w:val="00B00FBB"/>
    <w:rsid w:val="00B0100C"/>
    <w:rsid w:val="00B01029"/>
    <w:rsid w:val="00B011F7"/>
    <w:rsid w:val="00B011F8"/>
    <w:rsid w:val="00B01252"/>
    <w:rsid w:val="00B012C5"/>
    <w:rsid w:val="00B012C7"/>
    <w:rsid w:val="00B0139D"/>
    <w:rsid w:val="00B014E5"/>
    <w:rsid w:val="00B014E8"/>
    <w:rsid w:val="00B01535"/>
    <w:rsid w:val="00B01546"/>
    <w:rsid w:val="00B01576"/>
    <w:rsid w:val="00B01690"/>
    <w:rsid w:val="00B016B4"/>
    <w:rsid w:val="00B017E4"/>
    <w:rsid w:val="00B01808"/>
    <w:rsid w:val="00B01861"/>
    <w:rsid w:val="00B01873"/>
    <w:rsid w:val="00B018A0"/>
    <w:rsid w:val="00B018E7"/>
    <w:rsid w:val="00B019AD"/>
    <w:rsid w:val="00B019E5"/>
    <w:rsid w:val="00B019F2"/>
    <w:rsid w:val="00B019F5"/>
    <w:rsid w:val="00B01A20"/>
    <w:rsid w:val="00B01A40"/>
    <w:rsid w:val="00B01B1A"/>
    <w:rsid w:val="00B01B84"/>
    <w:rsid w:val="00B01B85"/>
    <w:rsid w:val="00B01B87"/>
    <w:rsid w:val="00B01BAB"/>
    <w:rsid w:val="00B01BFC"/>
    <w:rsid w:val="00B01C2B"/>
    <w:rsid w:val="00B01C38"/>
    <w:rsid w:val="00B01C8B"/>
    <w:rsid w:val="00B01CAC"/>
    <w:rsid w:val="00B01CD9"/>
    <w:rsid w:val="00B01D6E"/>
    <w:rsid w:val="00B01E8D"/>
    <w:rsid w:val="00B01EA6"/>
    <w:rsid w:val="00B01EA9"/>
    <w:rsid w:val="00B01EFA"/>
    <w:rsid w:val="00B01F5E"/>
    <w:rsid w:val="00B01F77"/>
    <w:rsid w:val="00B02093"/>
    <w:rsid w:val="00B020E7"/>
    <w:rsid w:val="00B02198"/>
    <w:rsid w:val="00B021A5"/>
    <w:rsid w:val="00B02208"/>
    <w:rsid w:val="00B0220A"/>
    <w:rsid w:val="00B0228B"/>
    <w:rsid w:val="00B02297"/>
    <w:rsid w:val="00B022C9"/>
    <w:rsid w:val="00B022E6"/>
    <w:rsid w:val="00B0244A"/>
    <w:rsid w:val="00B0257F"/>
    <w:rsid w:val="00B025FE"/>
    <w:rsid w:val="00B02605"/>
    <w:rsid w:val="00B0276D"/>
    <w:rsid w:val="00B02773"/>
    <w:rsid w:val="00B027B4"/>
    <w:rsid w:val="00B027F5"/>
    <w:rsid w:val="00B02835"/>
    <w:rsid w:val="00B02923"/>
    <w:rsid w:val="00B0298E"/>
    <w:rsid w:val="00B029A6"/>
    <w:rsid w:val="00B02A13"/>
    <w:rsid w:val="00B02A22"/>
    <w:rsid w:val="00B02A3E"/>
    <w:rsid w:val="00B02A7C"/>
    <w:rsid w:val="00B02A82"/>
    <w:rsid w:val="00B02AA9"/>
    <w:rsid w:val="00B02B50"/>
    <w:rsid w:val="00B02BBC"/>
    <w:rsid w:val="00B02BCD"/>
    <w:rsid w:val="00B02DFF"/>
    <w:rsid w:val="00B02E5A"/>
    <w:rsid w:val="00B02F10"/>
    <w:rsid w:val="00B02F1D"/>
    <w:rsid w:val="00B02F4D"/>
    <w:rsid w:val="00B02F5C"/>
    <w:rsid w:val="00B02F9B"/>
    <w:rsid w:val="00B02FAE"/>
    <w:rsid w:val="00B03085"/>
    <w:rsid w:val="00B030A0"/>
    <w:rsid w:val="00B0320B"/>
    <w:rsid w:val="00B03262"/>
    <w:rsid w:val="00B03268"/>
    <w:rsid w:val="00B0335A"/>
    <w:rsid w:val="00B0336A"/>
    <w:rsid w:val="00B033A9"/>
    <w:rsid w:val="00B033B6"/>
    <w:rsid w:val="00B033E2"/>
    <w:rsid w:val="00B03407"/>
    <w:rsid w:val="00B03471"/>
    <w:rsid w:val="00B035A7"/>
    <w:rsid w:val="00B035B1"/>
    <w:rsid w:val="00B03651"/>
    <w:rsid w:val="00B037BC"/>
    <w:rsid w:val="00B037E1"/>
    <w:rsid w:val="00B037EC"/>
    <w:rsid w:val="00B03816"/>
    <w:rsid w:val="00B0385A"/>
    <w:rsid w:val="00B039BB"/>
    <w:rsid w:val="00B039DC"/>
    <w:rsid w:val="00B03A80"/>
    <w:rsid w:val="00B03AA6"/>
    <w:rsid w:val="00B03AAA"/>
    <w:rsid w:val="00B03AAC"/>
    <w:rsid w:val="00B03AAE"/>
    <w:rsid w:val="00B03AFF"/>
    <w:rsid w:val="00B03B4A"/>
    <w:rsid w:val="00B03C12"/>
    <w:rsid w:val="00B03C23"/>
    <w:rsid w:val="00B03D53"/>
    <w:rsid w:val="00B03D86"/>
    <w:rsid w:val="00B03D93"/>
    <w:rsid w:val="00B03E3C"/>
    <w:rsid w:val="00B03EBE"/>
    <w:rsid w:val="00B03F08"/>
    <w:rsid w:val="00B03F86"/>
    <w:rsid w:val="00B041E7"/>
    <w:rsid w:val="00B04268"/>
    <w:rsid w:val="00B0434E"/>
    <w:rsid w:val="00B0437A"/>
    <w:rsid w:val="00B043CA"/>
    <w:rsid w:val="00B04606"/>
    <w:rsid w:val="00B047BD"/>
    <w:rsid w:val="00B047FA"/>
    <w:rsid w:val="00B04878"/>
    <w:rsid w:val="00B048F0"/>
    <w:rsid w:val="00B04907"/>
    <w:rsid w:val="00B04A05"/>
    <w:rsid w:val="00B04ACB"/>
    <w:rsid w:val="00B04C25"/>
    <w:rsid w:val="00B04D26"/>
    <w:rsid w:val="00B04DA6"/>
    <w:rsid w:val="00B04E1E"/>
    <w:rsid w:val="00B04E6C"/>
    <w:rsid w:val="00B04EE8"/>
    <w:rsid w:val="00B04FEA"/>
    <w:rsid w:val="00B05039"/>
    <w:rsid w:val="00B05140"/>
    <w:rsid w:val="00B05172"/>
    <w:rsid w:val="00B051E8"/>
    <w:rsid w:val="00B05212"/>
    <w:rsid w:val="00B05285"/>
    <w:rsid w:val="00B0528A"/>
    <w:rsid w:val="00B05295"/>
    <w:rsid w:val="00B0537B"/>
    <w:rsid w:val="00B05412"/>
    <w:rsid w:val="00B0542C"/>
    <w:rsid w:val="00B0544B"/>
    <w:rsid w:val="00B0547C"/>
    <w:rsid w:val="00B05481"/>
    <w:rsid w:val="00B0548B"/>
    <w:rsid w:val="00B054AB"/>
    <w:rsid w:val="00B054DE"/>
    <w:rsid w:val="00B054E7"/>
    <w:rsid w:val="00B05594"/>
    <w:rsid w:val="00B055CF"/>
    <w:rsid w:val="00B05638"/>
    <w:rsid w:val="00B05648"/>
    <w:rsid w:val="00B05724"/>
    <w:rsid w:val="00B05833"/>
    <w:rsid w:val="00B058E9"/>
    <w:rsid w:val="00B058EB"/>
    <w:rsid w:val="00B058FB"/>
    <w:rsid w:val="00B05902"/>
    <w:rsid w:val="00B05998"/>
    <w:rsid w:val="00B059F3"/>
    <w:rsid w:val="00B05B2E"/>
    <w:rsid w:val="00B05B5F"/>
    <w:rsid w:val="00B05BFB"/>
    <w:rsid w:val="00B05CB6"/>
    <w:rsid w:val="00B05D73"/>
    <w:rsid w:val="00B05D89"/>
    <w:rsid w:val="00B05DF5"/>
    <w:rsid w:val="00B05E6A"/>
    <w:rsid w:val="00B05F82"/>
    <w:rsid w:val="00B06011"/>
    <w:rsid w:val="00B06019"/>
    <w:rsid w:val="00B06087"/>
    <w:rsid w:val="00B06130"/>
    <w:rsid w:val="00B06131"/>
    <w:rsid w:val="00B06191"/>
    <w:rsid w:val="00B061E8"/>
    <w:rsid w:val="00B062CD"/>
    <w:rsid w:val="00B06325"/>
    <w:rsid w:val="00B06331"/>
    <w:rsid w:val="00B06340"/>
    <w:rsid w:val="00B06442"/>
    <w:rsid w:val="00B06516"/>
    <w:rsid w:val="00B065E0"/>
    <w:rsid w:val="00B06631"/>
    <w:rsid w:val="00B06638"/>
    <w:rsid w:val="00B06673"/>
    <w:rsid w:val="00B066C7"/>
    <w:rsid w:val="00B0679E"/>
    <w:rsid w:val="00B067A8"/>
    <w:rsid w:val="00B067B9"/>
    <w:rsid w:val="00B067D8"/>
    <w:rsid w:val="00B0684C"/>
    <w:rsid w:val="00B068BA"/>
    <w:rsid w:val="00B06920"/>
    <w:rsid w:val="00B06931"/>
    <w:rsid w:val="00B0696B"/>
    <w:rsid w:val="00B06BC7"/>
    <w:rsid w:val="00B06BDA"/>
    <w:rsid w:val="00B06CE7"/>
    <w:rsid w:val="00B06CFE"/>
    <w:rsid w:val="00B06E2E"/>
    <w:rsid w:val="00B06E52"/>
    <w:rsid w:val="00B06EE0"/>
    <w:rsid w:val="00B06FB4"/>
    <w:rsid w:val="00B06FC0"/>
    <w:rsid w:val="00B070D8"/>
    <w:rsid w:val="00B070DA"/>
    <w:rsid w:val="00B07120"/>
    <w:rsid w:val="00B071B1"/>
    <w:rsid w:val="00B072C4"/>
    <w:rsid w:val="00B0737E"/>
    <w:rsid w:val="00B07444"/>
    <w:rsid w:val="00B07448"/>
    <w:rsid w:val="00B074B4"/>
    <w:rsid w:val="00B074F4"/>
    <w:rsid w:val="00B0750F"/>
    <w:rsid w:val="00B07518"/>
    <w:rsid w:val="00B0761C"/>
    <w:rsid w:val="00B07632"/>
    <w:rsid w:val="00B0773B"/>
    <w:rsid w:val="00B07756"/>
    <w:rsid w:val="00B077B9"/>
    <w:rsid w:val="00B0787A"/>
    <w:rsid w:val="00B078CE"/>
    <w:rsid w:val="00B07AED"/>
    <w:rsid w:val="00B07B66"/>
    <w:rsid w:val="00B07B8C"/>
    <w:rsid w:val="00B07CDC"/>
    <w:rsid w:val="00B07D97"/>
    <w:rsid w:val="00B07DEB"/>
    <w:rsid w:val="00B07E74"/>
    <w:rsid w:val="00B100AA"/>
    <w:rsid w:val="00B10433"/>
    <w:rsid w:val="00B104F9"/>
    <w:rsid w:val="00B10583"/>
    <w:rsid w:val="00B105B0"/>
    <w:rsid w:val="00B10649"/>
    <w:rsid w:val="00B106FA"/>
    <w:rsid w:val="00B10827"/>
    <w:rsid w:val="00B10886"/>
    <w:rsid w:val="00B10915"/>
    <w:rsid w:val="00B10934"/>
    <w:rsid w:val="00B1093A"/>
    <w:rsid w:val="00B10A54"/>
    <w:rsid w:val="00B10A7B"/>
    <w:rsid w:val="00B10ADA"/>
    <w:rsid w:val="00B10B56"/>
    <w:rsid w:val="00B10B75"/>
    <w:rsid w:val="00B10B85"/>
    <w:rsid w:val="00B10CD9"/>
    <w:rsid w:val="00B10D4F"/>
    <w:rsid w:val="00B10DB4"/>
    <w:rsid w:val="00B10DCD"/>
    <w:rsid w:val="00B10E90"/>
    <w:rsid w:val="00B10ECF"/>
    <w:rsid w:val="00B10F35"/>
    <w:rsid w:val="00B10F52"/>
    <w:rsid w:val="00B10F5E"/>
    <w:rsid w:val="00B10F66"/>
    <w:rsid w:val="00B10FF8"/>
    <w:rsid w:val="00B11048"/>
    <w:rsid w:val="00B110E6"/>
    <w:rsid w:val="00B11213"/>
    <w:rsid w:val="00B1121E"/>
    <w:rsid w:val="00B112B3"/>
    <w:rsid w:val="00B11358"/>
    <w:rsid w:val="00B1135E"/>
    <w:rsid w:val="00B113E2"/>
    <w:rsid w:val="00B11471"/>
    <w:rsid w:val="00B114A0"/>
    <w:rsid w:val="00B114D8"/>
    <w:rsid w:val="00B115C3"/>
    <w:rsid w:val="00B115DE"/>
    <w:rsid w:val="00B115E2"/>
    <w:rsid w:val="00B11612"/>
    <w:rsid w:val="00B1169D"/>
    <w:rsid w:val="00B1171E"/>
    <w:rsid w:val="00B11762"/>
    <w:rsid w:val="00B11830"/>
    <w:rsid w:val="00B1187E"/>
    <w:rsid w:val="00B1189F"/>
    <w:rsid w:val="00B11941"/>
    <w:rsid w:val="00B119C2"/>
    <w:rsid w:val="00B11A81"/>
    <w:rsid w:val="00B11A8F"/>
    <w:rsid w:val="00B11B17"/>
    <w:rsid w:val="00B11B4A"/>
    <w:rsid w:val="00B11C23"/>
    <w:rsid w:val="00B11C5E"/>
    <w:rsid w:val="00B11C85"/>
    <w:rsid w:val="00B11DE2"/>
    <w:rsid w:val="00B11E27"/>
    <w:rsid w:val="00B11E91"/>
    <w:rsid w:val="00B11E9E"/>
    <w:rsid w:val="00B11F15"/>
    <w:rsid w:val="00B11F1E"/>
    <w:rsid w:val="00B11F23"/>
    <w:rsid w:val="00B11F36"/>
    <w:rsid w:val="00B11F38"/>
    <w:rsid w:val="00B11F57"/>
    <w:rsid w:val="00B11F90"/>
    <w:rsid w:val="00B120AA"/>
    <w:rsid w:val="00B120B5"/>
    <w:rsid w:val="00B120B9"/>
    <w:rsid w:val="00B12155"/>
    <w:rsid w:val="00B1215B"/>
    <w:rsid w:val="00B122E0"/>
    <w:rsid w:val="00B1257E"/>
    <w:rsid w:val="00B125A6"/>
    <w:rsid w:val="00B1260D"/>
    <w:rsid w:val="00B12632"/>
    <w:rsid w:val="00B12633"/>
    <w:rsid w:val="00B1265A"/>
    <w:rsid w:val="00B12665"/>
    <w:rsid w:val="00B1268C"/>
    <w:rsid w:val="00B127B1"/>
    <w:rsid w:val="00B127FD"/>
    <w:rsid w:val="00B1280F"/>
    <w:rsid w:val="00B1287F"/>
    <w:rsid w:val="00B12A20"/>
    <w:rsid w:val="00B12A29"/>
    <w:rsid w:val="00B12A50"/>
    <w:rsid w:val="00B12AD9"/>
    <w:rsid w:val="00B12B0F"/>
    <w:rsid w:val="00B12B2A"/>
    <w:rsid w:val="00B12B8E"/>
    <w:rsid w:val="00B12C04"/>
    <w:rsid w:val="00B12C2A"/>
    <w:rsid w:val="00B12CFE"/>
    <w:rsid w:val="00B12D58"/>
    <w:rsid w:val="00B12DED"/>
    <w:rsid w:val="00B12E3B"/>
    <w:rsid w:val="00B12F56"/>
    <w:rsid w:val="00B130EE"/>
    <w:rsid w:val="00B1314E"/>
    <w:rsid w:val="00B13217"/>
    <w:rsid w:val="00B1327E"/>
    <w:rsid w:val="00B132C7"/>
    <w:rsid w:val="00B132EC"/>
    <w:rsid w:val="00B1339D"/>
    <w:rsid w:val="00B133AD"/>
    <w:rsid w:val="00B13436"/>
    <w:rsid w:val="00B13459"/>
    <w:rsid w:val="00B135CC"/>
    <w:rsid w:val="00B135FA"/>
    <w:rsid w:val="00B1361B"/>
    <w:rsid w:val="00B1365A"/>
    <w:rsid w:val="00B1391A"/>
    <w:rsid w:val="00B139C9"/>
    <w:rsid w:val="00B13A74"/>
    <w:rsid w:val="00B13A76"/>
    <w:rsid w:val="00B13B26"/>
    <w:rsid w:val="00B13BC4"/>
    <w:rsid w:val="00B13BD6"/>
    <w:rsid w:val="00B13C26"/>
    <w:rsid w:val="00B13CDF"/>
    <w:rsid w:val="00B13D4E"/>
    <w:rsid w:val="00B13DA3"/>
    <w:rsid w:val="00B13DCB"/>
    <w:rsid w:val="00B13E9B"/>
    <w:rsid w:val="00B13ECC"/>
    <w:rsid w:val="00B13F8B"/>
    <w:rsid w:val="00B13FB2"/>
    <w:rsid w:val="00B13FF8"/>
    <w:rsid w:val="00B13FFE"/>
    <w:rsid w:val="00B14019"/>
    <w:rsid w:val="00B14024"/>
    <w:rsid w:val="00B1403A"/>
    <w:rsid w:val="00B14040"/>
    <w:rsid w:val="00B1412C"/>
    <w:rsid w:val="00B141E1"/>
    <w:rsid w:val="00B143D5"/>
    <w:rsid w:val="00B143F0"/>
    <w:rsid w:val="00B14494"/>
    <w:rsid w:val="00B144D1"/>
    <w:rsid w:val="00B144DA"/>
    <w:rsid w:val="00B144F1"/>
    <w:rsid w:val="00B1458F"/>
    <w:rsid w:val="00B145D6"/>
    <w:rsid w:val="00B146B5"/>
    <w:rsid w:val="00B1472C"/>
    <w:rsid w:val="00B14735"/>
    <w:rsid w:val="00B1477D"/>
    <w:rsid w:val="00B14834"/>
    <w:rsid w:val="00B14845"/>
    <w:rsid w:val="00B148B5"/>
    <w:rsid w:val="00B148C7"/>
    <w:rsid w:val="00B148D6"/>
    <w:rsid w:val="00B148D8"/>
    <w:rsid w:val="00B14946"/>
    <w:rsid w:val="00B149F1"/>
    <w:rsid w:val="00B14A1A"/>
    <w:rsid w:val="00B14AC3"/>
    <w:rsid w:val="00B14AF4"/>
    <w:rsid w:val="00B14B04"/>
    <w:rsid w:val="00B14B0F"/>
    <w:rsid w:val="00B14B45"/>
    <w:rsid w:val="00B14BD9"/>
    <w:rsid w:val="00B14BF6"/>
    <w:rsid w:val="00B14C0B"/>
    <w:rsid w:val="00B14C37"/>
    <w:rsid w:val="00B14C3C"/>
    <w:rsid w:val="00B14C68"/>
    <w:rsid w:val="00B14F15"/>
    <w:rsid w:val="00B14F28"/>
    <w:rsid w:val="00B14F98"/>
    <w:rsid w:val="00B15107"/>
    <w:rsid w:val="00B15149"/>
    <w:rsid w:val="00B15209"/>
    <w:rsid w:val="00B15319"/>
    <w:rsid w:val="00B153BB"/>
    <w:rsid w:val="00B153C0"/>
    <w:rsid w:val="00B15492"/>
    <w:rsid w:val="00B15499"/>
    <w:rsid w:val="00B154CA"/>
    <w:rsid w:val="00B154EC"/>
    <w:rsid w:val="00B154F7"/>
    <w:rsid w:val="00B155D4"/>
    <w:rsid w:val="00B15608"/>
    <w:rsid w:val="00B1560F"/>
    <w:rsid w:val="00B1563C"/>
    <w:rsid w:val="00B15659"/>
    <w:rsid w:val="00B157CB"/>
    <w:rsid w:val="00B15829"/>
    <w:rsid w:val="00B1583C"/>
    <w:rsid w:val="00B1585B"/>
    <w:rsid w:val="00B158F6"/>
    <w:rsid w:val="00B1592D"/>
    <w:rsid w:val="00B159DC"/>
    <w:rsid w:val="00B15B41"/>
    <w:rsid w:val="00B15BCB"/>
    <w:rsid w:val="00B15BD1"/>
    <w:rsid w:val="00B15BD4"/>
    <w:rsid w:val="00B15C4E"/>
    <w:rsid w:val="00B15C6A"/>
    <w:rsid w:val="00B15CFD"/>
    <w:rsid w:val="00B15D1D"/>
    <w:rsid w:val="00B15DD6"/>
    <w:rsid w:val="00B15E6F"/>
    <w:rsid w:val="00B15F8C"/>
    <w:rsid w:val="00B15FDC"/>
    <w:rsid w:val="00B16024"/>
    <w:rsid w:val="00B160BA"/>
    <w:rsid w:val="00B16149"/>
    <w:rsid w:val="00B161DB"/>
    <w:rsid w:val="00B1624B"/>
    <w:rsid w:val="00B162BA"/>
    <w:rsid w:val="00B1632B"/>
    <w:rsid w:val="00B16366"/>
    <w:rsid w:val="00B163F5"/>
    <w:rsid w:val="00B1650A"/>
    <w:rsid w:val="00B165F1"/>
    <w:rsid w:val="00B16701"/>
    <w:rsid w:val="00B1673C"/>
    <w:rsid w:val="00B1676A"/>
    <w:rsid w:val="00B167F5"/>
    <w:rsid w:val="00B167FA"/>
    <w:rsid w:val="00B167FE"/>
    <w:rsid w:val="00B16870"/>
    <w:rsid w:val="00B1697C"/>
    <w:rsid w:val="00B16A96"/>
    <w:rsid w:val="00B16AE9"/>
    <w:rsid w:val="00B16B1C"/>
    <w:rsid w:val="00B16B32"/>
    <w:rsid w:val="00B16B4B"/>
    <w:rsid w:val="00B16BE9"/>
    <w:rsid w:val="00B16C10"/>
    <w:rsid w:val="00B16C4D"/>
    <w:rsid w:val="00B16C6F"/>
    <w:rsid w:val="00B16CBA"/>
    <w:rsid w:val="00B16D6D"/>
    <w:rsid w:val="00B16DA7"/>
    <w:rsid w:val="00B16EBB"/>
    <w:rsid w:val="00B16F3F"/>
    <w:rsid w:val="00B16F5C"/>
    <w:rsid w:val="00B16FC2"/>
    <w:rsid w:val="00B1706C"/>
    <w:rsid w:val="00B170BD"/>
    <w:rsid w:val="00B171CD"/>
    <w:rsid w:val="00B172BB"/>
    <w:rsid w:val="00B1730B"/>
    <w:rsid w:val="00B173BB"/>
    <w:rsid w:val="00B17433"/>
    <w:rsid w:val="00B174D4"/>
    <w:rsid w:val="00B174F0"/>
    <w:rsid w:val="00B17537"/>
    <w:rsid w:val="00B17596"/>
    <w:rsid w:val="00B175A3"/>
    <w:rsid w:val="00B17600"/>
    <w:rsid w:val="00B1767B"/>
    <w:rsid w:val="00B1767E"/>
    <w:rsid w:val="00B176A6"/>
    <w:rsid w:val="00B17765"/>
    <w:rsid w:val="00B17770"/>
    <w:rsid w:val="00B17778"/>
    <w:rsid w:val="00B17782"/>
    <w:rsid w:val="00B17784"/>
    <w:rsid w:val="00B177E7"/>
    <w:rsid w:val="00B17828"/>
    <w:rsid w:val="00B1789E"/>
    <w:rsid w:val="00B178B4"/>
    <w:rsid w:val="00B17951"/>
    <w:rsid w:val="00B17A59"/>
    <w:rsid w:val="00B17A7A"/>
    <w:rsid w:val="00B17A82"/>
    <w:rsid w:val="00B17A88"/>
    <w:rsid w:val="00B17AE0"/>
    <w:rsid w:val="00B17C47"/>
    <w:rsid w:val="00B17C8C"/>
    <w:rsid w:val="00B17E1E"/>
    <w:rsid w:val="00B17E31"/>
    <w:rsid w:val="00B17EA8"/>
    <w:rsid w:val="00B17EE6"/>
    <w:rsid w:val="00B17F0D"/>
    <w:rsid w:val="00B17F37"/>
    <w:rsid w:val="00B17F79"/>
    <w:rsid w:val="00B17FBC"/>
    <w:rsid w:val="00B20028"/>
    <w:rsid w:val="00B2011A"/>
    <w:rsid w:val="00B2020E"/>
    <w:rsid w:val="00B20302"/>
    <w:rsid w:val="00B2039D"/>
    <w:rsid w:val="00B204CC"/>
    <w:rsid w:val="00B20501"/>
    <w:rsid w:val="00B205DA"/>
    <w:rsid w:val="00B2063A"/>
    <w:rsid w:val="00B2066F"/>
    <w:rsid w:val="00B20713"/>
    <w:rsid w:val="00B20923"/>
    <w:rsid w:val="00B20955"/>
    <w:rsid w:val="00B20A35"/>
    <w:rsid w:val="00B20C7A"/>
    <w:rsid w:val="00B20D52"/>
    <w:rsid w:val="00B20D66"/>
    <w:rsid w:val="00B20DAE"/>
    <w:rsid w:val="00B20F14"/>
    <w:rsid w:val="00B20F49"/>
    <w:rsid w:val="00B20F77"/>
    <w:rsid w:val="00B21086"/>
    <w:rsid w:val="00B21089"/>
    <w:rsid w:val="00B211AF"/>
    <w:rsid w:val="00B211D7"/>
    <w:rsid w:val="00B21360"/>
    <w:rsid w:val="00B21369"/>
    <w:rsid w:val="00B21417"/>
    <w:rsid w:val="00B214C3"/>
    <w:rsid w:val="00B21612"/>
    <w:rsid w:val="00B216BF"/>
    <w:rsid w:val="00B216EB"/>
    <w:rsid w:val="00B216FE"/>
    <w:rsid w:val="00B2193A"/>
    <w:rsid w:val="00B21A0D"/>
    <w:rsid w:val="00B21A3A"/>
    <w:rsid w:val="00B21A5F"/>
    <w:rsid w:val="00B21B07"/>
    <w:rsid w:val="00B21B26"/>
    <w:rsid w:val="00B21B7E"/>
    <w:rsid w:val="00B21B98"/>
    <w:rsid w:val="00B21CC5"/>
    <w:rsid w:val="00B21CCB"/>
    <w:rsid w:val="00B21CFC"/>
    <w:rsid w:val="00B21D0E"/>
    <w:rsid w:val="00B21E8E"/>
    <w:rsid w:val="00B21F51"/>
    <w:rsid w:val="00B22022"/>
    <w:rsid w:val="00B220C0"/>
    <w:rsid w:val="00B220CE"/>
    <w:rsid w:val="00B221D5"/>
    <w:rsid w:val="00B2220D"/>
    <w:rsid w:val="00B22218"/>
    <w:rsid w:val="00B2223A"/>
    <w:rsid w:val="00B22284"/>
    <w:rsid w:val="00B22294"/>
    <w:rsid w:val="00B2230D"/>
    <w:rsid w:val="00B224E5"/>
    <w:rsid w:val="00B224F4"/>
    <w:rsid w:val="00B225C0"/>
    <w:rsid w:val="00B226AC"/>
    <w:rsid w:val="00B2273C"/>
    <w:rsid w:val="00B227A3"/>
    <w:rsid w:val="00B227A8"/>
    <w:rsid w:val="00B227AA"/>
    <w:rsid w:val="00B227DC"/>
    <w:rsid w:val="00B227F0"/>
    <w:rsid w:val="00B22924"/>
    <w:rsid w:val="00B22948"/>
    <w:rsid w:val="00B229C9"/>
    <w:rsid w:val="00B22A16"/>
    <w:rsid w:val="00B22A3F"/>
    <w:rsid w:val="00B22A56"/>
    <w:rsid w:val="00B22B30"/>
    <w:rsid w:val="00B22BEE"/>
    <w:rsid w:val="00B22C0D"/>
    <w:rsid w:val="00B22C54"/>
    <w:rsid w:val="00B22D3F"/>
    <w:rsid w:val="00B22D4E"/>
    <w:rsid w:val="00B22D50"/>
    <w:rsid w:val="00B22D58"/>
    <w:rsid w:val="00B22D8F"/>
    <w:rsid w:val="00B22DAD"/>
    <w:rsid w:val="00B22DE3"/>
    <w:rsid w:val="00B22E13"/>
    <w:rsid w:val="00B22E79"/>
    <w:rsid w:val="00B22EB9"/>
    <w:rsid w:val="00B22ED7"/>
    <w:rsid w:val="00B22EDE"/>
    <w:rsid w:val="00B22EFF"/>
    <w:rsid w:val="00B22F20"/>
    <w:rsid w:val="00B22F24"/>
    <w:rsid w:val="00B22F2B"/>
    <w:rsid w:val="00B22F7A"/>
    <w:rsid w:val="00B23032"/>
    <w:rsid w:val="00B23099"/>
    <w:rsid w:val="00B230B7"/>
    <w:rsid w:val="00B230EE"/>
    <w:rsid w:val="00B2311C"/>
    <w:rsid w:val="00B23145"/>
    <w:rsid w:val="00B2319F"/>
    <w:rsid w:val="00B231E9"/>
    <w:rsid w:val="00B231F5"/>
    <w:rsid w:val="00B231FF"/>
    <w:rsid w:val="00B23263"/>
    <w:rsid w:val="00B2328D"/>
    <w:rsid w:val="00B23302"/>
    <w:rsid w:val="00B2331D"/>
    <w:rsid w:val="00B23379"/>
    <w:rsid w:val="00B233DC"/>
    <w:rsid w:val="00B234A0"/>
    <w:rsid w:val="00B234B6"/>
    <w:rsid w:val="00B23505"/>
    <w:rsid w:val="00B23571"/>
    <w:rsid w:val="00B23637"/>
    <w:rsid w:val="00B236D9"/>
    <w:rsid w:val="00B236E6"/>
    <w:rsid w:val="00B23784"/>
    <w:rsid w:val="00B237A1"/>
    <w:rsid w:val="00B238A3"/>
    <w:rsid w:val="00B238B7"/>
    <w:rsid w:val="00B238EC"/>
    <w:rsid w:val="00B238F3"/>
    <w:rsid w:val="00B239CA"/>
    <w:rsid w:val="00B23A37"/>
    <w:rsid w:val="00B23A58"/>
    <w:rsid w:val="00B23AED"/>
    <w:rsid w:val="00B23B3F"/>
    <w:rsid w:val="00B23B71"/>
    <w:rsid w:val="00B23BDC"/>
    <w:rsid w:val="00B23C48"/>
    <w:rsid w:val="00B23D21"/>
    <w:rsid w:val="00B23D2D"/>
    <w:rsid w:val="00B23D9A"/>
    <w:rsid w:val="00B23DAE"/>
    <w:rsid w:val="00B23DE8"/>
    <w:rsid w:val="00B23E1E"/>
    <w:rsid w:val="00B23EB0"/>
    <w:rsid w:val="00B2404B"/>
    <w:rsid w:val="00B24088"/>
    <w:rsid w:val="00B240EB"/>
    <w:rsid w:val="00B240F5"/>
    <w:rsid w:val="00B2419C"/>
    <w:rsid w:val="00B24261"/>
    <w:rsid w:val="00B242A9"/>
    <w:rsid w:val="00B242B0"/>
    <w:rsid w:val="00B242FA"/>
    <w:rsid w:val="00B24371"/>
    <w:rsid w:val="00B24425"/>
    <w:rsid w:val="00B24452"/>
    <w:rsid w:val="00B244AD"/>
    <w:rsid w:val="00B244BD"/>
    <w:rsid w:val="00B244DD"/>
    <w:rsid w:val="00B2452C"/>
    <w:rsid w:val="00B245B4"/>
    <w:rsid w:val="00B2460C"/>
    <w:rsid w:val="00B2462B"/>
    <w:rsid w:val="00B2468D"/>
    <w:rsid w:val="00B246F6"/>
    <w:rsid w:val="00B2477F"/>
    <w:rsid w:val="00B2489B"/>
    <w:rsid w:val="00B248B9"/>
    <w:rsid w:val="00B248CF"/>
    <w:rsid w:val="00B248D1"/>
    <w:rsid w:val="00B248D7"/>
    <w:rsid w:val="00B24B03"/>
    <w:rsid w:val="00B24BD1"/>
    <w:rsid w:val="00B24C9B"/>
    <w:rsid w:val="00B24CC3"/>
    <w:rsid w:val="00B24F9B"/>
    <w:rsid w:val="00B25033"/>
    <w:rsid w:val="00B25109"/>
    <w:rsid w:val="00B25174"/>
    <w:rsid w:val="00B251E8"/>
    <w:rsid w:val="00B25219"/>
    <w:rsid w:val="00B25272"/>
    <w:rsid w:val="00B252C1"/>
    <w:rsid w:val="00B253A5"/>
    <w:rsid w:val="00B253B4"/>
    <w:rsid w:val="00B25450"/>
    <w:rsid w:val="00B254BF"/>
    <w:rsid w:val="00B254F0"/>
    <w:rsid w:val="00B25536"/>
    <w:rsid w:val="00B255CC"/>
    <w:rsid w:val="00B255EB"/>
    <w:rsid w:val="00B256CE"/>
    <w:rsid w:val="00B25722"/>
    <w:rsid w:val="00B25747"/>
    <w:rsid w:val="00B2577C"/>
    <w:rsid w:val="00B2579B"/>
    <w:rsid w:val="00B25902"/>
    <w:rsid w:val="00B2592F"/>
    <w:rsid w:val="00B25973"/>
    <w:rsid w:val="00B25A6C"/>
    <w:rsid w:val="00B25A90"/>
    <w:rsid w:val="00B25AAD"/>
    <w:rsid w:val="00B25AB1"/>
    <w:rsid w:val="00B25B4C"/>
    <w:rsid w:val="00B25C60"/>
    <w:rsid w:val="00B25D6C"/>
    <w:rsid w:val="00B25DFE"/>
    <w:rsid w:val="00B25E9D"/>
    <w:rsid w:val="00B25F1F"/>
    <w:rsid w:val="00B25FD3"/>
    <w:rsid w:val="00B25FE0"/>
    <w:rsid w:val="00B26019"/>
    <w:rsid w:val="00B26027"/>
    <w:rsid w:val="00B2602F"/>
    <w:rsid w:val="00B2619F"/>
    <w:rsid w:val="00B262F5"/>
    <w:rsid w:val="00B26306"/>
    <w:rsid w:val="00B26365"/>
    <w:rsid w:val="00B26442"/>
    <w:rsid w:val="00B2646B"/>
    <w:rsid w:val="00B26488"/>
    <w:rsid w:val="00B264CE"/>
    <w:rsid w:val="00B26639"/>
    <w:rsid w:val="00B2668F"/>
    <w:rsid w:val="00B26725"/>
    <w:rsid w:val="00B2679E"/>
    <w:rsid w:val="00B267D0"/>
    <w:rsid w:val="00B267E1"/>
    <w:rsid w:val="00B2686F"/>
    <w:rsid w:val="00B26935"/>
    <w:rsid w:val="00B26979"/>
    <w:rsid w:val="00B269B7"/>
    <w:rsid w:val="00B269E9"/>
    <w:rsid w:val="00B269EF"/>
    <w:rsid w:val="00B26A82"/>
    <w:rsid w:val="00B26AAA"/>
    <w:rsid w:val="00B26B39"/>
    <w:rsid w:val="00B26B42"/>
    <w:rsid w:val="00B26BFD"/>
    <w:rsid w:val="00B26DD8"/>
    <w:rsid w:val="00B26DEB"/>
    <w:rsid w:val="00B26E41"/>
    <w:rsid w:val="00B26E4E"/>
    <w:rsid w:val="00B26E7E"/>
    <w:rsid w:val="00B26E97"/>
    <w:rsid w:val="00B26FE1"/>
    <w:rsid w:val="00B26FF0"/>
    <w:rsid w:val="00B27033"/>
    <w:rsid w:val="00B2705F"/>
    <w:rsid w:val="00B27092"/>
    <w:rsid w:val="00B270AF"/>
    <w:rsid w:val="00B2725B"/>
    <w:rsid w:val="00B27278"/>
    <w:rsid w:val="00B27379"/>
    <w:rsid w:val="00B273C4"/>
    <w:rsid w:val="00B273FC"/>
    <w:rsid w:val="00B2742B"/>
    <w:rsid w:val="00B27442"/>
    <w:rsid w:val="00B274F9"/>
    <w:rsid w:val="00B2751B"/>
    <w:rsid w:val="00B27528"/>
    <w:rsid w:val="00B27561"/>
    <w:rsid w:val="00B275FC"/>
    <w:rsid w:val="00B2760E"/>
    <w:rsid w:val="00B27649"/>
    <w:rsid w:val="00B276AB"/>
    <w:rsid w:val="00B276D5"/>
    <w:rsid w:val="00B276E6"/>
    <w:rsid w:val="00B2771A"/>
    <w:rsid w:val="00B278BA"/>
    <w:rsid w:val="00B278EE"/>
    <w:rsid w:val="00B27971"/>
    <w:rsid w:val="00B27990"/>
    <w:rsid w:val="00B2799B"/>
    <w:rsid w:val="00B279BA"/>
    <w:rsid w:val="00B279C7"/>
    <w:rsid w:val="00B27A6D"/>
    <w:rsid w:val="00B27AD0"/>
    <w:rsid w:val="00B27BA2"/>
    <w:rsid w:val="00B27BCB"/>
    <w:rsid w:val="00B27BE5"/>
    <w:rsid w:val="00B27C8B"/>
    <w:rsid w:val="00B27CD3"/>
    <w:rsid w:val="00B27D66"/>
    <w:rsid w:val="00B27F1A"/>
    <w:rsid w:val="00B27F63"/>
    <w:rsid w:val="00B27FB7"/>
    <w:rsid w:val="00B27FCA"/>
    <w:rsid w:val="00B30098"/>
    <w:rsid w:val="00B30148"/>
    <w:rsid w:val="00B30152"/>
    <w:rsid w:val="00B3028A"/>
    <w:rsid w:val="00B3035E"/>
    <w:rsid w:val="00B30422"/>
    <w:rsid w:val="00B304A5"/>
    <w:rsid w:val="00B30679"/>
    <w:rsid w:val="00B3070E"/>
    <w:rsid w:val="00B307EA"/>
    <w:rsid w:val="00B3084A"/>
    <w:rsid w:val="00B30985"/>
    <w:rsid w:val="00B30986"/>
    <w:rsid w:val="00B30A4C"/>
    <w:rsid w:val="00B30A6A"/>
    <w:rsid w:val="00B30B46"/>
    <w:rsid w:val="00B30B6A"/>
    <w:rsid w:val="00B30B7D"/>
    <w:rsid w:val="00B30BE7"/>
    <w:rsid w:val="00B30BEF"/>
    <w:rsid w:val="00B30C01"/>
    <w:rsid w:val="00B30C0D"/>
    <w:rsid w:val="00B30C49"/>
    <w:rsid w:val="00B30D1B"/>
    <w:rsid w:val="00B30D8A"/>
    <w:rsid w:val="00B30E9E"/>
    <w:rsid w:val="00B30F13"/>
    <w:rsid w:val="00B30F43"/>
    <w:rsid w:val="00B30F7D"/>
    <w:rsid w:val="00B30F8B"/>
    <w:rsid w:val="00B30FA6"/>
    <w:rsid w:val="00B30FBA"/>
    <w:rsid w:val="00B31067"/>
    <w:rsid w:val="00B31071"/>
    <w:rsid w:val="00B3111D"/>
    <w:rsid w:val="00B3118C"/>
    <w:rsid w:val="00B311A4"/>
    <w:rsid w:val="00B311C8"/>
    <w:rsid w:val="00B3121D"/>
    <w:rsid w:val="00B31253"/>
    <w:rsid w:val="00B31255"/>
    <w:rsid w:val="00B3126F"/>
    <w:rsid w:val="00B312D6"/>
    <w:rsid w:val="00B31374"/>
    <w:rsid w:val="00B313BA"/>
    <w:rsid w:val="00B313D7"/>
    <w:rsid w:val="00B3144C"/>
    <w:rsid w:val="00B314F3"/>
    <w:rsid w:val="00B314FE"/>
    <w:rsid w:val="00B3154A"/>
    <w:rsid w:val="00B31562"/>
    <w:rsid w:val="00B316C8"/>
    <w:rsid w:val="00B3171A"/>
    <w:rsid w:val="00B3178C"/>
    <w:rsid w:val="00B317B1"/>
    <w:rsid w:val="00B317EC"/>
    <w:rsid w:val="00B31841"/>
    <w:rsid w:val="00B318A2"/>
    <w:rsid w:val="00B31985"/>
    <w:rsid w:val="00B31A12"/>
    <w:rsid w:val="00B31B65"/>
    <w:rsid w:val="00B31B82"/>
    <w:rsid w:val="00B31BEE"/>
    <w:rsid w:val="00B31C07"/>
    <w:rsid w:val="00B31CA5"/>
    <w:rsid w:val="00B31CBC"/>
    <w:rsid w:val="00B31D44"/>
    <w:rsid w:val="00B31E32"/>
    <w:rsid w:val="00B31E4E"/>
    <w:rsid w:val="00B31FD2"/>
    <w:rsid w:val="00B31FD7"/>
    <w:rsid w:val="00B320BC"/>
    <w:rsid w:val="00B320C0"/>
    <w:rsid w:val="00B320F0"/>
    <w:rsid w:val="00B3224E"/>
    <w:rsid w:val="00B3225A"/>
    <w:rsid w:val="00B32322"/>
    <w:rsid w:val="00B3243C"/>
    <w:rsid w:val="00B32443"/>
    <w:rsid w:val="00B3257C"/>
    <w:rsid w:val="00B3258D"/>
    <w:rsid w:val="00B326FD"/>
    <w:rsid w:val="00B32703"/>
    <w:rsid w:val="00B32781"/>
    <w:rsid w:val="00B3287D"/>
    <w:rsid w:val="00B3288A"/>
    <w:rsid w:val="00B32898"/>
    <w:rsid w:val="00B32924"/>
    <w:rsid w:val="00B32942"/>
    <w:rsid w:val="00B3295E"/>
    <w:rsid w:val="00B32AB2"/>
    <w:rsid w:val="00B32B6A"/>
    <w:rsid w:val="00B32BFC"/>
    <w:rsid w:val="00B32C3E"/>
    <w:rsid w:val="00B32CA4"/>
    <w:rsid w:val="00B32CFB"/>
    <w:rsid w:val="00B32DFC"/>
    <w:rsid w:val="00B32E0E"/>
    <w:rsid w:val="00B32E70"/>
    <w:rsid w:val="00B32EC5"/>
    <w:rsid w:val="00B32F05"/>
    <w:rsid w:val="00B32F55"/>
    <w:rsid w:val="00B330B3"/>
    <w:rsid w:val="00B33106"/>
    <w:rsid w:val="00B33182"/>
    <w:rsid w:val="00B331F1"/>
    <w:rsid w:val="00B33284"/>
    <w:rsid w:val="00B332C7"/>
    <w:rsid w:val="00B3338E"/>
    <w:rsid w:val="00B333B7"/>
    <w:rsid w:val="00B33460"/>
    <w:rsid w:val="00B33489"/>
    <w:rsid w:val="00B334B7"/>
    <w:rsid w:val="00B334F6"/>
    <w:rsid w:val="00B33501"/>
    <w:rsid w:val="00B3352A"/>
    <w:rsid w:val="00B33646"/>
    <w:rsid w:val="00B3366A"/>
    <w:rsid w:val="00B336EF"/>
    <w:rsid w:val="00B33714"/>
    <w:rsid w:val="00B3375C"/>
    <w:rsid w:val="00B33770"/>
    <w:rsid w:val="00B337F7"/>
    <w:rsid w:val="00B33800"/>
    <w:rsid w:val="00B3384C"/>
    <w:rsid w:val="00B3398E"/>
    <w:rsid w:val="00B339E0"/>
    <w:rsid w:val="00B33B1C"/>
    <w:rsid w:val="00B33B91"/>
    <w:rsid w:val="00B33BC8"/>
    <w:rsid w:val="00B33C1B"/>
    <w:rsid w:val="00B33C46"/>
    <w:rsid w:val="00B33C57"/>
    <w:rsid w:val="00B33C71"/>
    <w:rsid w:val="00B33D16"/>
    <w:rsid w:val="00B33E33"/>
    <w:rsid w:val="00B33FFC"/>
    <w:rsid w:val="00B34023"/>
    <w:rsid w:val="00B34063"/>
    <w:rsid w:val="00B340A9"/>
    <w:rsid w:val="00B340DA"/>
    <w:rsid w:val="00B34174"/>
    <w:rsid w:val="00B3426B"/>
    <w:rsid w:val="00B34288"/>
    <w:rsid w:val="00B34297"/>
    <w:rsid w:val="00B342AC"/>
    <w:rsid w:val="00B342CF"/>
    <w:rsid w:val="00B3433D"/>
    <w:rsid w:val="00B34415"/>
    <w:rsid w:val="00B34425"/>
    <w:rsid w:val="00B34482"/>
    <w:rsid w:val="00B344A3"/>
    <w:rsid w:val="00B34571"/>
    <w:rsid w:val="00B3459D"/>
    <w:rsid w:val="00B345C5"/>
    <w:rsid w:val="00B34680"/>
    <w:rsid w:val="00B346E0"/>
    <w:rsid w:val="00B34780"/>
    <w:rsid w:val="00B347E9"/>
    <w:rsid w:val="00B3480F"/>
    <w:rsid w:val="00B34876"/>
    <w:rsid w:val="00B3488F"/>
    <w:rsid w:val="00B3497D"/>
    <w:rsid w:val="00B34A19"/>
    <w:rsid w:val="00B34A1E"/>
    <w:rsid w:val="00B34A27"/>
    <w:rsid w:val="00B34AB5"/>
    <w:rsid w:val="00B34AC1"/>
    <w:rsid w:val="00B34BE9"/>
    <w:rsid w:val="00B34C3E"/>
    <w:rsid w:val="00B34D5A"/>
    <w:rsid w:val="00B34D60"/>
    <w:rsid w:val="00B34D88"/>
    <w:rsid w:val="00B34DD3"/>
    <w:rsid w:val="00B34DE0"/>
    <w:rsid w:val="00B34E4F"/>
    <w:rsid w:val="00B34E79"/>
    <w:rsid w:val="00B34EDA"/>
    <w:rsid w:val="00B34F40"/>
    <w:rsid w:val="00B34F50"/>
    <w:rsid w:val="00B34F86"/>
    <w:rsid w:val="00B35033"/>
    <w:rsid w:val="00B35057"/>
    <w:rsid w:val="00B35075"/>
    <w:rsid w:val="00B3509C"/>
    <w:rsid w:val="00B350B1"/>
    <w:rsid w:val="00B3512B"/>
    <w:rsid w:val="00B35192"/>
    <w:rsid w:val="00B35248"/>
    <w:rsid w:val="00B3528F"/>
    <w:rsid w:val="00B352CB"/>
    <w:rsid w:val="00B3532F"/>
    <w:rsid w:val="00B35346"/>
    <w:rsid w:val="00B35355"/>
    <w:rsid w:val="00B35576"/>
    <w:rsid w:val="00B355B1"/>
    <w:rsid w:val="00B355C3"/>
    <w:rsid w:val="00B35847"/>
    <w:rsid w:val="00B35852"/>
    <w:rsid w:val="00B35872"/>
    <w:rsid w:val="00B35894"/>
    <w:rsid w:val="00B359CC"/>
    <w:rsid w:val="00B359DB"/>
    <w:rsid w:val="00B35A3C"/>
    <w:rsid w:val="00B35AB9"/>
    <w:rsid w:val="00B35ABD"/>
    <w:rsid w:val="00B35AE0"/>
    <w:rsid w:val="00B35BE2"/>
    <w:rsid w:val="00B35BFA"/>
    <w:rsid w:val="00B35C70"/>
    <w:rsid w:val="00B35D62"/>
    <w:rsid w:val="00B35E81"/>
    <w:rsid w:val="00B35FE0"/>
    <w:rsid w:val="00B3604B"/>
    <w:rsid w:val="00B36070"/>
    <w:rsid w:val="00B36160"/>
    <w:rsid w:val="00B361E1"/>
    <w:rsid w:val="00B3627A"/>
    <w:rsid w:val="00B362BB"/>
    <w:rsid w:val="00B36393"/>
    <w:rsid w:val="00B36427"/>
    <w:rsid w:val="00B364A0"/>
    <w:rsid w:val="00B365B5"/>
    <w:rsid w:val="00B365CD"/>
    <w:rsid w:val="00B36628"/>
    <w:rsid w:val="00B366CC"/>
    <w:rsid w:val="00B3677F"/>
    <w:rsid w:val="00B36781"/>
    <w:rsid w:val="00B3678B"/>
    <w:rsid w:val="00B36807"/>
    <w:rsid w:val="00B36850"/>
    <w:rsid w:val="00B368A0"/>
    <w:rsid w:val="00B368A5"/>
    <w:rsid w:val="00B36959"/>
    <w:rsid w:val="00B369BB"/>
    <w:rsid w:val="00B36A15"/>
    <w:rsid w:val="00B36B19"/>
    <w:rsid w:val="00B36B5F"/>
    <w:rsid w:val="00B36BE4"/>
    <w:rsid w:val="00B36C2E"/>
    <w:rsid w:val="00B36DFB"/>
    <w:rsid w:val="00B36F21"/>
    <w:rsid w:val="00B36F3A"/>
    <w:rsid w:val="00B36F93"/>
    <w:rsid w:val="00B36FD9"/>
    <w:rsid w:val="00B37047"/>
    <w:rsid w:val="00B3709D"/>
    <w:rsid w:val="00B370CD"/>
    <w:rsid w:val="00B370F0"/>
    <w:rsid w:val="00B37120"/>
    <w:rsid w:val="00B37171"/>
    <w:rsid w:val="00B37185"/>
    <w:rsid w:val="00B371BE"/>
    <w:rsid w:val="00B371E2"/>
    <w:rsid w:val="00B371FA"/>
    <w:rsid w:val="00B37236"/>
    <w:rsid w:val="00B37311"/>
    <w:rsid w:val="00B37465"/>
    <w:rsid w:val="00B37488"/>
    <w:rsid w:val="00B37490"/>
    <w:rsid w:val="00B3750A"/>
    <w:rsid w:val="00B375DE"/>
    <w:rsid w:val="00B37622"/>
    <w:rsid w:val="00B376C0"/>
    <w:rsid w:val="00B377CF"/>
    <w:rsid w:val="00B377EE"/>
    <w:rsid w:val="00B377FE"/>
    <w:rsid w:val="00B378B5"/>
    <w:rsid w:val="00B378CC"/>
    <w:rsid w:val="00B37926"/>
    <w:rsid w:val="00B37956"/>
    <w:rsid w:val="00B37A66"/>
    <w:rsid w:val="00B37B76"/>
    <w:rsid w:val="00B37C37"/>
    <w:rsid w:val="00B37CF2"/>
    <w:rsid w:val="00B37D8A"/>
    <w:rsid w:val="00B37DAD"/>
    <w:rsid w:val="00B37E9F"/>
    <w:rsid w:val="00B37F1F"/>
    <w:rsid w:val="00B37F31"/>
    <w:rsid w:val="00B37FD2"/>
    <w:rsid w:val="00B40032"/>
    <w:rsid w:val="00B40034"/>
    <w:rsid w:val="00B40131"/>
    <w:rsid w:val="00B40161"/>
    <w:rsid w:val="00B40216"/>
    <w:rsid w:val="00B40249"/>
    <w:rsid w:val="00B402CE"/>
    <w:rsid w:val="00B40354"/>
    <w:rsid w:val="00B4048C"/>
    <w:rsid w:val="00B404D0"/>
    <w:rsid w:val="00B4054D"/>
    <w:rsid w:val="00B40620"/>
    <w:rsid w:val="00B40626"/>
    <w:rsid w:val="00B40667"/>
    <w:rsid w:val="00B40720"/>
    <w:rsid w:val="00B40724"/>
    <w:rsid w:val="00B4074B"/>
    <w:rsid w:val="00B407FB"/>
    <w:rsid w:val="00B4084E"/>
    <w:rsid w:val="00B40931"/>
    <w:rsid w:val="00B40AF7"/>
    <w:rsid w:val="00B40BD5"/>
    <w:rsid w:val="00B40C1C"/>
    <w:rsid w:val="00B40C30"/>
    <w:rsid w:val="00B40C3A"/>
    <w:rsid w:val="00B40C53"/>
    <w:rsid w:val="00B40CF0"/>
    <w:rsid w:val="00B40D23"/>
    <w:rsid w:val="00B40D5C"/>
    <w:rsid w:val="00B40DAB"/>
    <w:rsid w:val="00B40DF6"/>
    <w:rsid w:val="00B40DF8"/>
    <w:rsid w:val="00B40E33"/>
    <w:rsid w:val="00B40E7F"/>
    <w:rsid w:val="00B40EA0"/>
    <w:rsid w:val="00B40EB5"/>
    <w:rsid w:val="00B40FC2"/>
    <w:rsid w:val="00B40FE6"/>
    <w:rsid w:val="00B4100C"/>
    <w:rsid w:val="00B4104F"/>
    <w:rsid w:val="00B41065"/>
    <w:rsid w:val="00B41092"/>
    <w:rsid w:val="00B41238"/>
    <w:rsid w:val="00B41258"/>
    <w:rsid w:val="00B412D1"/>
    <w:rsid w:val="00B413E6"/>
    <w:rsid w:val="00B4141D"/>
    <w:rsid w:val="00B4146B"/>
    <w:rsid w:val="00B4148F"/>
    <w:rsid w:val="00B414CF"/>
    <w:rsid w:val="00B41541"/>
    <w:rsid w:val="00B415BF"/>
    <w:rsid w:val="00B4175E"/>
    <w:rsid w:val="00B41766"/>
    <w:rsid w:val="00B4182B"/>
    <w:rsid w:val="00B4182D"/>
    <w:rsid w:val="00B418A1"/>
    <w:rsid w:val="00B41A85"/>
    <w:rsid w:val="00B41ADE"/>
    <w:rsid w:val="00B41B3B"/>
    <w:rsid w:val="00B41BEF"/>
    <w:rsid w:val="00B41C6A"/>
    <w:rsid w:val="00B41C71"/>
    <w:rsid w:val="00B41CBA"/>
    <w:rsid w:val="00B41CC7"/>
    <w:rsid w:val="00B41DBE"/>
    <w:rsid w:val="00B41E12"/>
    <w:rsid w:val="00B41ED8"/>
    <w:rsid w:val="00B41ED9"/>
    <w:rsid w:val="00B41F99"/>
    <w:rsid w:val="00B41FE8"/>
    <w:rsid w:val="00B41FFB"/>
    <w:rsid w:val="00B4202C"/>
    <w:rsid w:val="00B42042"/>
    <w:rsid w:val="00B4220C"/>
    <w:rsid w:val="00B42385"/>
    <w:rsid w:val="00B4238C"/>
    <w:rsid w:val="00B423DE"/>
    <w:rsid w:val="00B423E0"/>
    <w:rsid w:val="00B4246D"/>
    <w:rsid w:val="00B42482"/>
    <w:rsid w:val="00B42543"/>
    <w:rsid w:val="00B42584"/>
    <w:rsid w:val="00B425AF"/>
    <w:rsid w:val="00B425EE"/>
    <w:rsid w:val="00B42632"/>
    <w:rsid w:val="00B4269F"/>
    <w:rsid w:val="00B42721"/>
    <w:rsid w:val="00B42744"/>
    <w:rsid w:val="00B427AA"/>
    <w:rsid w:val="00B427B4"/>
    <w:rsid w:val="00B4287B"/>
    <w:rsid w:val="00B42891"/>
    <w:rsid w:val="00B428EE"/>
    <w:rsid w:val="00B42921"/>
    <w:rsid w:val="00B429B5"/>
    <w:rsid w:val="00B429F4"/>
    <w:rsid w:val="00B42A33"/>
    <w:rsid w:val="00B42A8C"/>
    <w:rsid w:val="00B42B7C"/>
    <w:rsid w:val="00B42D0C"/>
    <w:rsid w:val="00B42D8A"/>
    <w:rsid w:val="00B42DB8"/>
    <w:rsid w:val="00B42DD3"/>
    <w:rsid w:val="00B42E26"/>
    <w:rsid w:val="00B42E2D"/>
    <w:rsid w:val="00B42E34"/>
    <w:rsid w:val="00B42F56"/>
    <w:rsid w:val="00B4302C"/>
    <w:rsid w:val="00B43088"/>
    <w:rsid w:val="00B430A1"/>
    <w:rsid w:val="00B43125"/>
    <w:rsid w:val="00B43151"/>
    <w:rsid w:val="00B431F4"/>
    <w:rsid w:val="00B43227"/>
    <w:rsid w:val="00B432BE"/>
    <w:rsid w:val="00B432C9"/>
    <w:rsid w:val="00B43320"/>
    <w:rsid w:val="00B4333B"/>
    <w:rsid w:val="00B434FB"/>
    <w:rsid w:val="00B4355F"/>
    <w:rsid w:val="00B43563"/>
    <w:rsid w:val="00B435BA"/>
    <w:rsid w:val="00B43624"/>
    <w:rsid w:val="00B4362A"/>
    <w:rsid w:val="00B436E0"/>
    <w:rsid w:val="00B436E5"/>
    <w:rsid w:val="00B437F7"/>
    <w:rsid w:val="00B43809"/>
    <w:rsid w:val="00B43810"/>
    <w:rsid w:val="00B4384A"/>
    <w:rsid w:val="00B4387D"/>
    <w:rsid w:val="00B4389E"/>
    <w:rsid w:val="00B4397A"/>
    <w:rsid w:val="00B43B1C"/>
    <w:rsid w:val="00B43C15"/>
    <w:rsid w:val="00B43CEE"/>
    <w:rsid w:val="00B43DE3"/>
    <w:rsid w:val="00B43E5A"/>
    <w:rsid w:val="00B43EC9"/>
    <w:rsid w:val="00B43F0F"/>
    <w:rsid w:val="00B43FD5"/>
    <w:rsid w:val="00B44118"/>
    <w:rsid w:val="00B44235"/>
    <w:rsid w:val="00B4424E"/>
    <w:rsid w:val="00B44267"/>
    <w:rsid w:val="00B442F2"/>
    <w:rsid w:val="00B44441"/>
    <w:rsid w:val="00B44445"/>
    <w:rsid w:val="00B44485"/>
    <w:rsid w:val="00B44551"/>
    <w:rsid w:val="00B445CC"/>
    <w:rsid w:val="00B446F9"/>
    <w:rsid w:val="00B4482D"/>
    <w:rsid w:val="00B44876"/>
    <w:rsid w:val="00B448B2"/>
    <w:rsid w:val="00B44996"/>
    <w:rsid w:val="00B449BF"/>
    <w:rsid w:val="00B44A99"/>
    <w:rsid w:val="00B44B3C"/>
    <w:rsid w:val="00B44B49"/>
    <w:rsid w:val="00B44B85"/>
    <w:rsid w:val="00B44B9F"/>
    <w:rsid w:val="00B44D9D"/>
    <w:rsid w:val="00B44EC0"/>
    <w:rsid w:val="00B44F18"/>
    <w:rsid w:val="00B44F19"/>
    <w:rsid w:val="00B44FC5"/>
    <w:rsid w:val="00B45084"/>
    <w:rsid w:val="00B45125"/>
    <w:rsid w:val="00B452B9"/>
    <w:rsid w:val="00B452DC"/>
    <w:rsid w:val="00B45367"/>
    <w:rsid w:val="00B45375"/>
    <w:rsid w:val="00B453DF"/>
    <w:rsid w:val="00B45459"/>
    <w:rsid w:val="00B4549E"/>
    <w:rsid w:val="00B454B6"/>
    <w:rsid w:val="00B454E3"/>
    <w:rsid w:val="00B45573"/>
    <w:rsid w:val="00B455B7"/>
    <w:rsid w:val="00B4564C"/>
    <w:rsid w:val="00B457B5"/>
    <w:rsid w:val="00B457E7"/>
    <w:rsid w:val="00B457EB"/>
    <w:rsid w:val="00B4588F"/>
    <w:rsid w:val="00B4589B"/>
    <w:rsid w:val="00B45959"/>
    <w:rsid w:val="00B4595E"/>
    <w:rsid w:val="00B459B5"/>
    <w:rsid w:val="00B459D9"/>
    <w:rsid w:val="00B459F4"/>
    <w:rsid w:val="00B45A3C"/>
    <w:rsid w:val="00B45AB2"/>
    <w:rsid w:val="00B45ADB"/>
    <w:rsid w:val="00B45B4D"/>
    <w:rsid w:val="00B45B75"/>
    <w:rsid w:val="00B45B8E"/>
    <w:rsid w:val="00B45BC1"/>
    <w:rsid w:val="00B45C02"/>
    <w:rsid w:val="00B45C11"/>
    <w:rsid w:val="00B45C23"/>
    <w:rsid w:val="00B45C88"/>
    <w:rsid w:val="00B45CCC"/>
    <w:rsid w:val="00B45D13"/>
    <w:rsid w:val="00B45D46"/>
    <w:rsid w:val="00B45D65"/>
    <w:rsid w:val="00B45E99"/>
    <w:rsid w:val="00B45E9B"/>
    <w:rsid w:val="00B45FBF"/>
    <w:rsid w:val="00B45FCB"/>
    <w:rsid w:val="00B4600C"/>
    <w:rsid w:val="00B46086"/>
    <w:rsid w:val="00B46107"/>
    <w:rsid w:val="00B46165"/>
    <w:rsid w:val="00B46175"/>
    <w:rsid w:val="00B461D4"/>
    <w:rsid w:val="00B462C1"/>
    <w:rsid w:val="00B462C4"/>
    <w:rsid w:val="00B462E8"/>
    <w:rsid w:val="00B4632B"/>
    <w:rsid w:val="00B463D3"/>
    <w:rsid w:val="00B463E9"/>
    <w:rsid w:val="00B464BE"/>
    <w:rsid w:val="00B464BF"/>
    <w:rsid w:val="00B46550"/>
    <w:rsid w:val="00B46647"/>
    <w:rsid w:val="00B4667E"/>
    <w:rsid w:val="00B466D8"/>
    <w:rsid w:val="00B46744"/>
    <w:rsid w:val="00B467FE"/>
    <w:rsid w:val="00B4683A"/>
    <w:rsid w:val="00B4684A"/>
    <w:rsid w:val="00B4685B"/>
    <w:rsid w:val="00B468F3"/>
    <w:rsid w:val="00B46968"/>
    <w:rsid w:val="00B46B68"/>
    <w:rsid w:val="00B46C59"/>
    <w:rsid w:val="00B46C67"/>
    <w:rsid w:val="00B46C90"/>
    <w:rsid w:val="00B46CFF"/>
    <w:rsid w:val="00B46D13"/>
    <w:rsid w:val="00B46D17"/>
    <w:rsid w:val="00B46D33"/>
    <w:rsid w:val="00B46D85"/>
    <w:rsid w:val="00B47011"/>
    <w:rsid w:val="00B47066"/>
    <w:rsid w:val="00B470CE"/>
    <w:rsid w:val="00B47104"/>
    <w:rsid w:val="00B4719B"/>
    <w:rsid w:val="00B47271"/>
    <w:rsid w:val="00B47335"/>
    <w:rsid w:val="00B47356"/>
    <w:rsid w:val="00B4741B"/>
    <w:rsid w:val="00B4748F"/>
    <w:rsid w:val="00B4751F"/>
    <w:rsid w:val="00B4752D"/>
    <w:rsid w:val="00B47590"/>
    <w:rsid w:val="00B475A6"/>
    <w:rsid w:val="00B47784"/>
    <w:rsid w:val="00B477B6"/>
    <w:rsid w:val="00B47877"/>
    <w:rsid w:val="00B4799B"/>
    <w:rsid w:val="00B479EE"/>
    <w:rsid w:val="00B479F0"/>
    <w:rsid w:val="00B47AE2"/>
    <w:rsid w:val="00B47C80"/>
    <w:rsid w:val="00B47C9D"/>
    <w:rsid w:val="00B47CCE"/>
    <w:rsid w:val="00B47CE2"/>
    <w:rsid w:val="00B47CFE"/>
    <w:rsid w:val="00B47DE6"/>
    <w:rsid w:val="00B47E1A"/>
    <w:rsid w:val="00B47F0B"/>
    <w:rsid w:val="00B47F12"/>
    <w:rsid w:val="00B47F27"/>
    <w:rsid w:val="00B47F81"/>
    <w:rsid w:val="00B50139"/>
    <w:rsid w:val="00B50169"/>
    <w:rsid w:val="00B5017C"/>
    <w:rsid w:val="00B50188"/>
    <w:rsid w:val="00B50197"/>
    <w:rsid w:val="00B5029B"/>
    <w:rsid w:val="00B502B6"/>
    <w:rsid w:val="00B5041D"/>
    <w:rsid w:val="00B5045B"/>
    <w:rsid w:val="00B50470"/>
    <w:rsid w:val="00B50555"/>
    <w:rsid w:val="00B50575"/>
    <w:rsid w:val="00B505A8"/>
    <w:rsid w:val="00B505C0"/>
    <w:rsid w:val="00B50622"/>
    <w:rsid w:val="00B5065F"/>
    <w:rsid w:val="00B506EA"/>
    <w:rsid w:val="00B506FB"/>
    <w:rsid w:val="00B506FC"/>
    <w:rsid w:val="00B5075E"/>
    <w:rsid w:val="00B50765"/>
    <w:rsid w:val="00B507C3"/>
    <w:rsid w:val="00B50849"/>
    <w:rsid w:val="00B5087E"/>
    <w:rsid w:val="00B5090E"/>
    <w:rsid w:val="00B50923"/>
    <w:rsid w:val="00B50971"/>
    <w:rsid w:val="00B50A68"/>
    <w:rsid w:val="00B50A6C"/>
    <w:rsid w:val="00B50A8A"/>
    <w:rsid w:val="00B50ABF"/>
    <w:rsid w:val="00B50ACE"/>
    <w:rsid w:val="00B50B29"/>
    <w:rsid w:val="00B50BF1"/>
    <w:rsid w:val="00B50BF3"/>
    <w:rsid w:val="00B50CA1"/>
    <w:rsid w:val="00B50D7A"/>
    <w:rsid w:val="00B50D91"/>
    <w:rsid w:val="00B50E09"/>
    <w:rsid w:val="00B50E3D"/>
    <w:rsid w:val="00B50F62"/>
    <w:rsid w:val="00B50F8E"/>
    <w:rsid w:val="00B50FA7"/>
    <w:rsid w:val="00B50FD1"/>
    <w:rsid w:val="00B50FF7"/>
    <w:rsid w:val="00B5103B"/>
    <w:rsid w:val="00B51118"/>
    <w:rsid w:val="00B5114F"/>
    <w:rsid w:val="00B51248"/>
    <w:rsid w:val="00B51264"/>
    <w:rsid w:val="00B51386"/>
    <w:rsid w:val="00B513AD"/>
    <w:rsid w:val="00B51490"/>
    <w:rsid w:val="00B5149B"/>
    <w:rsid w:val="00B514B6"/>
    <w:rsid w:val="00B5159E"/>
    <w:rsid w:val="00B517FE"/>
    <w:rsid w:val="00B518FD"/>
    <w:rsid w:val="00B51927"/>
    <w:rsid w:val="00B5193B"/>
    <w:rsid w:val="00B5193D"/>
    <w:rsid w:val="00B51951"/>
    <w:rsid w:val="00B51A6E"/>
    <w:rsid w:val="00B51AED"/>
    <w:rsid w:val="00B51AF5"/>
    <w:rsid w:val="00B51C1C"/>
    <w:rsid w:val="00B51C49"/>
    <w:rsid w:val="00B51CCC"/>
    <w:rsid w:val="00B51CE3"/>
    <w:rsid w:val="00B51D97"/>
    <w:rsid w:val="00B51E64"/>
    <w:rsid w:val="00B51EB5"/>
    <w:rsid w:val="00B51EF0"/>
    <w:rsid w:val="00B51F57"/>
    <w:rsid w:val="00B51FA3"/>
    <w:rsid w:val="00B51FBB"/>
    <w:rsid w:val="00B51FDF"/>
    <w:rsid w:val="00B51FED"/>
    <w:rsid w:val="00B52027"/>
    <w:rsid w:val="00B52044"/>
    <w:rsid w:val="00B5217F"/>
    <w:rsid w:val="00B521B4"/>
    <w:rsid w:val="00B52210"/>
    <w:rsid w:val="00B52278"/>
    <w:rsid w:val="00B522FA"/>
    <w:rsid w:val="00B5234A"/>
    <w:rsid w:val="00B523D4"/>
    <w:rsid w:val="00B52465"/>
    <w:rsid w:val="00B524DE"/>
    <w:rsid w:val="00B5258E"/>
    <w:rsid w:val="00B525DA"/>
    <w:rsid w:val="00B525E6"/>
    <w:rsid w:val="00B5262D"/>
    <w:rsid w:val="00B526F4"/>
    <w:rsid w:val="00B526F6"/>
    <w:rsid w:val="00B5290A"/>
    <w:rsid w:val="00B52941"/>
    <w:rsid w:val="00B529BC"/>
    <w:rsid w:val="00B52A3B"/>
    <w:rsid w:val="00B52B3A"/>
    <w:rsid w:val="00B52B53"/>
    <w:rsid w:val="00B52C32"/>
    <w:rsid w:val="00B52D8F"/>
    <w:rsid w:val="00B52DA7"/>
    <w:rsid w:val="00B52DB4"/>
    <w:rsid w:val="00B52DDB"/>
    <w:rsid w:val="00B52E18"/>
    <w:rsid w:val="00B52E58"/>
    <w:rsid w:val="00B52ED0"/>
    <w:rsid w:val="00B52EF7"/>
    <w:rsid w:val="00B52F66"/>
    <w:rsid w:val="00B52F97"/>
    <w:rsid w:val="00B53002"/>
    <w:rsid w:val="00B53079"/>
    <w:rsid w:val="00B53169"/>
    <w:rsid w:val="00B53187"/>
    <w:rsid w:val="00B53194"/>
    <w:rsid w:val="00B53214"/>
    <w:rsid w:val="00B5328D"/>
    <w:rsid w:val="00B532D7"/>
    <w:rsid w:val="00B53349"/>
    <w:rsid w:val="00B53363"/>
    <w:rsid w:val="00B5336A"/>
    <w:rsid w:val="00B53485"/>
    <w:rsid w:val="00B534FF"/>
    <w:rsid w:val="00B5364F"/>
    <w:rsid w:val="00B5365D"/>
    <w:rsid w:val="00B53736"/>
    <w:rsid w:val="00B537B2"/>
    <w:rsid w:val="00B5383B"/>
    <w:rsid w:val="00B53933"/>
    <w:rsid w:val="00B53996"/>
    <w:rsid w:val="00B539BF"/>
    <w:rsid w:val="00B53A4A"/>
    <w:rsid w:val="00B53A58"/>
    <w:rsid w:val="00B53A59"/>
    <w:rsid w:val="00B53A8F"/>
    <w:rsid w:val="00B53AF4"/>
    <w:rsid w:val="00B53B4B"/>
    <w:rsid w:val="00B53B90"/>
    <w:rsid w:val="00B53C5D"/>
    <w:rsid w:val="00B53C6F"/>
    <w:rsid w:val="00B53C70"/>
    <w:rsid w:val="00B53CC4"/>
    <w:rsid w:val="00B53CCA"/>
    <w:rsid w:val="00B53CF4"/>
    <w:rsid w:val="00B53D5F"/>
    <w:rsid w:val="00B53D6A"/>
    <w:rsid w:val="00B53DA8"/>
    <w:rsid w:val="00B53DDF"/>
    <w:rsid w:val="00B53DE3"/>
    <w:rsid w:val="00B53EE4"/>
    <w:rsid w:val="00B53F1B"/>
    <w:rsid w:val="00B53F24"/>
    <w:rsid w:val="00B53F79"/>
    <w:rsid w:val="00B53FC4"/>
    <w:rsid w:val="00B53FDA"/>
    <w:rsid w:val="00B53FE5"/>
    <w:rsid w:val="00B5424C"/>
    <w:rsid w:val="00B54290"/>
    <w:rsid w:val="00B54299"/>
    <w:rsid w:val="00B54306"/>
    <w:rsid w:val="00B54323"/>
    <w:rsid w:val="00B54364"/>
    <w:rsid w:val="00B54367"/>
    <w:rsid w:val="00B5438E"/>
    <w:rsid w:val="00B543F2"/>
    <w:rsid w:val="00B5447C"/>
    <w:rsid w:val="00B5447D"/>
    <w:rsid w:val="00B544DD"/>
    <w:rsid w:val="00B5455D"/>
    <w:rsid w:val="00B545CA"/>
    <w:rsid w:val="00B54672"/>
    <w:rsid w:val="00B546A2"/>
    <w:rsid w:val="00B546E2"/>
    <w:rsid w:val="00B54716"/>
    <w:rsid w:val="00B548B3"/>
    <w:rsid w:val="00B54928"/>
    <w:rsid w:val="00B54949"/>
    <w:rsid w:val="00B54A5F"/>
    <w:rsid w:val="00B54B49"/>
    <w:rsid w:val="00B54B5F"/>
    <w:rsid w:val="00B54BB4"/>
    <w:rsid w:val="00B54BBE"/>
    <w:rsid w:val="00B54CB6"/>
    <w:rsid w:val="00B54E5E"/>
    <w:rsid w:val="00B54E92"/>
    <w:rsid w:val="00B54EE8"/>
    <w:rsid w:val="00B55045"/>
    <w:rsid w:val="00B551D2"/>
    <w:rsid w:val="00B551D3"/>
    <w:rsid w:val="00B5530F"/>
    <w:rsid w:val="00B5534E"/>
    <w:rsid w:val="00B55473"/>
    <w:rsid w:val="00B554D7"/>
    <w:rsid w:val="00B55517"/>
    <w:rsid w:val="00B555AD"/>
    <w:rsid w:val="00B555B8"/>
    <w:rsid w:val="00B5576C"/>
    <w:rsid w:val="00B55781"/>
    <w:rsid w:val="00B557C0"/>
    <w:rsid w:val="00B557F0"/>
    <w:rsid w:val="00B55886"/>
    <w:rsid w:val="00B558E9"/>
    <w:rsid w:val="00B5597D"/>
    <w:rsid w:val="00B5599C"/>
    <w:rsid w:val="00B55A00"/>
    <w:rsid w:val="00B55A60"/>
    <w:rsid w:val="00B55AB2"/>
    <w:rsid w:val="00B55AE5"/>
    <w:rsid w:val="00B55B4B"/>
    <w:rsid w:val="00B55BDD"/>
    <w:rsid w:val="00B55C42"/>
    <w:rsid w:val="00B55C45"/>
    <w:rsid w:val="00B55D4A"/>
    <w:rsid w:val="00B55E62"/>
    <w:rsid w:val="00B55E67"/>
    <w:rsid w:val="00B55ED9"/>
    <w:rsid w:val="00B55F7D"/>
    <w:rsid w:val="00B55FBD"/>
    <w:rsid w:val="00B55FC1"/>
    <w:rsid w:val="00B5614E"/>
    <w:rsid w:val="00B56224"/>
    <w:rsid w:val="00B5624A"/>
    <w:rsid w:val="00B562A8"/>
    <w:rsid w:val="00B562D1"/>
    <w:rsid w:val="00B56397"/>
    <w:rsid w:val="00B5648B"/>
    <w:rsid w:val="00B564D2"/>
    <w:rsid w:val="00B5656C"/>
    <w:rsid w:val="00B5659A"/>
    <w:rsid w:val="00B565D6"/>
    <w:rsid w:val="00B56601"/>
    <w:rsid w:val="00B5661F"/>
    <w:rsid w:val="00B566B1"/>
    <w:rsid w:val="00B567CE"/>
    <w:rsid w:val="00B56827"/>
    <w:rsid w:val="00B56841"/>
    <w:rsid w:val="00B568B3"/>
    <w:rsid w:val="00B568C3"/>
    <w:rsid w:val="00B56A4C"/>
    <w:rsid w:val="00B56A90"/>
    <w:rsid w:val="00B56CFD"/>
    <w:rsid w:val="00B56D2C"/>
    <w:rsid w:val="00B56DA6"/>
    <w:rsid w:val="00B56E38"/>
    <w:rsid w:val="00B56E96"/>
    <w:rsid w:val="00B56EC2"/>
    <w:rsid w:val="00B56F27"/>
    <w:rsid w:val="00B56F68"/>
    <w:rsid w:val="00B56F80"/>
    <w:rsid w:val="00B5701A"/>
    <w:rsid w:val="00B57036"/>
    <w:rsid w:val="00B57074"/>
    <w:rsid w:val="00B5712C"/>
    <w:rsid w:val="00B57199"/>
    <w:rsid w:val="00B571E4"/>
    <w:rsid w:val="00B571F2"/>
    <w:rsid w:val="00B57279"/>
    <w:rsid w:val="00B57356"/>
    <w:rsid w:val="00B5735B"/>
    <w:rsid w:val="00B5736A"/>
    <w:rsid w:val="00B57432"/>
    <w:rsid w:val="00B57436"/>
    <w:rsid w:val="00B5753B"/>
    <w:rsid w:val="00B575A3"/>
    <w:rsid w:val="00B5761C"/>
    <w:rsid w:val="00B5763C"/>
    <w:rsid w:val="00B5764E"/>
    <w:rsid w:val="00B57734"/>
    <w:rsid w:val="00B57910"/>
    <w:rsid w:val="00B5793D"/>
    <w:rsid w:val="00B57962"/>
    <w:rsid w:val="00B57985"/>
    <w:rsid w:val="00B579D8"/>
    <w:rsid w:val="00B579DC"/>
    <w:rsid w:val="00B57A79"/>
    <w:rsid w:val="00B57B2B"/>
    <w:rsid w:val="00B57B79"/>
    <w:rsid w:val="00B57BE2"/>
    <w:rsid w:val="00B57BF9"/>
    <w:rsid w:val="00B57D01"/>
    <w:rsid w:val="00B57D11"/>
    <w:rsid w:val="00B57D23"/>
    <w:rsid w:val="00B57D30"/>
    <w:rsid w:val="00B57E77"/>
    <w:rsid w:val="00B57ECE"/>
    <w:rsid w:val="00B57F1D"/>
    <w:rsid w:val="00B57F8A"/>
    <w:rsid w:val="00B57FEB"/>
    <w:rsid w:val="00B57FEE"/>
    <w:rsid w:val="00B60023"/>
    <w:rsid w:val="00B60093"/>
    <w:rsid w:val="00B60180"/>
    <w:rsid w:val="00B601F8"/>
    <w:rsid w:val="00B60335"/>
    <w:rsid w:val="00B603CB"/>
    <w:rsid w:val="00B603DA"/>
    <w:rsid w:val="00B603E8"/>
    <w:rsid w:val="00B60478"/>
    <w:rsid w:val="00B6066D"/>
    <w:rsid w:val="00B606F7"/>
    <w:rsid w:val="00B60759"/>
    <w:rsid w:val="00B60768"/>
    <w:rsid w:val="00B6078C"/>
    <w:rsid w:val="00B607D9"/>
    <w:rsid w:val="00B60881"/>
    <w:rsid w:val="00B608A1"/>
    <w:rsid w:val="00B60B27"/>
    <w:rsid w:val="00B60BB3"/>
    <w:rsid w:val="00B60C5B"/>
    <w:rsid w:val="00B60C6F"/>
    <w:rsid w:val="00B60C80"/>
    <w:rsid w:val="00B60CCA"/>
    <w:rsid w:val="00B60CD9"/>
    <w:rsid w:val="00B60D17"/>
    <w:rsid w:val="00B60D52"/>
    <w:rsid w:val="00B60E8A"/>
    <w:rsid w:val="00B60EA7"/>
    <w:rsid w:val="00B60EAB"/>
    <w:rsid w:val="00B6105E"/>
    <w:rsid w:val="00B61079"/>
    <w:rsid w:val="00B611D0"/>
    <w:rsid w:val="00B61281"/>
    <w:rsid w:val="00B61345"/>
    <w:rsid w:val="00B6134E"/>
    <w:rsid w:val="00B61350"/>
    <w:rsid w:val="00B61357"/>
    <w:rsid w:val="00B613CD"/>
    <w:rsid w:val="00B6141D"/>
    <w:rsid w:val="00B61566"/>
    <w:rsid w:val="00B61574"/>
    <w:rsid w:val="00B61686"/>
    <w:rsid w:val="00B61756"/>
    <w:rsid w:val="00B6179D"/>
    <w:rsid w:val="00B617FA"/>
    <w:rsid w:val="00B6188D"/>
    <w:rsid w:val="00B6192F"/>
    <w:rsid w:val="00B61938"/>
    <w:rsid w:val="00B619C0"/>
    <w:rsid w:val="00B61B7C"/>
    <w:rsid w:val="00B61BA2"/>
    <w:rsid w:val="00B61BE4"/>
    <w:rsid w:val="00B61BFC"/>
    <w:rsid w:val="00B61C77"/>
    <w:rsid w:val="00B61D4D"/>
    <w:rsid w:val="00B61D8B"/>
    <w:rsid w:val="00B61DF1"/>
    <w:rsid w:val="00B61E4E"/>
    <w:rsid w:val="00B61FD5"/>
    <w:rsid w:val="00B61FD6"/>
    <w:rsid w:val="00B620E2"/>
    <w:rsid w:val="00B62139"/>
    <w:rsid w:val="00B62170"/>
    <w:rsid w:val="00B621A8"/>
    <w:rsid w:val="00B621D3"/>
    <w:rsid w:val="00B62271"/>
    <w:rsid w:val="00B622B7"/>
    <w:rsid w:val="00B62409"/>
    <w:rsid w:val="00B62442"/>
    <w:rsid w:val="00B6249E"/>
    <w:rsid w:val="00B624B6"/>
    <w:rsid w:val="00B6252C"/>
    <w:rsid w:val="00B62535"/>
    <w:rsid w:val="00B625B2"/>
    <w:rsid w:val="00B626A1"/>
    <w:rsid w:val="00B627B8"/>
    <w:rsid w:val="00B627C1"/>
    <w:rsid w:val="00B6286E"/>
    <w:rsid w:val="00B628AD"/>
    <w:rsid w:val="00B62903"/>
    <w:rsid w:val="00B6299E"/>
    <w:rsid w:val="00B62A40"/>
    <w:rsid w:val="00B62A64"/>
    <w:rsid w:val="00B62B9D"/>
    <w:rsid w:val="00B62C63"/>
    <w:rsid w:val="00B62C65"/>
    <w:rsid w:val="00B62C95"/>
    <w:rsid w:val="00B62CB1"/>
    <w:rsid w:val="00B62CCA"/>
    <w:rsid w:val="00B62CEB"/>
    <w:rsid w:val="00B62D26"/>
    <w:rsid w:val="00B62D9D"/>
    <w:rsid w:val="00B62EB9"/>
    <w:rsid w:val="00B62EEC"/>
    <w:rsid w:val="00B62EF5"/>
    <w:rsid w:val="00B62F2A"/>
    <w:rsid w:val="00B62F99"/>
    <w:rsid w:val="00B63006"/>
    <w:rsid w:val="00B63055"/>
    <w:rsid w:val="00B63069"/>
    <w:rsid w:val="00B63095"/>
    <w:rsid w:val="00B630B9"/>
    <w:rsid w:val="00B630BC"/>
    <w:rsid w:val="00B630C0"/>
    <w:rsid w:val="00B631D4"/>
    <w:rsid w:val="00B6325F"/>
    <w:rsid w:val="00B632AF"/>
    <w:rsid w:val="00B633A0"/>
    <w:rsid w:val="00B633CC"/>
    <w:rsid w:val="00B63445"/>
    <w:rsid w:val="00B634FC"/>
    <w:rsid w:val="00B63523"/>
    <w:rsid w:val="00B63549"/>
    <w:rsid w:val="00B635D2"/>
    <w:rsid w:val="00B63749"/>
    <w:rsid w:val="00B637C3"/>
    <w:rsid w:val="00B637E7"/>
    <w:rsid w:val="00B63802"/>
    <w:rsid w:val="00B63834"/>
    <w:rsid w:val="00B6389B"/>
    <w:rsid w:val="00B6389C"/>
    <w:rsid w:val="00B638A7"/>
    <w:rsid w:val="00B63962"/>
    <w:rsid w:val="00B639C4"/>
    <w:rsid w:val="00B63A1E"/>
    <w:rsid w:val="00B63AC7"/>
    <w:rsid w:val="00B63C40"/>
    <w:rsid w:val="00B63CF0"/>
    <w:rsid w:val="00B63D42"/>
    <w:rsid w:val="00B63D4B"/>
    <w:rsid w:val="00B63EF2"/>
    <w:rsid w:val="00B63F42"/>
    <w:rsid w:val="00B63FCF"/>
    <w:rsid w:val="00B63FE1"/>
    <w:rsid w:val="00B64004"/>
    <w:rsid w:val="00B6400F"/>
    <w:rsid w:val="00B64015"/>
    <w:rsid w:val="00B640CB"/>
    <w:rsid w:val="00B640E6"/>
    <w:rsid w:val="00B64116"/>
    <w:rsid w:val="00B6411D"/>
    <w:rsid w:val="00B641ED"/>
    <w:rsid w:val="00B6423F"/>
    <w:rsid w:val="00B6425D"/>
    <w:rsid w:val="00B642AA"/>
    <w:rsid w:val="00B642C2"/>
    <w:rsid w:val="00B642D2"/>
    <w:rsid w:val="00B64303"/>
    <w:rsid w:val="00B64347"/>
    <w:rsid w:val="00B64373"/>
    <w:rsid w:val="00B6439E"/>
    <w:rsid w:val="00B64520"/>
    <w:rsid w:val="00B6462D"/>
    <w:rsid w:val="00B6467F"/>
    <w:rsid w:val="00B646C2"/>
    <w:rsid w:val="00B64702"/>
    <w:rsid w:val="00B64816"/>
    <w:rsid w:val="00B649D3"/>
    <w:rsid w:val="00B64A7E"/>
    <w:rsid w:val="00B64AD8"/>
    <w:rsid w:val="00B64B9C"/>
    <w:rsid w:val="00B64BB3"/>
    <w:rsid w:val="00B64CA4"/>
    <w:rsid w:val="00B64D8F"/>
    <w:rsid w:val="00B64DDA"/>
    <w:rsid w:val="00B64E75"/>
    <w:rsid w:val="00B64EE1"/>
    <w:rsid w:val="00B64EE8"/>
    <w:rsid w:val="00B64F00"/>
    <w:rsid w:val="00B64F0F"/>
    <w:rsid w:val="00B64FCD"/>
    <w:rsid w:val="00B6501F"/>
    <w:rsid w:val="00B65020"/>
    <w:rsid w:val="00B65075"/>
    <w:rsid w:val="00B650EB"/>
    <w:rsid w:val="00B651B0"/>
    <w:rsid w:val="00B651FF"/>
    <w:rsid w:val="00B6521A"/>
    <w:rsid w:val="00B65242"/>
    <w:rsid w:val="00B6524D"/>
    <w:rsid w:val="00B6528A"/>
    <w:rsid w:val="00B65296"/>
    <w:rsid w:val="00B652CD"/>
    <w:rsid w:val="00B652FD"/>
    <w:rsid w:val="00B6531C"/>
    <w:rsid w:val="00B6541E"/>
    <w:rsid w:val="00B6546C"/>
    <w:rsid w:val="00B654B3"/>
    <w:rsid w:val="00B65508"/>
    <w:rsid w:val="00B65533"/>
    <w:rsid w:val="00B65535"/>
    <w:rsid w:val="00B65710"/>
    <w:rsid w:val="00B657A2"/>
    <w:rsid w:val="00B657C4"/>
    <w:rsid w:val="00B657DD"/>
    <w:rsid w:val="00B657F8"/>
    <w:rsid w:val="00B65813"/>
    <w:rsid w:val="00B6582D"/>
    <w:rsid w:val="00B65923"/>
    <w:rsid w:val="00B65947"/>
    <w:rsid w:val="00B659D7"/>
    <w:rsid w:val="00B65A0F"/>
    <w:rsid w:val="00B65A1E"/>
    <w:rsid w:val="00B65A6D"/>
    <w:rsid w:val="00B65A9E"/>
    <w:rsid w:val="00B65AB4"/>
    <w:rsid w:val="00B65AEF"/>
    <w:rsid w:val="00B65B01"/>
    <w:rsid w:val="00B65B52"/>
    <w:rsid w:val="00B65BF2"/>
    <w:rsid w:val="00B65C37"/>
    <w:rsid w:val="00B65D43"/>
    <w:rsid w:val="00B65DD0"/>
    <w:rsid w:val="00B65E22"/>
    <w:rsid w:val="00B65E5C"/>
    <w:rsid w:val="00B65EB5"/>
    <w:rsid w:val="00B65EE8"/>
    <w:rsid w:val="00B65EEC"/>
    <w:rsid w:val="00B65F38"/>
    <w:rsid w:val="00B65F60"/>
    <w:rsid w:val="00B65F70"/>
    <w:rsid w:val="00B65FC3"/>
    <w:rsid w:val="00B660EF"/>
    <w:rsid w:val="00B66158"/>
    <w:rsid w:val="00B661DF"/>
    <w:rsid w:val="00B6623B"/>
    <w:rsid w:val="00B6627C"/>
    <w:rsid w:val="00B66341"/>
    <w:rsid w:val="00B663A9"/>
    <w:rsid w:val="00B6641D"/>
    <w:rsid w:val="00B66484"/>
    <w:rsid w:val="00B664F1"/>
    <w:rsid w:val="00B664F7"/>
    <w:rsid w:val="00B6652C"/>
    <w:rsid w:val="00B66686"/>
    <w:rsid w:val="00B6669D"/>
    <w:rsid w:val="00B666C9"/>
    <w:rsid w:val="00B66741"/>
    <w:rsid w:val="00B66792"/>
    <w:rsid w:val="00B6680F"/>
    <w:rsid w:val="00B668EA"/>
    <w:rsid w:val="00B669B8"/>
    <w:rsid w:val="00B669D5"/>
    <w:rsid w:val="00B669F5"/>
    <w:rsid w:val="00B66A41"/>
    <w:rsid w:val="00B66ADC"/>
    <w:rsid w:val="00B66B69"/>
    <w:rsid w:val="00B66B8A"/>
    <w:rsid w:val="00B66C48"/>
    <w:rsid w:val="00B66C76"/>
    <w:rsid w:val="00B66C86"/>
    <w:rsid w:val="00B66D08"/>
    <w:rsid w:val="00B66DB8"/>
    <w:rsid w:val="00B66E01"/>
    <w:rsid w:val="00B66E8B"/>
    <w:rsid w:val="00B66EE2"/>
    <w:rsid w:val="00B66F07"/>
    <w:rsid w:val="00B66F28"/>
    <w:rsid w:val="00B66F49"/>
    <w:rsid w:val="00B66FDF"/>
    <w:rsid w:val="00B66FFE"/>
    <w:rsid w:val="00B67031"/>
    <w:rsid w:val="00B67051"/>
    <w:rsid w:val="00B670A2"/>
    <w:rsid w:val="00B670CE"/>
    <w:rsid w:val="00B670D9"/>
    <w:rsid w:val="00B67106"/>
    <w:rsid w:val="00B67127"/>
    <w:rsid w:val="00B6718C"/>
    <w:rsid w:val="00B67218"/>
    <w:rsid w:val="00B6722A"/>
    <w:rsid w:val="00B67276"/>
    <w:rsid w:val="00B67288"/>
    <w:rsid w:val="00B6731E"/>
    <w:rsid w:val="00B6735B"/>
    <w:rsid w:val="00B67366"/>
    <w:rsid w:val="00B673D4"/>
    <w:rsid w:val="00B67484"/>
    <w:rsid w:val="00B674D5"/>
    <w:rsid w:val="00B6750E"/>
    <w:rsid w:val="00B675D6"/>
    <w:rsid w:val="00B6767B"/>
    <w:rsid w:val="00B6769E"/>
    <w:rsid w:val="00B676D4"/>
    <w:rsid w:val="00B67702"/>
    <w:rsid w:val="00B677E8"/>
    <w:rsid w:val="00B679C8"/>
    <w:rsid w:val="00B67AF7"/>
    <w:rsid w:val="00B67B04"/>
    <w:rsid w:val="00B67B0D"/>
    <w:rsid w:val="00B67B16"/>
    <w:rsid w:val="00B67B19"/>
    <w:rsid w:val="00B67B23"/>
    <w:rsid w:val="00B67CE8"/>
    <w:rsid w:val="00B67DC8"/>
    <w:rsid w:val="00B67E12"/>
    <w:rsid w:val="00B67F19"/>
    <w:rsid w:val="00B67F79"/>
    <w:rsid w:val="00B67FCA"/>
    <w:rsid w:val="00B7003B"/>
    <w:rsid w:val="00B700D7"/>
    <w:rsid w:val="00B70191"/>
    <w:rsid w:val="00B702DB"/>
    <w:rsid w:val="00B70414"/>
    <w:rsid w:val="00B704FF"/>
    <w:rsid w:val="00B706FA"/>
    <w:rsid w:val="00B70730"/>
    <w:rsid w:val="00B707AD"/>
    <w:rsid w:val="00B707D6"/>
    <w:rsid w:val="00B707E6"/>
    <w:rsid w:val="00B7089B"/>
    <w:rsid w:val="00B70907"/>
    <w:rsid w:val="00B709D5"/>
    <w:rsid w:val="00B709E1"/>
    <w:rsid w:val="00B70A2F"/>
    <w:rsid w:val="00B70A8A"/>
    <w:rsid w:val="00B70C1E"/>
    <w:rsid w:val="00B70D79"/>
    <w:rsid w:val="00B70DCE"/>
    <w:rsid w:val="00B70E3F"/>
    <w:rsid w:val="00B70E61"/>
    <w:rsid w:val="00B70E65"/>
    <w:rsid w:val="00B70EFB"/>
    <w:rsid w:val="00B70FD8"/>
    <w:rsid w:val="00B70FF9"/>
    <w:rsid w:val="00B71075"/>
    <w:rsid w:val="00B7113F"/>
    <w:rsid w:val="00B7115D"/>
    <w:rsid w:val="00B71364"/>
    <w:rsid w:val="00B713CB"/>
    <w:rsid w:val="00B714B6"/>
    <w:rsid w:val="00B71541"/>
    <w:rsid w:val="00B715D3"/>
    <w:rsid w:val="00B71612"/>
    <w:rsid w:val="00B7169A"/>
    <w:rsid w:val="00B716C5"/>
    <w:rsid w:val="00B716F3"/>
    <w:rsid w:val="00B717EB"/>
    <w:rsid w:val="00B71838"/>
    <w:rsid w:val="00B71889"/>
    <w:rsid w:val="00B7189E"/>
    <w:rsid w:val="00B7190C"/>
    <w:rsid w:val="00B71AB8"/>
    <w:rsid w:val="00B71ACB"/>
    <w:rsid w:val="00B71AEB"/>
    <w:rsid w:val="00B71B07"/>
    <w:rsid w:val="00B71BDC"/>
    <w:rsid w:val="00B71BF9"/>
    <w:rsid w:val="00B71CB6"/>
    <w:rsid w:val="00B71D78"/>
    <w:rsid w:val="00B71E80"/>
    <w:rsid w:val="00B71E8A"/>
    <w:rsid w:val="00B71E8B"/>
    <w:rsid w:val="00B7200B"/>
    <w:rsid w:val="00B72017"/>
    <w:rsid w:val="00B7201F"/>
    <w:rsid w:val="00B72094"/>
    <w:rsid w:val="00B72096"/>
    <w:rsid w:val="00B72167"/>
    <w:rsid w:val="00B72168"/>
    <w:rsid w:val="00B7216F"/>
    <w:rsid w:val="00B722BB"/>
    <w:rsid w:val="00B72414"/>
    <w:rsid w:val="00B72524"/>
    <w:rsid w:val="00B72599"/>
    <w:rsid w:val="00B7259B"/>
    <w:rsid w:val="00B725BF"/>
    <w:rsid w:val="00B725E6"/>
    <w:rsid w:val="00B72607"/>
    <w:rsid w:val="00B7260E"/>
    <w:rsid w:val="00B72646"/>
    <w:rsid w:val="00B72682"/>
    <w:rsid w:val="00B726AF"/>
    <w:rsid w:val="00B726E6"/>
    <w:rsid w:val="00B72711"/>
    <w:rsid w:val="00B72767"/>
    <w:rsid w:val="00B7289A"/>
    <w:rsid w:val="00B729E5"/>
    <w:rsid w:val="00B729FB"/>
    <w:rsid w:val="00B72A01"/>
    <w:rsid w:val="00B72A1F"/>
    <w:rsid w:val="00B72A83"/>
    <w:rsid w:val="00B72B88"/>
    <w:rsid w:val="00B72BDC"/>
    <w:rsid w:val="00B72BDD"/>
    <w:rsid w:val="00B72C41"/>
    <w:rsid w:val="00B72C4A"/>
    <w:rsid w:val="00B72CEE"/>
    <w:rsid w:val="00B72D3C"/>
    <w:rsid w:val="00B72DC3"/>
    <w:rsid w:val="00B72F16"/>
    <w:rsid w:val="00B72FE4"/>
    <w:rsid w:val="00B73029"/>
    <w:rsid w:val="00B73084"/>
    <w:rsid w:val="00B73119"/>
    <w:rsid w:val="00B7312F"/>
    <w:rsid w:val="00B7315C"/>
    <w:rsid w:val="00B731A2"/>
    <w:rsid w:val="00B731F3"/>
    <w:rsid w:val="00B73216"/>
    <w:rsid w:val="00B73222"/>
    <w:rsid w:val="00B73233"/>
    <w:rsid w:val="00B73371"/>
    <w:rsid w:val="00B733B4"/>
    <w:rsid w:val="00B73423"/>
    <w:rsid w:val="00B73477"/>
    <w:rsid w:val="00B73482"/>
    <w:rsid w:val="00B735AB"/>
    <w:rsid w:val="00B735E6"/>
    <w:rsid w:val="00B73629"/>
    <w:rsid w:val="00B73645"/>
    <w:rsid w:val="00B73676"/>
    <w:rsid w:val="00B73679"/>
    <w:rsid w:val="00B736B7"/>
    <w:rsid w:val="00B737E7"/>
    <w:rsid w:val="00B73831"/>
    <w:rsid w:val="00B73850"/>
    <w:rsid w:val="00B73872"/>
    <w:rsid w:val="00B738BE"/>
    <w:rsid w:val="00B738DC"/>
    <w:rsid w:val="00B738E7"/>
    <w:rsid w:val="00B73924"/>
    <w:rsid w:val="00B73943"/>
    <w:rsid w:val="00B739CA"/>
    <w:rsid w:val="00B73AA7"/>
    <w:rsid w:val="00B73B1A"/>
    <w:rsid w:val="00B73B7F"/>
    <w:rsid w:val="00B73C36"/>
    <w:rsid w:val="00B73D90"/>
    <w:rsid w:val="00B73DB3"/>
    <w:rsid w:val="00B73DE0"/>
    <w:rsid w:val="00B73E90"/>
    <w:rsid w:val="00B73EF0"/>
    <w:rsid w:val="00B73F99"/>
    <w:rsid w:val="00B74004"/>
    <w:rsid w:val="00B74089"/>
    <w:rsid w:val="00B740BA"/>
    <w:rsid w:val="00B740DE"/>
    <w:rsid w:val="00B7411E"/>
    <w:rsid w:val="00B74159"/>
    <w:rsid w:val="00B741C1"/>
    <w:rsid w:val="00B74225"/>
    <w:rsid w:val="00B7422E"/>
    <w:rsid w:val="00B742E1"/>
    <w:rsid w:val="00B74365"/>
    <w:rsid w:val="00B7438C"/>
    <w:rsid w:val="00B743F9"/>
    <w:rsid w:val="00B7441F"/>
    <w:rsid w:val="00B7447B"/>
    <w:rsid w:val="00B746AE"/>
    <w:rsid w:val="00B74734"/>
    <w:rsid w:val="00B748A0"/>
    <w:rsid w:val="00B74900"/>
    <w:rsid w:val="00B7498A"/>
    <w:rsid w:val="00B74A17"/>
    <w:rsid w:val="00B74B0B"/>
    <w:rsid w:val="00B74B8E"/>
    <w:rsid w:val="00B74C11"/>
    <w:rsid w:val="00B74CD0"/>
    <w:rsid w:val="00B74CDB"/>
    <w:rsid w:val="00B74D1D"/>
    <w:rsid w:val="00B74D39"/>
    <w:rsid w:val="00B74D62"/>
    <w:rsid w:val="00B74EC3"/>
    <w:rsid w:val="00B74F04"/>
    <w:rsid w:val="00B74FB8"/>
    <w:rsid w:val="00B74FDC"/>
    <w:rsid w:val="00B75025"/>
    <w:rsid w:val="00B7502B"/>
    <w:rsid w:val="00B75079"/>
    <w:rsid w:val="00B75095"/>
    <w:rsid w:val="00B7515C"/>
    <w:rsid w:val="00B7516E"/>
    <w:rsid w:val="00B7517F"/>
    <w:rsid w:val="00B751A7"/>
    <w:rsid w:val="00B75214"/>
    <w:rsid w:val="00B7521C"/>
    <w:rsid w:val="00B7529C"/>
    <w:rsid w:val="00B752C6"/>
    <w:rsid w:val="00B752D4"/>
    <w:rsid w:val="00B75487"/>
    <w:rsid w:val="00B754A5"/>
    <w:rsid w:val="00B75519"/>
    <w:rsid w:val="00B7555F"/>
    <w:rsid w:val="00B75708"/>
    <w:rsid w:val="00B75776"/>
    <w:rsid w:val="00B7589B"/>
    <w:rsid w:val="00B7589E"/>
    <w:rsid w:val="00B758BE"/>
    <w:rsid w:val="00B759A6"/>
    <w:rsid w:val="00B759D4"/>
    <w:rsid w:val="00B759D7"/>
    <w:rsid w:val="00B75B18"/>
    <w:rsid w:val="00B75B1B"/>
    <w:rsid w:val="00B75B57"/>
    <w:rsid w:val="00B75B74"/>
    <w:rsid w:val="00B75C14"/>
    <w:rsid w:val="00B75C22"/>
    <w:rsid w:val="00B75C71"/>
    <w:rsid w:val="00B75CA7"/>
    <w:rsid w:val="00B75CE5"/>
    <w:rsid w:val="00B75DD7"/>
    <w:rsid w:val="00B75E75"/>
    <w:rsid w:val="00B75E7C"/>
    <w:rsid w:val="00B75F1D"/>
    <w:rsid w:val="00B75F5C"/>
    <w:rsid w:val="00B75F6A"/>
    <w:rsid w:val="00B76056"/>
    <w:rsid w:val="00B76079"/>
    <w:rsid w:val="00B7612F"/>
    <w:rsid w:val="00B761CB"/>
    <w:rsid w:val="00B76200"/>
    <w:rsid w:val="00B76206"/>
    <w:rsid w:val="00B76246"/>
    <w:rsid w:val="00B7632F"/>
    <w:rsid w:val="00B76397"/>
    <w:rsid w:val="00B763CA"/>
    <w:rsid w:val="00B763F3"/>
    <w:rsid w:val="00B76426"/>
    <w:rsid w:val="00B7649C"/>
    <w:rsid w:val="00B765B4"/>
    <w:rsid w:val="00B765C9"/>
    <w:rsid w:val="00B7666C"/>
    <w:rsid w:val="00B76754"/>
    <w:rsid w:val="00B76766"/>
    <w:rsid w:val="00B7683D"/>
    <w:rsid w:val="00B768F5"/>
    <w:rsid w:val="00B76903"/>
    <w:rsid w:val="00B76923"/>
    <w:rsid w:val="00B76967"/>
    <w:rsid w:val="00B76AA3"/>
    <w:rsid w:val="00B76B08"/>
    <w:rsid w:val="00B76B16"/>
    <w:rsid w:val="00B76B9A"/>
    <w:rsid w:val="00B76BA7"/>
    <w:rsid w:val="00B76C44"/>
    <w:rsid w:val="00B76C61"/>
    <w:rsid w:val="00B76D7B"/>
    <w:rsid w:val="00B76DC8"/>
    <w:rsid w:val="00B76DE7"/>
    <w:rsid w:val="00B76EE5"/>
    <w:rsid w:val="00B76F1E"/>
    <w:rsid w:val="00B76F2A"/>
    <w:rsid w:val="00B76F2E"/>
    <w:rsid w:val="00B770E8"/>
    <w:rsid w:val="00B77276"/>
    <w:rsid w:val="00B7729E"/>
    <w:rsid w:val="00B772BC"/>
    <w:rsid w:val="00B7736F"/>
    <w:rsid w:val="00B77380"/>
    <w:rsid w:val="00B7741A"/>
    <w:rsid w:val="00B7743D"/>
    <w:rsid w:val="00B77460"/>
    <w:rsid w:val="00B77465"/>
    <w:rsid w:val="00B7765E"/>
    <w:rsid w:val="00B77662"/>
    <w:rsid w:val="00B776E6"/>
    <w:rsid w:val="00B777F8"/>
    <w:rsid w:val="00B77898"/>
    <w:rsid w:val="00B77951"/>
    <w:rsid w:val="00B779A9"/>
    <w:rsid w:val="00B779B0"/>
    <w:rsid w:val="00B779DB"/>
    <w:rsid w:val="00B77A03"/>
    <w:rsid w:val="00B77AEF"/>
    <w:rsid w:val="00B77BC7"/>
    <w:rsid w:val="00B77C40"/>
    <w:rsid w:val="00B77C71"/>
    <w:rsid w:val="00B77C79"/>
    <w:rsid w:val="00B77CD7"/>
    <w:rsid w:val="00B77CE0"/>
    <w:rsid w:val="00B77CF2"/>
    <w:rsid w:val="00B77DEE"/>
    <w:rsid w:val="00B77E4F"/>
    <w:rsid w:val="00B77ECC"/>
    <w:rsid w:val="00B77F4E"/>
    <w:rsid w:val="00B77FCD"/>
    <w:rsid w:val="00B800CA"/>
    <w:rsid w:val="00B80190"/>
    <w:rsid w:val="00B801AB"/>
    <w:rsid w:val="00B8029D"/>
    <w:rsid w:val="00B802E7"/>
    <w:rsid w:val="00B80329"/>
    <w:rsid w:val="00B80377"/>
    <w:rsid w:val="00B803F2"/>
    <w:rsid w:val="00B80471"/>
    <w:rsid w:val="00B80622"/>
    <w:rsid w:val="00B806BC"/>
    <w:rsid w:val="00B806CF"/>
    <w:rsid w:val="00B8070F"/>
    <w:rsid w:val="00B80731"/>
    <w:rsid w:val="00B807AB"/>
    <w:rsid w:val="00B809A2"/>
    <w:rsid w:val="00B809E1"/>
    <w:rsid w:val="00B809E4"/>
    <w:rsid w:val="00B80A3A"/>
    <w:rsid w:val="00B80B5D"/>
    <w:rsid w:val="00B80B91"/>
    <w:rsid w:val="00B80BA8"/>
    <w:rsid w:val="00B80C5E"/>
    <w:rsid w:val="00B80D06"/>
    <w:rsid w:val="00B80E23"/>
    <w:rsid w:val="00B80E7F"/>
    <w:rsid w:val="00B80EE2"/>
    <w:rsid w:val="00B80F0C"/>
    <w:rsid w:val="00B80F9B"/>
    <w:rsid w:val="00B80FA9"/>
    <w:rsid w:val="00B80FCF"/>
    <w:rsid w:val="00B81000"/>
    <w:rsid w:val="00B810A1"/>
    <w:rsid w:val="00B810C4"/>
    <w:rsid w:val="00B810DB"/>
    <w:rsid w:val="00B8112C"/>
    <w:rsid w:val="00B81218"/>
    <w:rsid w:val="00B81220"/>
    <w:rsid w:val="00B81222"/>
    <w:rsid w:val="00B81262"/>
    <w:rsid w:val="00B8126A"/>
    <w:rsid w:val="00B8128B"/>
    <w:rsid w:val="00B81399"/>
    <w:rsid w:val="00B8142F"/>
    <w:rsid w:val="00B81530"/>
    <w:rsid w:val="00B81542"/>
    <w:rsid w:val="00B81561"/>
    <w:rsid w:val="00B81583"/>
    <w:rsid w:val="00B8158F"/>
    <w:rsid w:val="00B81600"/>
    <w:rsid w:val="00B81692"/>
    <w:rsid w:val="00B817B1"/>
    <w:rsid w:val="00B8180B"/>
    <w:rsid w:val="00B8190D"/>
    <w:rsid w:val="00B81922"/>
    <w:rsid w:val="00B81A75"/>
    <w:rsid w:val="00B81AB0"/>
    <w:rsid w:val="00B81B29"/>
    <w:rsid w:val="00B81C53"/>
    <w:rsid w:val="00B81C61"/>
    <w:rsid w:val="00B81E09"/>
    <w:rsid w:val="00B82001"/>
    <w:rsid w:val="00B8207E"/>
    <w:rsid w:val="00B82086"/>
    <w:rsid w:val="00B820AF"/>
    <w:rsid w:val="00B8217C"/>
    <w:rsid w:val="00B82186"/>
    <w:rsid w:val="00B821EB"/>
    <w:rsid w:val="00B82278"/>
    <w:rsid w:val="00B822B6"/>
    <w:rsid w:val="00B822FD"/>
    <w:rsid w:val="00B82307"/>
    <w:rsid w:val="00B8249A"/>
    <w:rsid w:val="00B824B1"/>
    <w:rsid w:val="00B825A1"/>
    <w:rsid w:val="00B82610"/>
    <w:rsid w:val="00B82693"/>
    <w:rsid w:val="00B826BE"/>
    <w:rsid w:val="00B82763"/>
    <w:rsid w:val="00B827CF"/>
    <w:rsid w:val="00B8282C"/>
    <w:rsid w:val="00B828EC"/>
    <w:rsid w:val="00B8299F"/>
    <w:rsid w:val="00B82A44"/>
    <w:rsid w:val="00B82ACE"/>
    <w:rsid w:val="00B82BE5"/>
    <w:rsid w:val="00B82C9C"/>
    <w:rsid w:val="00B82CC6"/>
    <w:rsid w:val="00B82CE2"/>
    <w:rsid w:val="00B82DB2"/>
    <w:rsid w:val="00B82DEF"/>
    <w:rsid w:val="00B82E62"/>
    <w:rsid w:val="00B82EEC"/>
    <w:rsid w:val="00B82F03"/>
    <w:rsid w:val="00B82F18"/>
    <w:rsid w:val="00B82F23"/>
    <w:rsid w:val="00B82F46"/>
    <w:rsid w:val="00B8302E"/>
    <w:rsid w:val="00B830F5"/>
    <w:rsid w:val="00B83109"/>
    <w:rsid w:val="00B831FC"/>
    <w:rsid w:val="00B8320C"/>
    <w:rsid w:val="00B83263"/>
    <w:rsid w:val="00B83289"/>
    <w:rsid w:val="00B832B1"/>
    <w:rsid w:val="00B8346A"/>
    <w:rsid w:val="00B834B1"/>
    <w:rsid w:val="00B834BC"/>
    <w:rsid w:val="00B8352D"/>
    <w:rsid w:val="00B835B6"/>
    <w:rsid w:val="00B83622"/>
    <w:rsid w:val="00B8378A"/>
    <w:rsid w:val="00B8379D"/>
    <w:rsid w:val="00B83844"/>
    <w:rsid w:val="00B83859"/>
    <w:rsid w:val="00B838BB"/>
    <w:rsid w:val="00B83908"/>
    <w:rsid w:val="00B8390D"/>
    <w:rsid w:val="00B8391E"/>
    <w:rsid w:val="00B83936"/>
    <w:rsid w:val="00B8396C"/>
    <w:rsid w:val="00B839EF"/>
    <w:rsid w:val="00B83A84"/>
    <w:rsid w:val="00B83B22"/>
    <w:rsid w:val="00B83B5C"/>
    <w:rsid w:val="00B83B74"/>
    <w:rsid w:val="00B83B88"/>
    <w:rsid w:val="00B83B98"/>
    <w:rsid w:val="00B83C60"/>
    <w:rsid w:val="00B83C87"/>
    <w:rsid w:val="00B83EF3"/>
    <w:rsid w:val="00B84038"/>
    <w:rsid w:val="00B84087"/>
    <w:rsid w:val="00B84088"/>
    <w:rsid w:val="00B840E6"/>
    <w:rsid w:val="00B84107"/>
    <w:rsid w:val="00B84135"/>
    <w:rsid w:val="00B84205"/>
    <w:rsid w:val="00B84406"/>
    <w:rsid w:val="00B84481"/>
    <w:rsid w:val="00B844B8"/>
    <w:rsid w:val="00B844CC"/>
    <w:rsid w:val="00B8453C"/>
    <w:rsid w:val="00B8460C"/>
    <w:rsid w:val="00B846F4"/>
    <w:rsid w:val="00B8475A"/>
    <w:rsid w:val="00B8478A"/>
    <w:rsid w:val="00B84795"/>
    <w:rsid w:val="00B848C0"/>
    <w:rsid w:val="00B84995"/>
    <w:rsid w:val="00B849A2"/>
    <w:rsid w:val="00B84AA1"/>
    <w:rsid w:val="00B84ABF"/>
    <w:rsid w:val="00B84C14"/>
    <w:rsid w:val="00B84C2D"/>
    <w:rsid w:val="00B84CA2"/>
    <w:rsid w:val="00B84CAC"/>
    <w:rsid w:val="00B84CB4"/>
    <w:rsid w:val="00B84CDB"/>
    <w:rsid w:val="00B84D37"/>
    <w:rsid w:val="00B84D3F"/>
    <w:rsid w:val="00B84D56"/>
    <w:rsid w:val="00B84E61"/>
    <w:rsid w:val="00B84E65"/>
    <w:rsid w:val="00B84E81"/>
    <w:rsid w:val="00B84EA0"/>
    <w:rsid w:val="00B84F31"/>
    <w:rsid w:val="00B84F9D"/>
    <w:rsid w:val="00B84FA0"/>
    <w:rsid w:val="00B8507A"/>
    <w:rsid w:val="00B85097"/>
    <w:rsid w:val="00B85170"/>
    <w:rsid w:val="00B851A8"/>
    <w:rsid w:val="00B8522A"/>
    <w:rsid w:val="00B85235"/>
    <w:rsid w:val="00B852DF"/>
    <w:rsid w:val="00B8535F"/>
    <w:rsid w:val="00B853A6"/>
    <w:rsid w:val="00B85408"/>
    <w:rsid w:val="00B85470"/>
    <w:rsid w:val="00B85476"/>
    <w:rsid w:val="00B85504"/>
    <w:rsid w:val="00B85521"/>
    <w:rsid w:val="00B855A4"/>
    <w:rsid w:val="00B8581F"/>
    <w:rsid w:val="00B85840"/>
    <w:rsid w:val="00B858AF"/>
    <w:rsid w:val="00B8591C"/>
    <w:rsid w:val="00B8594E"/>
    <w:rsid w:val="00B8595A"/>
    <w:rsid w:val="00B859C8"/>
    <w:rsid w:val="00B859E7"/>
    <w:rsid w:val="00B85ADE"/>
    <w:rsid w:val="00B85B73"/>
    <w:rsid w:val="00B85BC9"/>
    <w:rsid w:val="00B85C70"/>
    <w:rsid w:val="00B85CAB"/>
    <w:rsid w:val="00B85D81"/>
    <w:rsid w:val="00B85DB6"/>
    <w:rsid w:val="00B85E1D"/>
    <w:rsid w:val="00B85E66"/>
    <w:rsid w:val="00B85EC6"/>
    <w:rsid w:val="00B85F0A"/>
    <w:rsid w:val="00B85F41"/>
    <w:rsid w:val="00B85F7B"/>
    <w:rsid w:val="00B86061"/>
    <w:rsid w:val="00B86091"/>
    <w:rsid w:val="00B860BB"/>
    <w:rsid w:val="00B8616C"/>
    <w:rsid w:val="00B8626A"/>
    <w:rsid w:val="00B8628E"/>
    <w:rsid w:val="00B862BE"/>
    <w:rsid w:val="00B862E8"/>
    <w:rsid w:val="00B86369"/>
    <w:rsid w:val="00B863A7"/>
    <w:rsid w:val="00B863D1"/>
    <w:rsid w:val="00B8643C"/>
    <w:rsid w:val="00B86483"/>
    <w:rsid w:val="00B864A6"/>
    <w:rsid w:val="00B864AF"/>
    <w:rsid w:val="00B864D8"/>
    <w:rsid w:val="00B86573"/>
    <w:rsid w:val="00B865D1"/>
    <w:rsid w:val="00B866B0"/>
    <w:rsid w:val="00B8675D"/>
    <w:rsid w:val="00B8675F"/>
    <w:rsid w:val="00B8678E"/>
    <w:rsid w:val="00B8679E"/>
    <w:rsid w:val="00B867C7"/>
    <w:rsid w:val="00B86841"/>
    <w:rsid w:val="00B86876"/>
    <w:rsid w:val="00B8690F"/>
    <w:rsid w:val="00B8696F"/>
    <w:rsid w:val="00B8698B"/>
    <w:rsid w:val="00B8699A"/>
    <w:rsid w:val="00B869F8"/>
    <w:rsid w:val="00B86A04"/>
    <w:rsid w:val="00B86B28"/>
    <w:rsid w:val="00B86B44"/>
    <w:rsid w:val="00B86B5A"/>
    <w:rsid w:val="00B86C7C"/>
    <w:rsid w:val="00B86C99"/>
    <w:rsid w:val="00B86D51"/>
    <w:rsid w:val="00B86DEB"/>
    <w:rsid w:val="00B86E88"/>
    <w:rsid w:val="00B86E91"/>
    <w:rsid w:val="00B86EA5"/>
    <w:rsid w:val="00B86EA9"/>
    <w:rsid w:val="00B86F34"/>
    <w:rsid w:val="00B86FA3"/>
    <w:rsid w:val="00B8705B"/>
    <w:rsid w:val="00B87118"/>
    <w:rsid w:val="00B871F6"/>
    <w:rsid w:val="00B87258"/>
    <w:rsid w:val="00B8725B"/>
    <w:rsid w:val="00B872EA"/>
    <w:rsid w:val="00B87303"/>
    <w:rsid w:val="00B87344"/>
    <w:rsid w:val="00B87390"/>
    <w:rsid w:val="00B873CE"/>
    <w:rsid w:val="00B87431"/>
    <w:rsid w:val="00B8743B"/>
    <w:rsid w:val="00B87496"/>
    <w:rsid w:val="00B874C4"/>
    <w:rsid w:val="00B87571"/>
    <w:rsid w:val="00B875EF"/>
    <w:rsid w:val="00B875F8"/>
    <w:rsid w:val="00B876CC"/>
    <w:rsid w:val="00B876DE"/>
    <w:rsid w:val="00B878B9"/>
    <w:rsid w:val="00B878C1"/>
    <w:rsid w:val="00B87942"/>
    <w:rsid w:val="00B879E1"/>
    <w:rsid w:val="00B87A45"/>
    <w:rsid w:val="00B87A54"/>
    <w:rsid w:val="00B87A6F"/>
    <w:rsid w:val="00B87B43"/>
    <w:rsid w:val="00B87C2B"/>
    <w:rsid w:val="00B87CCB"/>
    <w:rsid w:val="00B87CDB"/>
    <w:rsid w:val="00B87D27"/>
    <w:rsid w:val="00B87D38"/>
    <w:rsid w:val="00B87D4C"/>
    <w:rsid w:val="00B87D71"/>
    <w:rsid w:val="00B87DD6"/>
    <w:rsid w:val="00B87DF6"/>
    <w:rsid w:val="00B87E64"/>
    <w:rsid w:val="00B87E76"/>
    <w:rsid w:val="00B87E7E"/>
    <w:rsid w:val="00B87EAC"/>
    <w:rsid w:val="00B87F78"/>
    <w:rsid w:val="00B87FC9"/>
    <w:rsid w:val="00B90330"/>
    <w:rsid w:val="00B90379"/>
    <w:rsid w:val="00B903DB"/>
    <w:rsid w:val="00B90458"/>
    <w:rsid w:val="00B90486"/>
    <w:rsid w:val="00B905B2"/>
    <w:rsid w:val="00B906BD"/>
    <w:rsid w:val="00B9071B"/>
    <w:rsid w:val="00B9079A"/>
    <w:rsid w:val="00B907C6"/>
    <w:rsid w:val="00B908DE"/>
    <w:rsid w:val="00B90913"/>
    <w:rsid w:val="00B90945"/>
    <w:rsid w:val="00B909E4"/>
    <w:rsid w:val="00B90A28"/>
    <w:rsid w:val="00B90A58"/>
    <w:rsid w:val="00B90A9A"/>
    <w:rsid w:val="00B90B32"/>
    <w:rsid w:val="00B90B80"/>
    <w:rsid w:val="00B90BB6"/>
    <w:rsid w:val="00B90C6D"/>
    <w:rsid w:val="00B90C79"/>
    <w:rsid w:val="00B90D1A"/>
    <w:rsid w:val="00B90E6D"/>
    <w:rsid w:val="00B90EB0"/>
    <w:rsid w:val="00B90F10"/>
    <w:rsid w:val="00B90F29"/>
    <w:rsid w:val="00B90F3A"/>
    <w:rsid w:val="00B90FF5"/>
    <w:rsid w:val="00B9103D"/>
    <w:rsid w:val="00B910C9"/>
    <w:rsid w:val="00B910E2"/>
    <w:rsid w:val="00B910F2"/>
    <w:rsid w:val="00B912A8"/>
    <w:rsid w:val="00B9131D"/>
    <w:rsid w:val="00B91341"/>
    <w:rsid w:val="00B9135E"/>
    <w:rsid w:val="00B913FF"/>
    <w:rsid w:val="00B91447"/>
    <w:rsid w:val="00B91464"/>
    <w:rsid w:val="00B91481"/>
    <w:rsid w:val="00B9155D"/>
    <w:rsid w:val="00B91576"/>
    <w:rsid w:val="00B91693"/>
    <w:rsid w:val="00B916A3"/>
    <w:rsid w:val="00B9178D"/>
    <w:rsid w:val="00B91814"/>
    <w:rsid w:val="00B91824"/>
    <w:rsid w:val="00B918B6"/>
    <w:rsid w:val="00B9195D"/>
    <w:rsid w:val="00B91A27"/>
    <w:rsid w:val="00B91B29"/>
    <w:rsid w:val="00B91B3E"/>
    <w:rsid w:val="00B91C07"/>
    <w:rsid w:val="00B91C4E"/>
    <w:rsid w:val="00B91C98"/>
    <w:rsid w:val="00B91CA4"/>
    <w:rsid w:val="00B91D88"/>
    <w:rsid w:val="00B91DA8"/>
    <w:rsid w:val="00B91EB0"/>
    <w:rsid w:val="00B91F79"/>
    <w:rsid w:val="00B9200F"/>
    <w:rsid w:val="00B92037"/>
    <w:rsid w:val="00B92089"/>
    <w:rsid w:val="00B920F7"/>
    <w:rsid w:val="00B92150"/>
    <w:rsid w:val="00B92176"/>
    <w:rsid w:val="00B921D2"/>
    <w:rsid w:val="00B9222F"/>
    <w:rsid w:val="00B9223A"/>
    <w:rsid w:val="00B92258"/>
    <w:rsid w:val="00B922E8"/>
    <w:rsid w:val="00B922FE"/>
    <w:rsid w:val="00B92301"/>
    <w:rsid w:val="00B92362"/>
    <w:rsid w:val="00B924B0"/>
    <w:rsid w:val="00B92569"/>
    <w:rsid w:val="00B925DF"/>
    <w:rsid w:val="00B92636"/>
    <w:rsid w:val="00B92689"/>
    <w:rsid w:val="00B9268C"/>
    <w:rsid w:val="00B92764"/>
    <w:rsid w:val="00B92776"/>
    <w:rsid w:val="00B927A1"/>
    <w:rsid w:val="00B928DF"/>
    <w:rsid w:val="00B929E5"/>
    <w:rsid w:val="00B92ABB"/>
    <w:rsid w:val="00B92B03"/>
    <w:rsid w:val="00B92B52"/>
    <w:rsid w:val="00B92BA5"/>
    <w:rsid w:val="00B92C72"/>
    <w:rsid w:val="00B92D6C"/>
    <w:rsid w:val="00B92E59"/>
    <w:rsid w:val="00B92E5C"/>
    <w:rsid w:val="00B92E6D"/>
    <w:rsid w:val="00B92EB3"/>
    <w:rsid w:val="00B92F23"/>
    <w:rsid w:val="00B92FA7"/>
    <w:rsid w:val="00B92FAF"/>
    <w:rsid w:val="00B930EF"/>
    <w:rsid w:val="00B93131"/>
    <w:rsid w:val="00B93164"/>
    <w:rsid w:val="00B9329A"/>
    <w:rsid w:val="00B932C6"/>
    <w:rsid w:val="00B932D5"/>
    <w:rsid w:val="00B9336B"/>
    <w:rsid w:val="00B933AD"/>
    <w:rsid w:val="00B933C7"/>
    <w:rsid w:val="00B93445"/>
    <w:rsid w:val="00B93460"/>
    <w:rsid w:val="00B9351E"/>
    <w:rsid w:val="00B9352A"/>
    <w:rsid w:val="00B9355C"/>
    <w:rsid w:val="00B935E9"/>
    <w:rsid w:val="00B935F0"/>
    <w:rsid w:val="00B936D5"/>
    <w:rsid w:val="00B937D6"/>
    <w:rsid w:val="00B93906"/>
    <w:rsid w:val="00B93A36"/>
    <w:rsid w:val="00B93AAB"/>
    <w:rsid w:val="00B93B8F"/>
    <w:rsid w:val="00B93C0F"/>
    <w:rsid w:val="00B93C85"/>
    <w:rsid w:val="00B93CA9"/>
    <w:rsid w:val="00B93D87"/>
    <w:rsid w:val="00B93DDD"/>
    <w:rsid w:val="00B93E04"/>
    <w:rsid w:val="00B93E19"/>
    <w:rsid w:val="00B93E8F"/>
    <w:rsid w:val="00B93F33"/>
    <w:rsid w:val="00B93F7A"/>
    <w:rsid w:val="00B93F81"/>
    <w:rsid w:val="00B93FCA"/>
    <w:rsid w:val="00B9408F"/>
    <w:rsid w:val="00B940DB"/>
    <w:rsid w:val="00B94148"/>
    <w:rsid w:val="00B941F8"/>
    <w:rsid w:val="00B94278"/>
    <w:rsid w:val="00B942AE"/>
    <w:rsid w:val="00B942D7"/>
    <w:rsid w:val="00B94307"/>
    <w:rsid w:val="00B9435B"/>
    <w:rsid w:val="00B943E5"/>
    <w:rsid w:val="00B94490"/>
    <w:rsid w:val="00B94532"/>
    <w:rsid w:val="00B945C6"/>
    <w:rsid w:val="00B94605"/>
    <w:rsid w:val="00B94617"/>
    <w:rsid w:val="00B946D0"/>
    <w:rsid w:val="00B94707"/>
    <w:rsid w:val="00B9477E"/>
    <w:rsid w:val="00B94802"/>
    <w:rsid w:val="00B94812"/>
    <w:rsid w:val="00B94830"/>
    <w:rsid w:val="00B94831"/>
    <w:rsid w:val="00B94900"/>
    <w:rsid w:val="00B949D2"/>
    <w:rsid w:val="00B94A18"/>
    <w:rsid w:val="00B94B89"/>
    <w:rsid w:val="00B94B9C"/>
    <w:rsid w:val="00B94BA6"/>
    <w:rsid w:val="00B94BB9"/>
    <w:rsid w:val="00B94C20"/>
    <w:rsid w:val="00B94C31"/>
    <w:rsid w:val="00B94C5E"/>
    <w:rsid w:val="00B94C99"/>
    <w:rsid w:val="00B94CC8"/>
    <w:rsid w:val="00B94F36"/>
    <w:rsid w:val="00B950D3"/>
    <w:rsid w:val="00B951AB"/>
    <w:rsid w:val="00B951D9"/>
    <w:rsid w:val="00B951E4"/>
    <w:rsid w:val="00B95242"/>
    <w:rsid w:val="00B9525A"/>
    <w:rsid w:val="00B9527E"/>
    <w:rsid w:val="00B95334"/>
    <w:rsid w:val="00B95358"/>
    <w:rsid w:val="00B95441"/>
    <w:rsid w:val="00B9546F"/>
    <w:rsid w:val="00B954A0"/>
    <w:rsid w:val="00B9556F"/>
    <w:rsid w:val="00B95570"/>
    <w:rsid w:val="00B95627"/>
    <w:rsid w:val="00B95680"/>
    <w:rsid w:val="00B957D6"/>
    <w:rsid w:val="00B95809"/>
    <w:rsid w:val="00B95817"/>
    <w:rsid w:val="00B95881"/>
    <w:rsid w:val="00B958B7"/>
    <w:rsid w:val="00B9596C"/>
    <w:rsid w:val="00B95998"/>
    <w:rsid w:val="00B959BF"/>
    <w:rsid w:val="00B959DE"/>
    <w:rsid w:val="00B95A7A"/>
    <w:rsid w:val="00B95AC7"/>
    <w:rsid w:val="00B95C8E"/>
    <w:rsid w:val="00B95CC0"/>
    <w:rsid w:val="00B95D50"/>
    <w:rsid w:val="00B95DAD"/>
    <w:rsid w:val="00B95E0F"/>
    <w:rsid w:val="00B95E98"/>
    <w:rsid w:val="00B95EA1"/>
    <w:rsid w:val="00B95EB0"/>
    <w:rsid w:val="00B95FCD"/>
    <w:rsid w:val="00B96010"/>
    <w:rsid w:val="00B9601C"/>
    <w:rsid w:val="00B9603A"/>
    <w:rsid w:val="00B96075"/>
    <w:rsid w:val="00B960CD"/>
    <w:rsid w:val="00B960EC"/>
    <w:rsid w:val="00B960FB"/>
    <w:rsid w:val="00B96124"/>
    <w:rsid w:val="00B961FA"/>
    <w:rsid w:val="00B96259"/>
    <w:rsid w:val="00B962D2"/>
    <w:rsid w:val="00B96335"/>
    <w:rsid w:val="00B963E8"/>
    <w:rsid w:val="00B963FA"/>
    <w:rsid w:val="00B96466"/>
    <w:rsid w:val="00B96552"/>
    <w:rsid w:val="00B96607"/>
    <w:rsid w:val="00B9673B"/>
    <w:rsid w:val="00B967B8"/>
    <w:rsid w:val="00B9683E"/>
    <w:rsid w:val="00B968CC"/>
    <w:rsid w:val="00B968CD"/>
    <w:rsid w:val="00B968E4"/>
    <w:rsid w:val="00B9696D"/>
    <w:rsid w:val="00B96979"/>
    <w:rsid w:val="00B96B29"/>
    <w:rsid w:val="00B96B2D"/>
    <w:rsid w:val="00B96C28"/>
    <w:rsid w:val="00B96C54"/>
    <w:rsid w:val="00B96D49"/>
    <w:rsid w:val="00B96DD6"/>
    <w:rsid w:val="00B96FD8"/>
    <w:rsid w:val="00B9709B"/>
    <w:rsid w:val="00B97163"/>
    <w:rsid w:val="00B97187"/>
    <w:rsid w:val="00B972CA"/>
    <w:rsid w:val="00B972D3"/>
    <w:rsid w:val="00B972EB"/>
    <w:rsid w:val="00B972FF"/>
    <w:rsid w:val="00B97327"/>
    <w:rsid w:val="00B97334"/>
    <w:rsid w:val="00B97345"/>
    <w:rsid w:val="00B9739B"/>
    <w:rsid w:val="00B973EE"/>
    <w:rsid w:val="00B9743A"/>
    <w:rsid w:val="00B974C8"/>
    <w:rsid w:val="00B974FE"/>
    <w:rsid w:val="00B97570"/>
    <w:rsid w:val="00B976AE"/>
    <w:rsid w:val="00B97727"/>
    <w:rsid w:val="00B9786E"/>
    <w:rsid w:val="00B97954"/>
    <w:rsid w:val="00B9798A"/>
    <w:rsid w:val="00B97A07"/>
    <w:rsid w:val="00B97A94"/>
    <w:rsid w:val="00B97B24"/>
    <w:rsid w:val="00B97B2E"/>
    <w:rsid w:val="00B97B34"/>
    <w:rsid w:val="00B97B49"/>
    <w:rsid w:val="00B97B5F"/>
    <w:rsid w:val="00B97BA0"/>
    <w:rsid w:val="00B97BFB"/>
    <w:rsid w:val="00B97C10"/>
    <w:rsid w:val="00B97C1E"/>
    <w:rsid w:val="00B97CC2"/>
    <w:rsid w:val="00B97D16"/>
    <w:rsid w:val="00B97D36"/>
    <w:rsid w:val="00B97DBA"/>
    <w:rsid w:val="00B97E2A"/>
    <w:rsid w:val="00B97E4D"/>
    <w:rsid w:val="00B97E75"/>
    <w:rsid w:val="00B97EBD"/>
    <w:rsid w:val="00B97F79"/>
    <w:rsid w:val="00BA0003"/>
    <w:rsid w:val="00BA0138"/>
    <w:rsid w:val="00BA015C"/>
    <w:rsid w:val="00BA01CE"/>
    <w:rsid w:val="00BA01ED"/>
    <w:rsid w:val="00BA01F6"/>
    <w:rsid w:val="00BA0242"/>
    <w:rsid w:val="00BA02E0"/>
    <w:rsid w:val="00BA02E4"/>
    <w:rsid w:val="00BA0319"/>
    <w:rsid w:val="00BA034E"/>
    <w:rsid w:val="00BA041C"/>
    <w:rsid w:val="00BA0447"/>
    <w:rsid w:val="00BA050A"/>
    <w:rsid w:val="00BA05DF"/>
    <w:rsid w:val="00BA0626"/>
    <w:rsid w:val="00BA0671"/>
    <w:rsid w:val="00BA06FE"/>
    <w:rsid w:val="00BA07A4"/>
    <w:rsid w:val="00BA07C2"/>
    <w:rsid w:val="00BA07FA"/>
    <w:rsid w:val="00BA0944"/>
    <w:rsid w:val="00BA099C"/>
    <w:rsid w:val="00BA09C9"/>
    <w:rsid w:val="00BA0A28"/>
    <w:rsid w:val="00BA0A4A"/>
    <w:rsid w:val="00BA0B33"/>
    <w:rsid w:val="00BA0CCB"/>
    <w:rsid w:val="00BA0D74"/>
    <w:rsid w:val="00BA0DC0"/>
    <w:rsid w:val="00BA0E0B"/>
    <w:rsid w:val="00BA0E8B"/>
    <w:rsid w:val="00BA0EE3"/>
    <w:rsid w:val="00BA0EF3"/>
    <w:rsid w:val="00BA0F58"/>
    <w:rsid w:val="00BA0F6A"/>
    <w:rsid w:val="00BA1018"/>
    <w:rsid w:val="00BA1024"/>
    <w:rsid w:val="00BA106C"/>
    <w:rsid w:val="00BA10BC"/>
    <w:rsid w:val="00BA1103"/>
    <w:rsid w:val="00BA1167"/>
    <w:rsid w:val="00BA11B9"/>
    <w:rsid w:val="00BA11D9"/>
    <w:rsid w:val="00BA1222"/>
    <w:rsid w:val="00BA122D"/>
    <w:rsid w:val="00BA1311"/>
    <w:rsid w:val="00BA1494"/>
    <w:rsid w:val="00BA14BA"/>
    <w:rsid w:val="00BA14F1"/>
    <w:rsid w:val="00BA15D3"/>
    <w:rsid w:val="00BA1662"/>
    <w:rsid w:val="00BA1672"/>
    <w:rsid w:val="00BA1682"/>
    <w:rsid w:val="00BA16A0"/>
    <w:rsid w:val="00BA16FE"/>
    <w:rsid w:val="00BA1715"/>
    <w:rsid w:val="00BA1742"/>
    <w:rsid w:val="00BA1801"/>
    <w:rsid w:val="00BA1889"/>
    <w:rsid w:val="00BA18F6"/>
    <w:rsid w:val="00BA19D0"/>
    <w:rsid w:val="00BA1A66"/>
    <w:rsid w:val="00BA1BE7"/>
    <w:rsid w:val="00BA1C1B"/>
    <w:rsid w:val="00BA1C3C"/>
    <w:rsid w:val="00BA1E13"/>
    <w:rsid w:val="00BA1E53"/>
    <w:rsid w:val="00BA1F25"/>
    <w:rsid w:val="00BA1FD6"/>
    <w:rsid w:val="00BA21E5"/>
    <w:rsid w:val="00BA2208"/>
    <w:rsid w:val="00BA2253"/>
    <w:rsid w:val="00BA24A0"/>
    <w:rsid w:val="00BA2583"/>
    <w:rsid w:val="00BA258B"/>
    <w:rsid w:val="00BA2607"/>
    <w:rsid w:val="00BA264C"/>
    <w:rsid w:val="00BA26D5"/>
    <w:rsid w:val="00BA26E7"/>
    <w:rsid w:val="00BA2735"/>
    <w:rsid w:val="00BA28A5"/>
    <w:rsid w:val="00BA28CD"/>
    <w:rsid w:val="00BA2904"/>
    <w:rsid w:val="00BA29D5"/>
    <w:rsid w:val="00BA2A8A"/>
    <w:rsid w:val="00BA2B5D"/>
    <w:rsid w:val="00BA2B63"/>
    <w:rsid w:val="00BA2D0A"/>
    <w:rsid w:val="00BA2D62"/>
    <w:rsid w:val="00BA2D65"/>
    <w:rsid w:val="00BA2DAF"/>
    <w:rsid w:val="00BA2DC8"/>
    <w:rsid w:val="00BA2E24"/>
    <w:rsid w:val="00BA2E6B"/>
    <w:rsid w:val="00BA2E98"/>
    <w:rsid w:val="00BA2EEA"/>
    <w:rsid w:val="00BA2F4E"/>
    <w:rsid w:val="00BA2FB1"/>
    <w:rsid w:val="00BA302C"/>
    <w:rsid w:val="00BA303A"/>
    <w:rsid w:val="00BA3077"/>
    <w:rsid w:val="00BA3179"/>
    <w:rsid w:val="00BA31AB"/>
    <w:rsid w:val="00BA322A"/>
    <w:rsid w:val="00BA3248"/>
    <w:rsid w:val="00BA3264"/>
    <w:rsid w:val="00BA3277"/>
    <w:rsid w:val="00BA3288"/>
    <w:rsid w:val="00BA32AB"/>
    <w:rsid w:val="00BA3460"/>
    <w:rsid w:val="00BA3665"/>
    <w:rsid w:val="00BA377B"/>
    <w:rsid w:val="00BA385D"/>
    <w:rsid w:val="00BA3891"/>
    <w:rsid w:val="00BA38AA"/>
    <w:rsid w:val="00BA38BB"/>
    <w:rsid w:val="00BA38F0"/>
    <w:rsid w:val="00BA39CC"/>
    <w:rsid w:val="00BA3A41"/>
    <w:rsid w:val="00BA3A9C"/>
    <w:rsid w:val="00BA3AB7"/>
    <w:rsid w:val="00BA3ABD"/>
    <w:rsid w:val="00BA3B1C"/>
    <w:rsid w:val="00BA3BAD"/>
    <w:rsid w:val="00BA3BC9"/>
    <w:rsid w:val="00BA3C41"/>
    <w:rsid w:val="00BA3C81"/>
    <w:rsid w:val="00BA3CE3"/>
    <w:rsid w:val="00BA3E13"/>
    <w:rsid w:val="00BA3E3B"/>
    <w:rsid w:val="00BA3EAE"/>
    <w:rsid w:val="00BA3ED4"/>
    <w:rsid w:val="00BA3F3B"/>
    <w:rsid w:val="00BA4019"/>
    <w:rsid w:val="00BA401E"/>
    <w:rsid w:val="00BA42B3"/>
    <w:rsid w:val="00BA42DC"/>
    <w:rsid w:val="00BA4390"/>
    <w:rsid w:val="00BA43EA"/>
    <w:rsid w:val="00BA444E"/>
    <w:rsid w:val="00BA44C9"/>
    <w:rsid w:val="00BA45C5"/>
    <w:rsid w:val="00BA4690"/>
    <w:rsid w:val="00BA46EC"/>
    <w:rsid w:val="00BA46F8"/>
    <w:rsid w:val="00BA4713"/>
    <w:rsid w:val="00BA479B"/>
    <w:rsid w:val="00BA49AB"/>
    <w:rsid w:val="00BA4A5F"/>
    <w:rsid w:val="00BA4A6A"/>
    <w:rsid w:val="00BA4BA9"/>
    <w:rsid w:val="00BA4C85"/>
    <w:rsid w:val="00BA4D57"/>
    <w:rsid w:val="00BA4DCE"/>
    <w:rsid w:val="00BA4DE0"/>
    <w:rsid w:val="00BA4E1F"/>
    <w:rsid w:val="00BA4F0A"/>
    <w:rsid w:val="00BA4F15"/>
    <w:rsid w:val="00BA4F5A"/>
    <w:rsid w:val="00BA500A"/>
    <w:rsid w:val="00BA5043"/>
    <w:rsid w:val="00BA50D8"/>
    <w:rsid w:val="00BA515F"/>
    <w:rsid w:val="00BA5234"/>
    <w:rsid w:val="00BA5334"/>
    <w:rsid w:val="00BA534F"/>
    <w:rsid w:val="00BA5359"/>
    <w:rsid w:val="00BA5393"/>
    <w:rsid w:val="00BA556E"/>
    <w:rsid w:val="00BA55C7"/>
    <w:rsid w:val="00BA55D6"/>
    <w:rsid w:val="00BA564E"/>
    <w:rsid w:val="00BA57A7"/>
    <w:rsid w:val="00BA5894"/>
    <w:rsid w:val="00BA591C"/>
    <w:rsid w:val="00BA593D"/>
    <w:rsid w:val="00BA5978"/>
    <w:rsid w:val="00BA59BC"/>
    <w:rsid w:val="00BA59EF"/>
    <w:rsid w:val="00BA5AB5"/>
    <w:rsid w:val="00BA5B14"/>
    <w:rsid w:val="00BA5B60"/>
    <w:rsid w:val="00BA5B7C"/>
    <w:rsid w:val="00BA5BB1"/>
    <w:rsid w:val="00BA5BE4"/>
    <w:rsid w:val="00BA5C11"/>
    <w:rsid w:val="00BA5C7C"/>
    <w:rsid w:val="00BA5D20"/>
    <w:rsid w:val="00BA5E17"/>
    <w:rsid w:val="00BA5EB9"/>
    <w:rsid w:val="00BA5EE4"/>
    <w:rsid w:val="00BA5EF1"/>
    <w:rsid w:val="00BA5F4A"/>
    <w:rsid w:val="00BA5F54"/>
    <w:rsid w:val="00BA5F84"/>
    <w:rsid w:val="00BA604C"/>
    <w:rsid w:val="00BA617A"/>
    <w:rsid w:val="00BA6205"/>
    <w:rsid w:val="00BA6250"/>
    <w:rsid w:val="00BA6280"/>
    <w:rsid w:val="00BA6350"/>
    <w:rsid w:val="00BA6372"/>
    <w:rsid w:val="00BA63CA"/>
    <w:rsid w:val="00BA63D6"/>
    <w:rsid w:val="00BA63E2"/>
    <w:rsid w:val="00BA63E7"/>
    <w:rsid w:val="00BA6408"/>
    <w:rsid w:val="00BA64CD"/>
    <w:rsid w:val="00BA64D1"/>
    <w:rsid w:val="00BA6530"/>
    <w:rsid w:val="00BA65BB"/>
    <w:rsid w:val="00BA65C6"/>
    <w:rsid w:val="00BA678E"/>
    <w:rsid w:val="00BA679B"/>
    <w:rsid w:val="00BA679F"/>
    <w:rsid w:val="00BA68A8"/>
    <w:rsid w:val="00BA6975"/>
    <w:rsid w:val="00BA69AC"/>
    <w:rsid w:val="00BA6A21"/>
    <w:rsid w:val="00BA6AAA"/>
    <w:rsid w:val="00BA6AC3"/>
    <w:rsid w:val="00BA6ACC"/>
    <w:rsid w:val="00BA6AD6"/>
    <w:rsid w:val="00BA6B22"/>
    <w:rsid w:val="00BA6B86"/>
    <w:rsid w:val="00BA6C10"/>
    <w:rsid w:val="00BA6C16"/>
    <w:rsid w:val="00BA6C24"/>
    <w:rsid w:val="00BA6C4A"/>
    <w:rsid w:val="00BA6CBA"/>
    <w:rsid w:val="00BA6D51"/>
    <w:rsid w:val="00BA6D85"/>
    <w:rsid w:val="00BA6E15"/>
    <w:rsid w:val="00BA6EC7"/>
    <w:rsid w:val="00BA6F0A"/>
    <w:rsid w:val="00BA6F5D"/>
    <w:rsid w:val="00BA70E5"/>
    <w:rsid w:val="00BA713F"/>
    <w:rsid w:val="00BA71B8"/>
    <w:rsid w:val="00BA71DD"/>
    <w:rsid w:val="00BA7231"/>
    <w:rsid w:val="00BA7293"/>
    <w:rsid w:val="00BA72A9"/>
    <w:rsid w:val="00BA7369"/>
    <w:rsid w:val="00BA745B"/>
    <w:rsid w:val="00BA74A2"/>
    <w:rsid w:val="00BA754A"/>
    <w:rsid w:val="00BA75D1"/>
    <w:rsid w:val="00BA75F7"/>
    <w:rsid w:val="00BA7679"/>
    <w:rsid w:val="00BA768D"/>
    <w:rsid w:val="00BA771F"/>
    <w:rsid w:val="00BA779A"/>
    <w:rsid w:val="00BA7859"/>
    <w:rsid w:val="00BA7947"/>
    <w:rsid w:val="00BA794D"/>
    <w:rsid w:val="00BA7969"/>
    <w:rsid w:val="00BA796C"/>
    <w:rsid w:val="00BA79D2"/>
    <w:rsid w:val="00BA7AE0"/>
    <w:rsid w:val="00BA7B1D"/>
    <w:rsid w:val="00BA7BA6"/>
    <w:rsid w:val="00BA7D56"/>
    <w:rsid w:val="00BA7D96"/>
    <w:rsid w:val="00BA7E9D"/>
    <w:rsid w:val="00BA7F32"/>
    <w:rsid w:val="00BA7FDC"/>
    <w:rsid w:val="00BB0027"/>
    <w:rsid w:val="00BB010F"/>
    <w:rsid w:val="00BB0134"/>
    <w:rsid w:val="00BB0239"/>
    <w:rsid w:val="00BB0254"/>
    <w:rsid w:val="00BB02A4"/>
    <w:rsid w:val="00BB02B5"/>
    <w:rsid w:val="00BB031E"/>
    <w:rsid w:val="00BB038E"/>
    <w:rsid w:val="00BB0455"/>
    <w:rsid w:val="00BB0471"/>
    <w:rsid w:val="00BB04D7"/>
    <w:rsid w:val="00BB04F1"/>
    <w:rsid w:val="00BB055A"/>
    <w:rsid w:val="00BB056E"/>
    <w:rsid w:val="00BB0596"/>
    <w:rsid w:val="00BB05FA"/>
    <w:rsid w:val="00BB0649"/>
    <w:rsid w:val="00BB0654"/>
    <w:rsid w:val="00BB0675"/>
    <w:rsid w:val="00BB0683"/>
    <w:rsid w:val="00BB076D"/>
    <w:rsid w:val="00BB0794"/>
    <w:rsid w:val="00BB092D"/>
    <w:rsid w:val="00BB0A5A"/>
    <w:rsid w:val="00BB0B0B"/>
    <w:rsid w:val="00BB0B8D"/>
    <w:rsid w:val="00BB0BF5"/>
    <w:rsid w:val="00BB0D5D"/>
    <w:rsid w:val="00BB0DAD"/>
    <w:rsid w:val="00BB0DDE"/>
    <w:rsid w:val="00BB0E71"/>
    <w:rsid w:val="00BB0E98"/>
    <w:rsid w:val="00BB0EBA"/>
    <w:rsid w:val="00BB0F70"/>
    <w:rsid w:val="00BB0FC4"/>
    <w:rsid w:val="00BB0FD9"/>
    <w:rsid w:val="00BB0FF0"/>
    <w:rsid w:val="00BB102D"/>
    <w:rsid w:val="00BB1042"/>
    <w:rsid w:val="00BB1143"/>
    <w:rsid w:val="00BB1166"/>
    <w:rsid w:val="00BB11E4"/>
    <w:rsid w:val="00BB1240"/>
    <w:rsid w:val="00BB139D"/>
    <w:rsid w:val="00BB13AE"/>
    <w:rsid w:val="00BB13EA"/>
    <w:rsid w:val="00BB1426"/>
    <w:rsid w:val="00BB14D3"/>
    <w:rsid w:val="00BB14F8"/>
    <w:rsid w:val="00BB1533"/>
    <w:rsid w:val="00BB15BD"/>
    <w:rsid w:val="00BB15EE"/>
    <w:rsid w:val="00BB163B"/>
    <w:rsid w:val="00BB165E"/>
    <w:rsid w:val="00BB167D"/>
    <w:rsid w:val="00BB16B8"/>
    <w:rsid w:val="00BB16D2"/>
    <w:rsid w:val="00BB1709"/>
    <w:rsid w:val="00BB1744"/>
    <w:rsid w:val="00BB178D"/>
    <w:rsid w:val="00BB17A6"/>
    <w:rsid w:val="00BB17BC"/>
    <w:rsid w:val="00BB17C9"/>
    <w:rsid w:val="00BB1810"/>
    <w:rsid w:val="00BB1889"/>
    <w:rsid w:val="00BB18A7"/>
    <w:rsid w:val="00BB18E2"/>
    <w:rsid w:val="00BB18FF"/>
    <w:rsid w:val="00BB1951"/>
    <w:rsid w:val="00BB1969"/>
    <w:rsid w:val="00BB19E6"/>
    <w:rsid w:val="00BB1A80"/>
    <w:rsid w:val="00BB1B7C"/>
    <w:rsid w:val="00BB1C40"/>
    <w:rsid w:val="00BB1C5D"/>
    <w:rsid w:val="00BB1CCE"/>
    <w:rsid w:val="00BB1DF6"/>
    <w:rsid w:val="00BB1E20"/>
    <w:rsid w:val="00BB1E43"/>
    <w:rsid w:val="00BB1EF6"/>
    <w:rsid w:val="00BB1F02"/>
    <w:rsid w:val="00BB1F60"/>
    <w:rsid w:val="00BB1F87"/>
    <w:rsid w:val="00BB1F99"/>
    <w:rsid w:val="00BB201E"/>
    <w:rsid w:val="00BB20E0"/>
    <w:rsid w:val="00BB2199"/>
    <w:rsid w:val="00BB21B1"/>
    <w:rsid w:val="00BB21F7"/>
    <w:rsid w:val="00BB2231"/>
    <w:rsid w:val="00BB231A"/>
    <w:rsid w:val="00BB234A"/>
    <w:rsid w:val="00BB250C"/>
    <w:rsid w:val="00BB255F"/>
    <w:rsid w:val="00BB268A"/>
    <w:rsid w:val="00BB269F"/>
    <w:rsid w:val="00BB26CA"/>
    <w:rsid w:val="00BB2725"/>
    <w:rsid w:val="00BB2767"/>
    <w:rsid w:val="00BB27D6"/>
    <w:rsid w:val="00BB286B"/>
    <w:rsid w:val="00BB29A7"/>
    <w:rsid w:val="00BB2A3C"/>
    <w:rsid w:val="00BB2AC0"/>
    <w:rsid w:val="00BB2AC7"/>
    <w:rsid w:val="00BB2BF1"/>
    <w:rsid w:val="00BB2CE6"/>
    <w:rsid w:val="00BB2D3F"/>
    <w:rsid w:val="00BB2D72"/>
    <w:rsid w:val="00BB2D73"/>
    <w:rsid w:val="00BB2D91"/>
    <w:rsid w:val="00BB2E36"/>
    <w:rsid w:val="00BB2FB9"/>
    <w:rsid w:val="00BB2FCE"/>
    <w:rsid w:val="00BB2FF6"/>
    <w:rsid w:val="00BB303B"/>
    <w:rsid w:val="00BB32D4"/>
    <w:rsid w:val="00BB3312"/>
    <w:rsid w:val="00BB338A"/>
    <w:rsid w:val="00BB3438"/>
    <w:rsid w:val="00BB345C"/>
    <w:rsid w:val="00BB3475"/>
    <w:rsid w:val="00BB34F8"/>
    <w:rsid w:val="00BB3583"/>
    <w:rsid w:val="00BB35B2"/>
    <w:rsid w:val="00BB3607"/>
    <w:rsid w:val="00BB3721"/>
    <w:rsid w:val="00BB38AE"/>
    <w:rsid w:val="00BB38D9"/>
    <w:rsid w:val="00BB3937"/>
    <w:rsid w:val="00BB39A9"/>
    <w:rsid w:val="00BB39C7"/>
    <w:rsid w:val="00BB3A09"/>
    <w:rsid w:val="00BB3B66"/>
    <w:rsid w:val="00BB3C0C"/>
    <w:rsid w:val="00BB3CA0"/>
    <w:rsid w:val="00BB3D2A"/>
    <w:rsid w:val="00BB3DB5"/>
    <w:rsid w:val="00BB3DB7"/>
    <w:rsid w:val="00BB3DDD"/>
    <w:rsid w:val="00BB3E42"/>
    <w:rsid w:val="00BB3EB5"/>
    <w:rsid w:val="00BB3FC0"/>
    <w:rsid w:val="00BB3FD5"/>
    <w:rsid w:val="00BB4011"/>
    <w:rsid w:val="00BB401F"/>
    <w:rsid w:val="00BB40A1"/>
    <w:rsid w:val="00BB40A5"/>
    <w:rsid w:val="00BB40A9"/>
    <w:rsid w:val="00BB4185"/>
    <w:rsid w:val="00BB4194"/>
    <w:rsid w:val="00BB41B0"/>
    <w:rsid w:val="00BB41E2"/>
    <w:rsid w:val="00BB4282"/>
    <w:rsid w:val="00BB4285"/>
    <w:rsid w:val="00BB42F2"/>
    <w:rsid w:val="00BB4468"/>
    <w:rsid w:val="00BB447B"/>
    <w:rsid w:val="00BB4496"/>
    <w:rsid w:val="00BB4589"/>
    <w:rsid w:val="00BB45B3"/>
    <w:rsid w:val="00BB460D"/>
    <w:rsid w:val="00BB462F"/>
    <w:rsid w:val="00BB467F"/>
    <w:rsid w:val="00BB470A"/>
    <w:rsid w:val="00BB475F"/>
    <w:rsid w:val="00BB4770"/>
    <w:rsid w:val="00BB4842"/>
    <w:rsid w:val="00BB4947"/>
    <w:rsid w:val="00BB4952"/>
    <w:rsid w:val="00BB4987"/>
    <w:rsid w:val="00BB4A10"/>
    <w:rsid w:val="00BB4A99"/>
    <w:rsid w:val="00BB4B6C"/>
    <w:rsid w:val="00BB4BEF"/>
    <w:rsid w:val="00BB4CB3"/>
    <w:rsid w:val="00BB4D7F"/>
    <w:rsid w:val="00BB4F71"/>
    <w:rsid w:val="00BB4FAF"/>
    <w:rsid w:val="00BB4FE8"/>
    <w:rsid w:val="00BB5048"/>
    <w:rsid w:val="00BB5084"/>
    <w:rsid w:val="00BB50DE"/>
    <w:rsid w:val="00BB525F"/>
    <w:rsid w:val="00BB5338"/>
    <w:rsid w:val="00BB53D8"/>
    <w:rsid w:val="00BB545D"/>
    <w:rsid w:val="00BB5573"/>
    <w:rsid w:val="00BB55CC"/>
    <w:rsid w:val="00BB563D"/>
    <w:rsid w:val="00BB579C"/>
    <w:rsid w:val="00BB588E"/>
    <w:rsid w:val="00BB58A4"/>
    <w:rsid w:val="00BB59CA"/>
    <w:rsid w:val="00BB5A0D"/>
    <w:rsid w:val="00BB5A43"/>
    <w:rsid w:val="00BB5C34"/>
    <w:rsid w:val="00BB5C7C"/>
    <w:rsid w:val="00BB5D4B"/>
    <w:rsid w:val="00BB5D63"/>
    <w:rsid w:val="00BB5E1A"/>
    <w:rsid w:val="00BB5E29"/>
    <w:rsid w:val="00BB5EDB"/>
    <w:rsid w:val="00BB5F15"/>
    <w:rsid w:val="00BB5F41"/>
    <w:rsid w:val="00BB5FEE"/>
    <w:rsid w:val="00BB5FF2"/>
    <w:rsid w:val="00BB6039"/>
    <w:rsid w:val="00BB60F9"/>
    <w:rsid w:val="00BB6102"/>
    <w:rsid w:val="00BB61C0"/>
    <w:rsid w:val="00BB6203"/>
    <w:rsid w:val="00BB6295"/>
    <w:rsid w:val="00BB62FB"/>
    <w:rsid w:val="00BB630D"/>
    <w:rsid w:val="00BB636E"/>
    <w:rsid w:val="00BB639C"/>
    <w:rsid w:val="00BB63B9"/>
    <w:rsid w:val="00BB641A"/>
    <w:rsid w:val="00BB672E"/>
    <w:rsid w:val="00BB673B"/>
    <w:rsid w:val="00BB67FF"/>
    <w:rsid w:val="00BB688E"/>
    <w:rsid w:val="00BB68DA"/>
    <w:rsid w:val="00BB6935"/>
    <w:rsid w:val="00BB6942"/>
    <w:rsid w:val="00BB695D"/>
    <w:rsid w:val="00BB6963"/>
    <w:rsid w:val="00BB6970"/>
    <w:rsid w:val="00BB6AEA"/>
    <w:rsid w:val="00BB6AFD"/>
    <w:rsid w:val="00BB6B64"/>
    <w:rsid w:val="00BB6BF2"/>
    <w:rsid w:val="00BB6D6B"/>
    <w:rsid w:val="00BB6DA6"/>
    <w:rsid w:val="00BB6E54"/>
    <w:rsid w:val="00BB6EC9"/>
    <w:rsid w:val="00BB6EEB"/>
    <w:rsid w:val="00BB6F22"/>
    <w:rsid w:val="00BB6F2E"/>
    <w:rsid w:val="00BB6F4E"/>
    <w:rsid w:val="00BB703C"/>
    <w:rsid w:val="00BB709E"/>
    <w:rsid w:val="00BB70B1"/>
    <w:rsid w:val="00BB70E4"/>
    <w:rsid w:val="00BB7128"/>
    <w:rsid w:val="00BB716C"/>
    <w:rsid w:val="00BB717E"/>
    <w:rsid w:val="00BB71A9"/>
    <w:rsid w:val="00BB71EE"/>
    <w:rsid w:val="00BB7287"/>
    <w:rsid w:val="00BB7317"/>
    <w:rsid w:val="00BB740B"/>
    <w:rsid w:val="00BB7429"/>
    <w:rsid w:val="00BB7589"/>
    <w:rsid w:val="00BB75D4"/>
    <w:rsid w:val="00BB772D"/>
    <w:rsid w:val="00BB77BB"/>
    <w:rsid w:val="00BB77BE"/>
    <w:rsid w:val="00BB7813"/>
    <w:rsid w:val="00BB788D"/>
    <w:rsid w:val="00BB7953"/>
    <w:rsid w:val="00BB79A4"/>
    <w:rsid w:val="00BB79C9"/>
    <w:rsid w:val="00BB79D3"/>
    <w:rsid w:val="00BB7A10"/>
    <w:rsid w:val="00BB7AF1"/>
    <w:rsid w:val="00BB7B86"/>
    <w:rsid w:val="00BB7BEB"/>
    <w:rsid w:val="00BB7C1C"/>
    <w:rsid w:val="00BB7C23"/>
    <w:rsid w:val="00BB7C82"/>
    <w:rsid w:val="00BB7C8D"/>
    <w:rsid w:val="00BB7CC6"/>
    <w:rsid w:val="00BB7F31"/>
    <w:rsid w:val="00BB7F33"/>
    <w:rsid w:val="00BC001F"/>
    <w:rsid w:val="00BC0195"/>
    <w:rsid w:val="00BC0196"/>
    <w:rsid w:val="00BC01E3"/>
    <w:rsid w:val="00BC0235"/>
    <w:rsid w:val="00BC0249"/>
    <w:rsid w:val="00BC025E"/>
    <w:rsid w:val="00BC036D"/>
    <w:rsid w:val="00BC0551"/>
    <w:rsid w:val="00BC064A"/>
    <w:rsid w:val="00BC0669"/>
    <w:rsid w:val="00BC06E4"/>
    <w:rsid w:val="00BC07BA"/>
    <w:rsid w:val="00BC07E3"/>
    <w:rsid w:val="00BC0813"/>
    <w:rsid w:val="00BC0828"/>
    <w:rsid w:val="00BC083A"/>
    <w:rsid w:val="00BC08D7"/>
    <w:rsid w:val="00BC0902"/>
    <w:rsid w:val="00BC090A"/>
    <w:rsid w:val="00BC091B"/>
    <w:rsid w:val="00BC09FD"/>
    <w:rsid w:val="00BC0A28"/>
    <w:rsid w:val="00BC0A44"/>
    <w:rsid w:val="00BC0A4E"/>
    <w:rsid w:val="00BC0A5A"/>
    <w:rsid w:val="00BC0BBC"/>
    <w:rsid w:val="00BC0C67"/>
    <w:rsid w:val="00BC0D07"/>
    <w:rsid w:val="00BC0E04"/>
    <w:rsid w:val="00BC0E41"/>
    <w:rsid w:val="00BC0F5B"/>
    <w:rsid w:val="00BC0F60"/>
    <w:rsid w:val="00BC1077"/>
    <w:rsid w:val="00BC1179"/>
    <w:rsid w:val="00BC1223"/>
    <w:rsid w:val="00BC12D3"/>
    <w:rsid w:val="00BC1324"/>
    <w:rsid w:val="00BC1347"/>
    <w:rsid w:val="00BC143B"/>
    <w:rsid w:val="00BC14B6"/>
    <w:rsid w:val="00BC14C0"/>
    <w:rsid w:val="00BC153D"/>
    <w:rsid w:val="00BC162E"/>
    <w:rsid w:val="00BC1644"/>
    <w:rsid w:val="00BC16B2"/>
    <w:rsid w:val="00BC16BF"/>
    <w:rsid w:val="00BC177A"/>
    <w:rsid w:val="00BC17C8"/>
    <w:rsid w:val="00BC17D5"/>
    <w:rsid w:val="00BC17E1"/>
    <w:rsid w:val="00BC17FB"/>
    <w:rsid w:val="00BC1844"/>
    <w:rsid w:val="00BC185C"/>
    <w:rsid w:val="00BC194A"/>
    <w:rsid w:val="00BC1A44"/>
    <w:rsid w:val="00BC1A6E"/>
    <w:rsid w:val="00BC1B5E"/>
    <w:rsid w:val="00BC1B9C"/>
    <w:rsid w:val="00BC1C95"/>
    <w:rsid w:val="00BC1CB8"/>
    <w:rsid w:val="00BC1D02"/>
    <w:rsid w:val="00BC1D39"/>
    <w:rsid w:val="00BC1DA8"/>
    <w:rsid w:val="00BC1DEF"/>
    <w:rsid w:val="00BC1F63"/>
    <w:rsid w:val="00BC1FB1"/>
    <w:rsid w:val="00BC2051"/>
    <w:rsid w:val="00BC207A"/>
    <w:rsid w:val="00BC207C"/>
    <w:rsid w:val="00BC2108"/>
    <w:rsid w:val="00BC2194"/>
    <w:rsid w:val="00BC21EB"/>
    <w:rsid w:val="00BC233D"/>
    <w:rsid w:val="00BC23B8"/>
    <w:rsid w:val="00BC24FB"/>
    <w:rsid w:val="00BC2566"/>
    <w:rsid w:val="00BC258E"/>
    <w:rsid w:val="00BC2624"/>
    <w:rsid w:val="00BC269D"/>
    <w:rsid w:val="00BC28CC"/>
    <w:rsid w:val="00BC28DE"/>
    <w:rsid w:val="00BC29CA"/>
    <w:rsid w:val="00BC2A49"/>
    <w:rsid w:val="00BC2A67"/>
    <w:rsid w:val="00BC2A7F"/>
    <w:rsid w:val="00BC2B49"/>
    <w:rsid w:val="00BC2BC7"/>
    <w:rsid w:val="00BC2CF8"/>
    <w:rsid w:val="00BC2D6F"/>
    <w:rsid w:val="00BC2E96"/>
    <w:rsid w:val="00BC2EA3"/>
    <w:rsid w:val="00BC2EE0"/>
    <w:rsid w:val="00BC2FD1"/>
    <w:rsid w:val="00BC3077"/>
    <w:rsid w:val="00BC3079"/>
    <w:rsid w:val="00BC30A2"/>
    <w:rsid w:val="00BC3212"/>
    <w:rsid w:val="00BC3243"/>
    <w:rsid w:val="00BC3283"/>
    <w:rsid w:val="00BC32F3"/>
    <w:rsid w:val="00BC3479"/>
    <w:rsid w:val="00BC34AE"/>
    <w:rsid w:val="00BC3553"/>
    <w:rsid w:val="00BC3580"/>
    <w:rsid w:val="00BC359E"/>
    <w:rsid w:val="00BC363A"/>
    <w:rsid w:val="00BC3646"/>
    <w:rsid w:val="00BC369E"/>
    <w:rsid w:val="00BC36CC"/>
    <w:rsid w:val="00BC3722"/>
    <w:rsid w:val="00BC377A"/>
    <w:rsid w:val="00BC379F"/>
    <w:rsid w:val="00BC37F3"/>
    <w:rsid w:val="00BC3803"/>
    <w:rsid w:val="00BC384D"/>
    <w:rsid w:val="00BC3863"/>
    <w:rsid w:val="00BC38EB"/>
    <w:rsid w:val="00BC3921"/>
    <w:rsid w:val="00BC3932"/>
    <w:rsid w:val="00BC39CF"/>
    <w:rsid w:val="00BC39E0"/>
    <w:rsid w:val="00BC3A9A"/>
    <w:rsid w:val="00BC3AB9"/>
    <w:rsid w:val="00BC3B27"/>
    <w:rsid w:val="00BC3BEC"/>
    <w:rsid w:val="00BC3C0E"/>
    <w:rsid w:val="00BC3D12"/>
    <w:rsid w:val="00BC3D5E"/>
    <w:rsid w:val="00BC3D87"/>
    <w:rsid w:val="00BC3DEF"/>
    <w:rsid w:val="00BC3E5D"/>
    <w:rsid w:val="00BC3EA7"/>
    <w:rsid w:val="00BC3F38"/>
    <w:rsid w:val="00BC3F7D"/>
    <w:rsid w:val="00BC3FF9"/>
    <w:rsid w:val="00BC402C"/>
    <w:rsid w:val="00BC4056"/>
    <w:rsid w:val="00BC405A"/>
    <w:rsid w:val="00BC408E"/>
    <w:rsid w:val="00BC4199"/>
    <w:rsid w:val="00BC4201"/>
    <w:rsid w:val="00BC4338"/>
    <w:rsid w:val="00BC4448"/>
    <w:rsid w:val="00BC4457"/>
    <w:rsid w:val="00BC4488"/>
    <w:rsid w:val="00BC45C7"/>
    <w:rsid w:val="00BC45D0"/>
    <w:rsid w:val="00BC46E8"/>
    <w:rsid w:val="00BC46FC"/>
    <w:rsid w:val="00BC478E"/>
    <w:rsid w:val="00BC47A8"/>
    <w:rsid w:val="00BC47E3"/>
    <w:rsid w:val="00BC4800"/>
    <w:rsid w:val="00BC4859"/>
    <w:rsid w:val="00BC4864"/>
    <w:rsid w:val="00BC492C"/>
    <w:rsid w:val="00BC4972"/>
    <w:rsid w:val="00BC4975"/>
    <w:rsid w:val="00BC4983"/>
    <w:rsid w:val="00BC4AAE"/>
    <w:rsid w:val="00BC4AB3"/>
    <w:rsid w:val="00BC4AE9"/>
    <w:rsid w:val="00BC4B88"/>
    <w:rsid w:val="00BC4C13"/>
    <w:rsid w:val="00BC4CD8"/>
    <w:rsid w:val="00BC4CE3"/>
    <w:rsid w:val="00BC4CF4"/>
    <w:rsid w:val="00BC4D91"/>
    <w:rsid w:val="00BC4DEC"/>
    <w:rsid w:val="00BC4EFD"/>
    <w:rsid w:val="00BC4F56"/>
    <w:rsid w:val="00BC4FFE"/>
    <w:rsid w:val="00BC502A"/>
    <w:rsid w:val="00BC5093"/>
    <w:rsid w:val="00BC50AC"/>
    <w:rsid w:val="00BC511A"/>
    <w:rsid w:val="00BC5177"/>
    <w:rsid w:val="00BC51A9"/>
    <w:rsid w:val="00BC5214"/>
    <w:rsid w:val="00BC5248"/>
    <w:rsid w:val="00BC524C"/>
    <w:rsid w:val="00BC52EF"/>
    <w:rsid w:val="00BC5326"/>
    <w:rsid w:val="00BC532A"/>
    <w:rsid w:val="00BC537E"/>
    <w:rsid w:val="00BC53F0"/>
    <w:rsid w:val="00BC556A"/>
    <w:rsid w:val="00BC557D"/>
    <w:rsid w:val="00BC55A8"/>
    <w:rsid w:val="00BC55D8"/>
    <w:rsid w:val="00BC55F7"/>
    <w:rsid w:val="00BC560C"/>
    <w:rsid w:val="00BC56E1"/>
    <w:rsid w:val="00BC570F"/>
    <w:rsid w:val="00BC5828"/>
    <w:rsid w:val="00BC5829"/>
    <w:rsid w:val="00BC5834"/>
    <w:rsid w:val="00BC589A"/>
    <w:rsid w:val="00BC58FD"/>
    <w:rsid w:val="00BC5948"/>
    <w:rsid w:val="00BC5987"/>
    <w:rsid w:val="00BC5AE8"/>
    <w:rsid w:val="00BC5B8E"/>
    <w:rsid w:val="00BC5BA0"/>
    <w:rsid w:val="00BC5BE3"/>
    <w:rsid w:val="00BC5C6B"/>
    <w:rsid w:val="00BC5C72"/>
    <w:rsid w:val="00BC5CFB"/>
    <w:rsid w:val="00BC5E2E"/>
    <w:rsid w:val="00BC5E5D"/>
    <w:rsid w:val="00BC5E73"/>
    <w:rsid w:val="00BC5F32"/>
    <w:rsid w:val="00BC5F45"/>
    <w:rsid w:val="00BC5F4E"/>
    <w:rsid w:val="00BC5F5A"/>
    <w:rsid w:val="00BC5F86"/>
    <w:rsid w:val="00BC5FA2"/>
    <w:rsid w:val="00BC6147"/>
    <w:rsid w:val="00BC6169"/>
    <w:rsid w:val="00BC6175"/>
    <w:rsid w:val="00BC6190"/>
    <w:rsid w:val="00BC621A"/>
    <w:rsid w:val="00BC6245"/>
    <w:rsid w:val="00BC6284"/>
    <w:rsid w:val="00BC62E1"/>
    <w:rsid w:val="00BC631D"/>
    <w:rsid w:val="00BC6343"/>
    <w:rsid w:val="00BC6348"/>
    <w:rsid w:val="00BC63B4"/>
    <w:rsid w:val="00BC6425"/>
    <w:rsid w:val="00BC6426"/>
    <w:rsid w:val="00BC64A6"/>
    <w:rsid w:val="00BC64C2"/>
    <w:rsid w:val="00BC657F"/>
    <w:rsid w:val="00BC6698"/>
    <w:rsid w:val="00BC66F0"/>
    <w:rsid w:val="00BC671C"/>
    <w:rsid w:val="00BC67C1"/>
    <w:rsid w:val="00BC680D"/>
    <w:rsid w:val="00BC6825"/>
    <w:rsid w:val="00BC6847"/>
    <w:rsid w:val="00BC6860"/>
    <w:rsid w:val="00BC6925"/>
    <w:rsid w:val="00BC6931"/>
    <w:rsid w:val="00BC695E"/>
    <w:rsid w:val="00BC69F1"/>
    <w:rsid w:val="00BC6B2A"/>
    <w:rsid w:val="00BC6C3F"/>
    <w:rsid w:val="00BC6CD9"/>
    <w:rsid w:val="00BC6D67"/>
    <w:rsid w:val="00BC6D78"/>
    <w:rsid w:val="00BC6DEC"/>
    <w:rsid w:val="00BC6E61"/>
    <w:rsid w:val="00BC6E98"/>
    <w:rsid w:val="00BC6EA1"/>
    <w:rsid w:val="00BC6EB8"/>
    <w:rsid w:val="00BC6ECD"/>
    <w:rsid w:val="00BC6F58"/>
    <w:rsid w:val="00BC6F78"/>
    <w:rsid w:val="00BC7005"/>
    <w:rsid w:val="00BC718F"/>
    <w:rsid w:val="00BC7214"/>
    <w:rsid w:val="00BC722D"/>
    <w:rsid w:val="00BC7331"/>
    <w:rsid w:val="00BC73BD"/>
    <w:rsid w:val="00BC73F5"/>
    <w:rsid w:val="00BC7410"/>
    <w:rsid w:val="00BC74F3"/>
    <w:rsid w:val="00BC75B3"/>
    <w:rsid w:val="00BC761D"/>
    <w:rsid w:val="00BC7656"/>
    <w:rsid w:val="00BC77B8"/>
    <w:rsid w:val="00BC77D6"/>
    <w:rsid w:val="00BC780C"/>
    <w:rsid w:val="00BC7909"/>
    <w:rsid w:val="00BC7A6B"/>
    <w:rsid w:val="00BC7ABD"/>
    <w:rsid w:val="00BC7AEF"/>
    <w:rsid w:val="00BC7B19"/>
    <w:rsid w:val="00BC7B2C"/>
    <w:rsid w:val="00BC7B62"/>
    <w:rsid w:val="00BC7B66"/>
    <w:rsid w:val="00BC7B7B"/>
    <w:rsid w:val="00BC7BE0"/>
    <w:rsid w:val="00BC7C10"/>
    <w:rsid w:val="00BC7C2D"/>
    <w:rsid w:val="00BC7CAA"/>
    <w:rsid w:val="00BC7CD3"/>
    <w:rsid w:val="00BC7D41"/>
    <w:rsid w:val="00BC7D43"/>
    <w:rsid w:val="00BC7D98"/>
    <w:rsid w:val="00BC7DBD"/>
    <w:rsid w:val="00BC7DE9"/>
    <w:rsid w:val="00BC7E22"/>
    <w:rsid w:val="00BC7E92"/>
    <w:rsid w:val="00BC7EF2"/>
    <w:rsid w:val="00BD006F"/>
    <w:rsid w:val="00BD00B7"/>
    <w:rsid w:val="00BD013E"/>
    <w:rsid w:val="00BD01A4"/>
    <w:rsid w:val="00BD0289"/>
    <w:rsid w:val="00BD02A2"/>
    <w:rsid w:val="00BD02A5"/>
    <w:rsid w:val="00BD02B4"/>
    <w:rsid w:val="00BD03A6"/>
    <w:rsid w:val="00BD05EA"/>
    <w:rsid w:val="00BD0699"/>
    <w:rsid w:val="00BD0732"/>
    <w:rsid w:val="00BD0740"/>
    <w:rsid w:val="00BD074A"/>
    <w:rsid w:val="00BD077B"/>
    <w:rsid w:val="00BD0841"/>
    <w:rsid w:val="00BD089D"/>
    <w:rsid w:val="00BD0909"/>
    <w:rsid w:val="00BD091E"/>
    <w:rsid w:val="00BD09D9"/>
    <w:rsid w:val="00BD0A30"/>
    <w:rsid w:val="00BD0AF4"/>
    <w:rsid w:val="00BD0AF6"/>
    <w:rsid w:val="00BD0AFA"/>
    <w:rsid w:val="00BD0C2E"/>
    <w:rsid w:val="00BD0C96"/>
    <w:rsid w:val="00BD0CCC"/>
    <w:rsid w:val="00BD0CF3"/>
    <w:rsid w:val="00BD0D44"/>
    <w:rsid w:val="00BD0DCA"/>
    <w:rsid w:val="00BD0E10"/>
    <w:rsid w:val="00BD0E85"/>
    <w:rsid w:val="00BD0F07"/>
    <w:rsid w:val="00BD0F77"/>
    <w:rsid w:val="00BD0F87"/>
    <w:rsid w:val="00BD0FF9"/>
    <w:rsid w:val="00BD100B"/>
    <w:rsid w:val="00BD1020"/>
    <w:rsid w:val="00BD109E"/>
    <w:rsid w:val="00BD10A0"/>
    <w:rsid w:val="00BD10D2"/>
    <w:rsid w:val="00BD10EA"/>
    <w:rsid w:val="00BD1107"/>
    <w:rsid w:val="00BD111C"/>
    <w:rsid w:val="00BD1177"/>
    <w:rsid w:val="00BD11B3"/>
    <w:rsid w:val="00BD1260"/>
    <w:rsid w:val="00BD1311"/>
    <w:rsid w:val="00BD135E"/>
    <w:rsid w:val="00BD13FD"/>
    <w:rsid w:val="00BD1459"/>
    <w:rsid w:val="00BD14BE"/>
    <w:rsid w:val="00BD1553"/>
    <w:rsid w:val="00BD157C"/>
    <w:rsid w:val="00BD159A"/>
    <w:rsid w:val="00BD16BA"/>
    <w:rsid w:val="00BD175A"/>
    <w:rsid w:val="00BD17C6"/>
    <w:rsid w:val="00BD17DF"/>
    <w:rsid w:val="00BD1816"/>
    <w:rsid w:val="00BD181C"/>
    <w:rsid w:val="00BD1832"/>
    <w:rsid w:val="00BD1855"/>
    <w:rsid w:val="00BD1874"/>
    <w:rsid w:val="00BD19A7"/>
    <w:rsid w:val="00BD19CC"/>
    <w:rsid w:val="00BD1A21"/>
    <w:rsid w:val="00BD1A32"/>
    <w:rsid w:val="00BD1A3E"/>
    <w:rsid w:val="00BD1A6F"/>
    <w:rsid w:val="00BD1ABC"/>
    <w:rsid w:val="00BD1B01"/>
    <w:rsid w:val="00BD1B26"/>
    <w:rsid w:val="00BD1B6E"/>
    <w:rsid w:val="00BD1B7A"/>
    <w:rsid w:val="00BD1C59"/>
    <w:rsid w:val="00BD1E1A"/>
    <w:rsid w:val="00BD1EB2"/>
    <w:rsid w:val="00BD1F29"/>
    <w:rsid w:val="00BD1F88"/>
    <w:rsid w:val="00BD1FBE"/>
    <w:rsid w:val="00BD205D"/>
    <w:rsid w:val="00BD210A"/>
    <w:rsid w:val="00BD2130"/>
    <w:rsid w:val="00BD2138"/>
    <w:rsid w:val="00BD239B"/>
    <w:rsid w:val="00BD2424"/>
    <w:rsid w:val="00BD2468"/>
    <w:rsid w:val="00BD25C9"/>
    <w:rsid w:val="00BD2612"/>
    <w:rsid w:val="00BD265C"/>
    <w:rsid w:val="00BD26B1"/>
    <w:rsid w:val="00BD26F8"/>
    <w:rsid w:val="00BD2729"/>
    <w:rsid w:val="00BD2823"/>
    <w:rsid w:val="00BD287E"/>
    <w:rsid w:val="00BD2A59"/>
    <w:rsid w:val="00BD2B33"/>
    <w:rsid w:val="00BD2B37"/>
    <w:rsid w:val="00BD2B50"/>
    <w:rsid w:val="00BD2CAC"/>
    <w:rsid w:val="00BD2CF4"/>
    <w:rsid w:val="00BD2D02"/>
    <w:rsid w:val="00BD2D48"/>
    <w:rsid w:val="00BD2D5A"/>
    <w:rsid w:val="00BD2DB1"/>
    <w:rsid w:val="00BD2FC4"/>
    <w:rsid w:val="00BD300C"/>
    <w:rsid w:val="00BD30E2"/>
    <w:rsid w:val="00BD312D"/>
    <w:rsid w:val="00BD3244"/>
    <w:rsid w:val="00BD325A"/>
    <w:rsid w:val="00BD33DF"/>
    <w:rsid w:val="00BD3407"/>
    <w:rsid w:val="00BD3414"/>
    <w:rsid w:val="00BD3493"/>
    <w:rsid w:val="00BD3538"/>
    <w:rsid w:val="00BD35D2"/>
    <w:rsid w:val="00BD3695"/>
    <w:rsid w:val="00BD375B"/>
    <w:rsid w:val="00BD37C7"/>
    <w:rsid w:val="00BD3828"/>
    <w:rsid w:val="00BD3836"/>
    <w:rsid w:val="00BD383E"/>
    <w:rsid w:val="00BD3868"/>
    <w:rsid w:val="00BD38C8"/>
    <w:rsid w:val="00BD38E9"/>
    <w:rsid w:val="00BD3A19"/>
    <w:rsid w:val="00BD3AE8"/>
    <w:rsid w:val="00BD3BE4"/>
    <w:rsid w:val="00BD3C15"/>
    <w:rsid w:val="00BD3C55"/>
    <w:rsid w:val="00BD3CBF"/>
    <w:rsid w:val="00BD3D64"/>
    <w:rsid w:val="00BD3E50"/>
    <w:rsid w:val="00BD3EAA"/>
    <w:rsid w:val="00BD3F4D"/>
    <w:rsid w:val="00BD40FD"/>
    <w:rsid w:val="00BD41F0"/>
    <w:rsid w:val="00BD4234"/>
    <w:rsid w:val="00BD423B"/>
    <w:rsid w:val="00BD424C"/>
    <w:rsid w:val="00BD42BE"/>
    <w:rsid w:val="00BD42BF"/>
    <w:rsid w:val="00BD43A5"/>
    <w:rsid w:val="00BD43E7"/>
    <w:rsid w:val="00BD43EA"/>
    <w:rsid w:val="00BD4408"/>
    <w:rsid w:val="00BD4416"/>
    <w:rsid w:val="00BD445E"/>
    <w:rsid w:val="00BD4529"/>
    <w:rsid w:val="00BD4563"/>
    <w:rsid w:val="00BD456F"/>
    <w:rsid w:val="00BD45AF"/>
    <w:rsid w:val="00BD45C4"/>
    <w:rsid w:val="00BD474A"/>
    <w:rsid w:val="00BD477B"/>
    <w:rsid w:val="00BD48B6"/>
    <w:rsid w:val="00BD4A07"/>
    <w:rsid w:val="00BD4A0F"/>
    <w:rsid w:val="00BD4A9F"/>
    <w:rsid w:val="00BD4AC5"/>
    <w:rsid w:val="00BD4ADB"/>
    <w:rsid w:val="00BD4B36"/>
    <w:rsid w:val="00BD4C3D"/>
    <w:rsid w:val="00BD4C81"/>
    <w:rsid w:val="00BD4C88"/>
    <w:rsid w:val="00BD4CC2"/>
    <w:rsid w:val="00BD4DA8"/>
    <w:rsid w:val="00BD4E45"/>
    <w:rsid w:val="00BD4EE4"/>
    <w:rsid w:val="00BD4F24"/>
    <w:rsid w:val="00BD5051"/>
    <w:rsid w:val="00BD5151"/>
    <w:rsid w:val="00BD515D"/>
    <w:rsid w:val="00BD517A"/>
    <w:rsid w:val="00BD51C1"/>
    <w:rsid w:val="00BD51DD"/>
    <w:rsid w:val="00BD5235"/>
    <w:rsid w:val="00BD5251"/>
    <w:rsid w:val="00BD52A4"/>
    <w:rsid w:val="00BD52DC"/>
    <w:rsid w:val="00BD53B3"/>
    <w:rsid w:val="00BD53CB"/>
    <w:rsid w:val="00BD54CF"/>
    <w:rsid w:val="00BD54E2"/>
    <w:rsid w:val="00BD551B"/>
    <w:rsid w:val="00BD5545"/>
    <w:rsid w:val="00BD55C7"/>
    <w:rsid w:val="00BD5602"/>
    <w:rsid w:val="00BD5635"/>
    <w:rsid w:val="00BD5687"/>
    <w:rsid w:val="00BD571E"/>
    <w:rsid w:val="00BD5814"/>
    <w:rsid w:val="00BD5888"/>
    <w:rsid w:val="00BD58C2"/>
    <w:rsid w:val="00BD58D7"/>
    <w:rsid w:val="00BD5954"/>
    <w:rsid w:val="00BD5976"/>
    <w:rsid w:val="00BD5996"/>
    <w:rsid w:val="00BD59E8"/>
    <w:rsid w:val="00BD5ABA"/>
    <w:rsid w:val="00BD5B59"/>
    <w:rsid w:val="00BD5B6A"/>
    <w:rsid w:val="00BD5B83"/>
    <w:rsid w:val="00BD5C0D"/>
    <w:rsid w:val="00BD5C17"/>
    <w:rsid w:val="00BD5CC8"/>
    <w:rsid w:val="00BD5DD1"/>
    <w:rsid w:val="00BD5DE7"/>
    <w:rsid w:val="00BD5E1C"/>
    <w:rsid w:val="00BD5E3F"/>
    <w:rsid w:val="00BD5F35"/>
    <w:rsid w:val="00BD5F96"/>
    <w:rsid w:val="00BD5FE3"/>
    <w:rsid w:val="00BD6162"/>
    <w:rsid w:val="00BD6179"/>
    <w:rsid w:val="00BD618F"/>
    <w:rsid w:val="00BD6323"/>
    <w:rsid w:val="00BD634E"/>
    <w:rsid w:val="00BD635C"/>
    <w:rsid w:val="00BD637F"/>
    <w:rsid w:val="00BD6476"/>
    <w:rsid w:val="00BD64DE"/>
    <w:rsid w:val="00BD64F9"/>
    <w:rsid w:val="00BD6564"/>
    <w:rsid w:val="00BD665C"/>
    <w:rsid w:val="00BD6732"/>
    <w:rsid w:val="00BD6745"/>
    <w:rsid w:val="00BD675D"/>
    <w:rsid w:val="00BD676C"/>
    <w:rsid w:val="00BD6772"/>
    <w:rsid w:val="00BD67A0"/>
    <w:rsid w:val="00BD67E9"/>
    <w:rsid w:val="00BD6835"/>
    <w:rsid w:val="00BD687D"/>
    <w:rsid w:val="00BD689D"/>
    <w:rsid w:val="00BD68F8"/>
    <w:rsid w:val="00BD6911"/>
    <w:rsid w:val="00BD693D"/>
    <w:rsid w:val="00BD6A00"/>
    <w:rsid w:val="00BD6A38"/>
    <w:rsid w:val="00BD6B48"/>
    <w:rsid w:val="00BD6B79"/>
    <w:rsid w:val="00BD6C3B"/>
    <w:rsid w:val="00BD6D03"/>
    <w:rsid w:val="00BD6D3E"/>
    <w:rsid w:val="00BD6E2A"/>
    <w:rsid w:val="00BD6E49"/>
    <w:rsid w:val="00BD6E9E"/>
    <w:rsid w:val="00BD6F40"/>
    <w:rsid w:val="00BD6F9E"/>
    <w:rsid w:val="00BD6FCF"/>
    <w:rsid w:val="00BD7092"/>
    <w:rsid w:val="00BD70AF"/>
    <w:rsid w:val="00BD71D8"/>
    <w:rsid w:val="00BD7421"/>
    <w:rsid w:val="00BD754D"/>
    <w:rsid w:val="00BD7576"/>
    <w:rsid w:val="00BD759B"/>
    <w:rsid w:val="00BD7625"/>
    <w:rsid w:val="00BD763B"/>
    <w:rsid w:val="00BD768E"/>
    <w:rsid w:val="00BD772E"/>
    <w:rsid w:val="00BD782E"/>
    <w:rsid w:val="00BD78D2"/>
    <w:rsid w:val="00BD7937"/>
    <w:rsid w:val="00BD793A"/>
    <w:rsid w:val="00BD79B5"/>
    <w:rsid w:val="00BD7AF1"/>
    <w:rsid w:val="00BD7B52"/>
    <w:rsid w:val="00BD7C19"/>
    <w:rsid w:val="00BD7C46"/>
    <w:rsid w:val="00BD7C57"/>
    <w:rsid w:val="00BD7CC4"/>
    <w:rsid w:val="00BD7ED7"/>
    <w:rsid w:val="00BD7EFB"/>
    <w:rsid w:val="00BE00C7"/>
    <w:rsid w:val="00BE03F4"/>
    <w:rsid w:val="00BE0437"/>
    <w:rsid w:val="00BE04F4"/>
    <w:rsid w:val="00BE04F5"/>
    <w:rsid w:val="00BE0501"/>
    <w:rsid w:val="00BE0521"/>
    <w:rsid w:val="00BE056E"/>
    <w:rsid w:val="00BE05C7"/>
    <w:rsid w:val="00BE064E"/>
    <w:rsid w:val="00BE065A"/>
    <w:rsid w:val="00BE066B"/>
    <w:rsid w:val="00BE06AA"/>
    <w:rsid w:val="00BE06F8"/>
    <w:rsid w:val="00BE07F7"/>
    <w:rsid w:val="00BE086A"/>
    <w:rsid w:val="00BE08B6"/>
    <w:rsid w:val="00BE0927"/>
    <w:rsid w:val="00BE0935"/>
    <w:rsid w:val="00BE0A14"/>
    <w:rsid w:val="00BE0B53"/>
    <w:rsid w:val="00BE0B68"/>
    <w:rsid w:val="00BE0B75"/>
    <w:rsid w:val="00BE0C5D"/>
    <w:rsid w:val="00BE0CD8"/>
    <w:rsid w:val="00BE0D09"/>
    <w:rsid w:val="00BE0D1D"/>
    <w:rsid w:val="00BE0D34"/>
    <w:rsid w:val="00BE0D74"/>
    <w:rsid w:val="00BE0D95"/>
    <w:rsid w:val="00BE0E80"/>
    <w:rsid w:val="00BE0E99"/>
    <w:rsid w:val="00BE0F17"/>
    <w:rsid w:val="00BE0F1C"/>
    <w:rsid w:val="00BE0F97"/>
    <w:rsid w:val="00BE1003"/>
    <w:rsid w:val="00BE123E"/>
    <w:rsid w:val="00BE1377"/>
    <w:rsid w:val="00BE139B"/>
    <w:rsid w:val="00BE13BE"/>
    <w:rsid w:val="00BE13EC"/>
    <w:rsid w:val="00BE14A8"/>
    <w:rsid w:val="00BE154C"/>
    <w:rsid w:val="00BE16CA"/>
    <w:rsid w:val="00BE16FB"/>
    <w:rsid w:val="00BE1717"/>
    <w:rsid w:val="00BE1849"/>
    <w:rsid w:val="00BE18AE"/>
    <w:rsid w:val="00BE1A2E"/>
    <w:rsid w:val="00BE1A55"/>
    <w:rsid w:val="00BE1B13"/>
    <w:rsid w:val="00BE1C27"/>
    <w:rsid w:val="00BE1D74"/>
    <w:rsid w:val="00BE1D98"/>
    <w:rsid w:val="00BE1E27"/>
    <w:rsid w:val="00BE1EF2"/>
    <w:rsid w:val="00BE1F21"/>
    <w:rsid w:val="00BE1F6D"/>
    <w:rsid w:val="00BE2062"/>
    <w:rsid w:val="00BE2066"/>
    <w:rsid w:val="00BE2095"/>
    <w:rsid w:val="00BE20FA"/>
    <w:rsid w:val="00BE20FF"/>
    <w:rsid w:val="00BE218A"/>
    <w:rsid w:val="00BE2194"/>
    <w:rsid w:val="00BE2244"/>
    <w:rsid w:val="00BE227E"/>
    <w:rsid w:val="00BE22AD"/>
    <w:rsid w:val="00BE236B"/>
    <w:rsid w:val="00BE24B8"/>
    <w:rsid w:val="00BE24B9"/>
    <w:rsid w:val="00BE2511"/>
    <w:rsid w:val="00BE252B"/>
    <w:rsid w:val="00BE2593"/>
    <w:rsid w:val="00BE25B7"/>
    <w:rsid w:val="00BE2668"/>
    <w:rsid w:val="00BE26B6"/>
    <w:rsid w:val="00BE2728"/>
    <w:rsid w:val="00BE2758"/>
    <w:rsid w:val="00BE2803"/>
    <w:rsid w:val="00BE2842"/>
    <w:rsid w:val="00BE284B"/>
    <w:rsid w:val="00BE29B0"/>
    <w:rsid w:val="00BE29DA"/>
    <w:rsid w:val="00BE2ACA"/>
    <w:rsid w:val="00BE2AF5"/>
    <w:rsid w:val="00BE2B8F"/>
    <w:rsid w:val="00BE2BD9"/>
    <w:rsid w:val="00BE2C7D"/>
    <w:rsid w:val="00BE2CDE"/>
    <w:rsid w:val="00BE2D84"/>
    <w:rsid w:val="00BE2F07"/>
    <w:rsid w:val="00BE2F9B"/>
    <w:rsid w:val="00BE3004"/>
    <w:rsid w:val="00BE315F"/>
    <w:rsid w:val="00BE32AA"/>
    <w:rsid w:val="00BE3347"/>
    <w:rsid w:val="00BE334A"/>
    <w:rsid w:val="00BE335E"/>
    <w:rsid w:val="00BE335F"/>
    <w:rsid w:val="00BE336E"/>
    <w:rsid w:val="00BE3520"/>
    <w:rsid w:val="00BE3575"/>
    <w:rsid w:val="00BE35A0"/>
    <w:rsid w:val="00BE3616"/>
    <w:rsid w:val="00BE36BD"/>
    <w:rsid w:val="00BE36D1"/>
    <w:rsid w:val="00BE370F"/>
    <w:rsid w:val="00BE3742"/>
    <w:rsid w:val="00BE3753"/>
    <w:rsid w:val="00BE3762"/>
    <w:rsid w:val="00BE3882"/>
    <w:rsid w:val="00BE3894"/>
    <w:rsid w:val="00BE38A4"/>
    <w:rsid w:val="00BE39E7"/>
    <w:rsid w:val="00BE3A89"/>
    <w:rsid w:val="00BE3A93"/>
    <w:rsid w:val="00BE3AA9"/>
    <w:rsid w:val="00BE3ACB"/>
    <w:rsid w:val="00BE3B97"/>
    <w:rsid w:val="00BE3C46"/>
    <w:rsid w:val="00BE3C61"/>
    <w:rsid w:val="00BE3CC8"/>
    <w:rsid w:val="00BE3CDC"/>
    <w:rsid w:val="00BE3CE9"/>
    <w:rsid w:val="00BE3CF1"/>
    <w:rsid w:val="00BE3D2D"/>
    <w:rsid w:val="00BE3D97"/>
    <w:rsid w:val="00BE3E1E"/>
    <w:rsid w:val="00BE3EC4"/>
    <w:rsid w:val="00BE3FC0"/>
    <w:rsid w:val="00BE409E"/>
    <w:rsid w:val="00BE40AC"/>
    <w:rsid w:val="00BE40EF"/>
    <w:rsid w:val="00BE4221"/>
    <w:rsid w:val="00BE422C"/>
    <w:rsid w:val="00BE4268"/>
    <w:rsid w:val="00BE42D6"/>
    <w:rsid w:val="00BE4332"/>
    <w:rsid w:val="00BE4352"/>
    <w:rsid w:val="00BE4374"/>
    <w:rsid w:val="00BE43A9"/>
    <w:rsid w:val="00BE44A7"/>
    <w:rsid w:val="00BE4516"/>
    <w:rsid w:val="00BE4535"/>
    <w:rsid w:val="00BE4538"/>
    <w:rsid w:val="00BE454A"/>
    <w:rsid w:val="00BE45FF"/>
    <w:rsid w:val="00BE46CE"/>
    <w:rsid w:val="00BE47E4"/>
    <w:rsid w:val="00BE483A"/>
    <w:rsid w:val="00BE4887"/>
    <w:rsid w:val="00BE48B1"/>
    <w:rsid w:val="00BE48D0"/>
    <w:rsid w:val="00BE492C"/>
    <w:rsid w:val="00BE4A3F"/>
    <w:rsid w:val="00BE4AEC"/>
    <w:rsid w:val="00BE4B50"/>
    <w:rsid w:val="00BE4B82"/>
    <w:rsid w:val="00BE4BBB"/>
    <w:rsid w:val="00BE4C32"/>
    <w:rsid w:val="00BE4C73"/>
    <w:rsid w:val="00BE4CBF"/>
    <w:rsid w:val="00BE4E43"/>
    <w:rsid w:val="00BE4E5B"/>
    <w:rsid w:val="00BE4F30"/>
    <w:rsid w:val="00BE4F6D"/>
    <w:rsid w:val="00BE4FFA"/>
    <w:rsid w:val="00BE512F"/>
    <w:rsid w:val="00BE5180"/>
    <w:rsid w:val="00BE5204"/>
    <w:rsid w:val="00BE52AC"/>
    <w:rsid w:val="00BE52C9"/>
    <w:rsid w:val="00BE5305"/>
    <w:rsid w:val="00BE5383"/>
    <w:rsid w:val="00BE5387"/>
    <w:rsid w:val="00BE538B"/>
    <w:rsid w:val="00BE53BA"/>
    <w:rsid w:val="00BE546E"/>
    <w:rsid w:val="00BE5511"/>
    <w:rsid w:val="00BE551D"/>
    <w:rsid w:val="00BE55EA"/>
    <w:rsid w:val="00BE564A"/>
    <w:rsid w:val="00BE56A6"/>
    <w:rsid w:val="00BE56BF"/>
    <w:rsid w:val="00BE570D"/>
    <w:rsid w:val="00BE574B"/>
    <w:rsid w:val="00BE5786"/>
    <w:rsid w:val="00BE57A1"/>
    <w:rsid w:val="00BE586C"/>
    <w:rsid w:val="00BE5932"/>
    <w:rsid w:val="00BE5953"/>
    <w:rsid w:val="00BE595C"/>
    <w:rsid w:val="00BE5995"/>
    <w:rsid w:val="00BE5A8D"/>
    <w:rsid w:val="00BE5B09"/>
    <w:rsid w:val="00BE5B2E"/>
    <w:rsid w:val="00BE5B9A"/>
    <w:rsid w:val="00BE5C39"/>
    <w:rsid w:val="00BE5C44"/>
    <w:rsid w:val="00BE5C61"/>
    <w:rsid w:val="00BE5E6C"/>
    <w:rsid w:val="00BE5EF9"/>
    <w:rsid w:val="00BE5F83"/>
    <w:rsid w:val="00BE5FC8"/>
    <w:rsid w:val="00BE60F8"/>
    <w:rsid w:val="00BE61F4"/>
    <w:rsid w:val="00BE63F0"/>
    <w:rsid w:val="00BE646A"/>
    <w:rsid w:val="00BE6501"/>
    <w:rsid w:val="00BE6503"/>
    <w:rsid w:val="00BE6588"/>
    <w:rsid w:val="00BE6613"/>
    <w:rsid w:val="00BE661F"/>
    <w:rsid w:val="00BE6649"/>
    <w:rsid w:val="00BE664C"/>
    <w:rsid w:val="00BE6696"/>
    <w:rsid w:val="00BE66E3"/>
    <w:rsid w:val="00BE671A"/>
    <w:rsid w:val="00BE674F"/>
    <w:rsid w:val="00BE6767"/>
    <w:rsid w:val="00BE67B8"/>
    <w:rsid w:val="00BE685D"/>
    <w:rsid w:val="00BE689E"/>
    <w:rsid w:val="00BE68A9"/>
    <w:rsid w:val="00BE68DE"/>
    <w:rsid w:val="00BE6A4C"/>
    <w:rsid w:val="00BE6AA8"/>
    <w:rsid w:val="00BE6B51"/>
    <w:rsid w:val="00BE6B7A"/>
    <w:rsid w:val="00BE6C10"/>
    <w:rsid w:val="00BE6C68"/>
    <w:rsid w:val="00BE6C86"/>
    <w:rsid w:val="00BE6CA6"/>
    <w:rsid w:val="00BE6CBB"/>
    <w:rsid w:val="00BE6CD8"/>
    <w:rsid w:val="00BE6CE5"/>
    <w:rsid w:val="00BE6D41"/>
    <w:rsid w:val="00BE6E25"/>
    <w:rsid w:val="00BE6E2F"/>
    <w:rsid w:val="00BE6E8D"/>
    <w:rsid w:val="00BE7023"/>
    <w:rsid w:val="00BE70C2"/>
    <w:rsid w:val="00BE70DD"/>
    <w:rsid w:val="00BE70F5"/>
    <w:rsid w:val="00BE71D0"/>
    <w:rsid w:val="00BE71FA"/>
    <w:rsid w:val="00BE7289"/>
    <w:rsid w:val="00BE72BD"/>
    <w:rsid w:val="00BE72C4"/>
    <w:rsid w:val="00BE7319"/>
    <w:rsid w:val="00BE7339"/>
    <w:rsid w:val="00BE740C"/>
    <w:rsid w:val="00BE740E"/>
    <w:rsid w:val="00BE7456"/>
    <w:rsid w:val="00BE74CA"/>
    <w:rsid w:val="00BE753B"/>
    <w:rsid w:val="00BE75D0"/>
    <w:rsid w:val="00BE761C"/>
    <w:rsid w:val="00BE780E"/>
    <w:rsid w:val="00BE7A23"/>
    <w:rsid w:val="00BE7A4A"/>
    <w:rsid w:val="00BE7AA9"/>
    <w:rsid w:val="00BE7B9D"/>
    <w:rsid w:val="00BE7BF0"/>
    <w:rsid w:val="00BE7C17"/>
    <w:rsid w:val="00BE7C48"/>
    <w:rsid w:val="00BE7D1F"/>
    <w:rsid w:val="00BE7DC6"/>
    <w:rsid w:val="00BE7DE5"/>
    <w:rsid w:val="00BE7E0A"/>
    <w:rsid w:val="00BE7E58"/>
    <w:rsid w:val="00BE7E61"/>
    <w:rsid w:val="00BE7EAF"/>
    <w:rsid w:val="00BE7F05"/>
    <w:rsid w:val="00BF003A"/>
    <w:rsid w:val="00BF0071"/>
    <w:rsid w:val="00BF00B7"/>
    <w:rsid w:val="00BF0157"/>
    <w:rsid w:val="00BF0170"/>
    <w:rsid w:val="00BF0272"/>
    <w:rsid w:val="00BF02B7"/>
    <w:rsid w:val="00BF02BC"/>
    <w:rsid w:val="00BF0361"/>
    <w:rsid w:val="00BF03EB"/>
    <w:rsid w:val="00BF0435"/>
    <w:rsid w:val="00BF0495"/>
    <w:rsid w:val="00BF04A1"/>
    <w:rsid w:val="00BF054A"/>
    <w:rsid w:val="00BF058D"/>
    <w:rsid w:val="00BF06BC"/>
    <w:rsid w:val="00BF0703"/>
    <w:rsid w:val="00BF071F"/>
    <w:rsid w:val="00BF0735"/>
    <w:rsid w:val="00BF07CD"/>
    <w:rsid w:val="00BF07ED"/>
    <w:rsid w:val="00BF07FE"/>
    <w:rsid w:val="00BF08A8"/>
    <w:rsid w:val="00BF0918"/>
    <w:rsid w:val="00BF0A85"/>
    <w:rsid w:val="00BF0AAD"/>
    <w:rsid w:val="00BF0AE7"/>
    <w:rsid w:val="00BF0AF1"/>
    <w:rsid w:val="00BF0B01"/>
    <w:rsid w:val="00BF0B6E"/>
    <w:rsid w:val="00BF0B73"/>
    <w:rsid w:val="00BF0B78"/>
    <w:rsid w:val="00BF0BE9"/>
    <w:rsid w:val="00BF0C4C"/>
    <w:rsid w:val="00BF0CFB"/>
    <w:rsid w:val="00BF0D4B"/>
    <w:rsid w:val="00BF0D58"/>
    <w:rsid w:val="00BF0E40"/>
    <w:rsid w:val="00BF0E6C"/>
    <w:rsid w:val="00BF0F70"/>
    <w:rsid w:val="00BF100F"/>
    <w:rsid w:val="00BF104D"/>
    <w:rsid w:val="00BF10A0"/>
    <w:rsid w:val="00BF11BB"/>
    <w:rsid w:val="00BF121A"/>
    <w:rsid w:val="00BF124C"/>
    <w:rsid w:val="00BF12D0"/>
    <w:rsid w:val="00BF12F6"/>
    <w:rsid w:val="00BF13AB"/>
    <w:rsid w:val="00BF13E9"/>
    <w:rsid w:val="00BF144E"/>
    <w:rsid w:val="00BF1462"/>
    <w:rsid w:val="00BF14B8"/>
    <w:rsid w:val="00BF14CD"/>
    <w:rsid w:val="00BF1504"/>
    <w:rsid w:val="00BF153A"/>
    <w:rsid w:val="00BF1543"/>
    <w:rsid w:val="00BF1557"/>
    <w:rsid w:val="00BF16CF"/>
    <w:rsid w:val="00BF16E9"/>
    <w:rsid w:val="00BF1729"/>
    <w:rsid w:val="00BF174C"/>
    <w:rsid w:val="00BF1790"/>
    <w:rsid w:val="00BF18D3"/>
    <w:rsid w:val="00BF1990"/>
    <w:rsid w:val="00BF19AE"/>
    <w:rsid w:val="00BF19ED"/>
    <w:rsid w:val="00BF1A27"/>
    <w:rsid w:val="00BF1A52"/>
    <w:rsid w:val="00BF1B43"/>
    <w:rsid w:val="00BF1B8C"/>
    <w:rsid w:val="00BF1BA3"/>
    <w:rsid w:val="00BF1BB3"/>
    <w:rsid w:val="00BF1D77"/>
    <w:rsid w:val="00BF1D96"/>
    <w:rsid w:val="00BF1DCE"/>
    <w:rsid w:val="00BF1E22"/>
    <w:rsid w:val="00BF1E2E"/>
    <w:rsid w:val="00BF1E78"/>
    <w:rsid w:val="00BF1ED6"/>
    <w:rsid w:val="00BF1F25"/>
    <w:rsid w:val="00BF1F36"/>
    <w:rsid w:val="00BF1FDA"/>
    <w:rsid w:val="00BF20AB"/>
    <w:rsid w:val="00BF219D"/>
    <w:rsid w:val="00BF21CA"/>
    <w:rsid w:val="00BF2256"/>
    <w:rsid w:val="00BF239B"/>
    <w:rsid w:val="00BF23A7"/>
    <w:rsid w:val="00BF23B1"/>
    <w:rsid w:val="00BF23C0"/>
    <w:rsid w:val="00BF25C7"/>
    <w:rsid w:val="00BF2642"/>
    <w:rsid w:val="00BF2653"/>
    <w:rsid w:val="00BF2694"/>
    <w:rsid w:val="00BF2840"/>
    <w:rsid w:val="00BF28AD"/>
    <w:rsid w:val="00BF29EF"/>
    <w:rsid w:val="00BF29F9"/>
    <w:rsid w:val="00BF2ACB"/>
    <w:rsid w:val="00BF2B16"/>
    <w:rsid w:val="00BF2CA9"/>
    <w:rsid w:val="00BF2EB3"/>
    <w:rsid w:val="00BF3035"/>
    <w:rsid w:val="00BF3089"/>
    <w:rsid w:val="00BF3188"/>
    <w:rsid w:val="00BF322A"/>
    <w:rsid w:val="00BF3233"/>
    <w:rsid w:val="00BF3252"/>
    <w:rsid w:val="00BF340D"/>
    <w:rsid w:val="00BF342A"/>
    <w:rsid w:val="00BF3465"/>
    <w:rsid w:val="00BF35C7"/>
    <w:rsid w:val="00BF35CE"/>
    <w:rsid w:val="00BF36D0"/>
    <w:rsid w:val="00BF3705"/>
    <w:rsid w:val="00BF381A"/>
    <w:rsid w:val="00BF382A"/>
    <w:rsid w:val="00BF38EB"/>
    <w:rsid w:val="00BF395D"/>
    <w:rsid w:val="00BF3A29"/>
    <w:rsid w:val="00BF3AAC"/>
    <w:rsid w:val="00BF3B2D"/>
    <w:rsid w:val="00BF3B98"/>
    <w:rsid w:val="00BF3BBA"/>
    <w:rsid w:val="00BF3BCA"/>
    <w:rsid w:val="00BF3BE4"/>
    <w:rsid w:val="00BF3C01"/>
    <w:rsid w:val="00BF3D65"/>
    <w:rsid w:val="00BF3EA6"/>
    <w:rsid w:val="00BF3EC0"/>
    <w:rsid w:val="00BF3EE7"/>
    <w:rsid w:val="00BF3F22"/>
    <w:rsid w:val="00BF3FF4"/>
    <w:rsid w:val="00BF4022"/>
    <w:rsid w:val="00BF403E"/>
    <w:rsid w:val="00BF4125"/>
    <w:rsid w:val="00BF4149"/>
    <w:rsid w:val="00BF41EE"/>
    <w:rsid w:val="00BF4252"/>
    <w:rsid w:val="00BF42A0"/>
    <w:rsid w:val="00BF43F0"/>
    <w:rsid w:val="00BF4484"/>
    <w:rsid w:val="00BF44C8"/>
    <w:rsid w:val="00BF44DA"/>
    <w:rsid w:val="00BF45EE"/>
    <w:rsid w:val="00BF4600"/>
    <w:rsid w:val="00BF46AE"/>
    <w:rsid w:val="00BF471F"/>
    <w:rsid w:val="00BF474B"/>
    <w:rsid w:val="00BF47C4"/>
    <w:rsid w:val="00BF47EB"/>
    <w:rsid w:val="00BF47F4"/>
    <w:rsid w:val="00BF47F6"/>
    <w:rsid w:val="00BF49A2"/>
    <w:rsid w:val="00BF4B02"/>
    <w:rsid w:val="00BF4B67"/>
    <w:rsid w:val="00BF4BE5"/>
    <w:rsid w:val="00BF4C29"/>
    <w:rsid w:val="00BF4CF4"/>
    <w:rsid w:val="00BF4DBF"/>
    <w:rsid w:val="00BF4DE3"/>
    <w:rsid w:val="00BF4E99"/>
    <w:rsid w:val="00BF4EB2"/>
    <w:rsid w:val="00BF4F88"/>
    <w:rsid w:val="00BF4FE4"/>
    <w:rsid w:val="00BF5065"/>
    <w:rsid w:val="00BF5095"/>
    <w:rsid w:val="00BF514E"/>
    <w:rsid w:val="00BF514F"/>
    <w:rsid w:val="00BF5166"/>
    <w:rsid w:val="00BF517C"/>
    <w:rsid w:val="00BF51E4"/>
    <w:rsid w:val="00BF5240"/>
    <w:rsid w:val="00BF5299"/>
    <w:rsid w:val="00BF5336"/>
    <w:rsid w:val="00BF53E6"/>
    <w:rsid w:val="00BF552F"/>
    <w:rsid w:val="00BF5530"/>
    <w:rsid w:val="00BF5550"/>
    <w:rsid w:val="00BF558F"/>
    <w:rsid w:val="00BF5652"/>
    <w:rsid w:val="00BF56B2"/>
    <w:rsid w:val="00BF5752"/>
    <w:rsid w:val="00BF5774"/>
    <w:rsid w:val="00BF5824"/>
    <w:rsid w:val="00BF59F5"/>
    <w:rsid w:val="00BF5A43"/>
    <w:rsid w:val="00BF5A45"/>
    <w:rsid w:val="00BF5AC4"/>
    <w:rsid w:val="00BF5AF5"/>
    <w:rsid w:val="00BF5AFF"/>
    <w:rsid w:val="00BF5B81"/>
    <w:rsid w:val="00BF5BAD"/>
    <w:rsid w:val="00BF5C97"/>
    <w:rsid w:val="00BF5CA1"/>
    <w:rsid w:val="00BF5D60"/>
    <w:rsid w:val="00BF5E97"/>
    <w:rsid w:val="00BF5E99"/>
    <w:rsid w:val="00BF5F4F"/>
    <w:rsid w:val="00BF5F68"/>
    <w:rsid w:val="00BF6074"/>
    <w:rsid w:val="00BF611B"/>
    <w:rsid w:val="00BF61D9"/>
    <w:rsid w:val="00BF61FF"/>
    <w:rsid w:val="00BF62D8"/>
    <w:rsid w:val="00BF6349"/>
    <w:rsid w:val="00BF6353"/>
    <w:rsid w:val="00BF636E"/>
    <w:rsid w:val="00BF6426"/>
    <w:rsid w:val="00BF6435"/>
    <w:rsid w:val="00BF651D"/>
    <w:rsid w:val="00BF65B7"/>
    <w:rsid w:val="00BF6600"/>
    <w:rsid w:val="00BF6738"/>
    <w:rsid w:val="00BF6745"/>
    <w:rsid w:val="00BF6754"/>
    <w:rsid w:val="00BF67E3"/>
    <w:rsid w:val="00BF685F"/>
    <w:rsid w:val="00BF693C"/>
    <w:rsid w:val="00BF699A"/>
    <w:rsid w:val="00BF69C6"/>
    <w:rsid w:val="00BF6A35"/>
    <w:rsid w:val="00BF6A4C"/>
    <w:rsid w:val="00BF6AB2"/>
    <w:rsid w:val="00BF6C10"/>
    <w:rsid w:val="00BF6F02"/>
    <w:rsid w:val="00BF6F22"/>
    <w:rsid w:val="00BF7052"/>
    <w:rsid w:val="00BF709E"/>
    <w:rsid w:val="00BF7123"/>
    <w:rsid w:val="00BF7171"/>
    <w:rsid w:val="00BF718C"/>
    <w:rsid w:val="00BF729C"/>
    <w:rsid w:val="00BF73C0"/>
    <w:rsid w:val="00BF7438"/>
    <w:rsid w:val="00BF74C5"/>
    <w:rsid w:val="00BF74F1"/>
    <w:rsid w:val="00BF74FF"/>
    <w:rsid w:val="00BF7569"/>
    <w:rsid w:val="00BF75AC"/>
    <w:rsid w:val="00BF7676"/>
    <w:rsid w:val="00BF76AD"/>
    <w:rsid w:val="00BF7783"/>
    <w:rsid w:val="00BF7788"/>
    <w:rsid w:val="00BF77AE"/>
    <w:rsid w:val="00BF7837"/>
    <w:rsid w:val="00BF7860"/>
    <w:rsid w:val="00BF78D9"/>
    <w:rsid w:val="00BF7A0C"/>
    <w:rsid w:val="00BF7A0F"/>
    <w:rsid w:val="00BF7B1F"/>
    <w:rsid w:val="00BF7B56"/>
    <w:rsid w:val="00BF7BB8"/>
    <w:rsid w:val="00BF7BBA"/>
    <w:rsid w:val="00BF7BDC"/>
    <w:rsid w:val="00BF7CEE"/>
    <w:rsid w:val="00BF7DEA"/>
    <w:rsid w:val="00BF7DF6"/>
    <w:rsid w:val="00BF7E01"/>
    <w:rsid w:val="00BF7E0F"/>
    <w:rsid w:val="00BF7E75"/>
    <w:rsid w:val="00BF7E95"/>
    <w:rsid w:val="00BF7E96"/>
    <w:rsid w:val="00BF7EA0"/>
    <w:rsid w:val="00BF7EC1"/>
    <w:rsid w:val="00BF7F27"/>
    <w:rsid w:val="00BF7F36"/>
    <w:rsid w:val="00BF7F42"/>
    <w:rsid w:val="00BF7F7B"/>
    <w:rsid w:val="00C0009A"/>
    <w:rsid w:val="00C0010D"/>
    <w:rsid w:val="00C001B5"/>
    <w:rsid w:val="00C001E5"/>
    <w:rsid w:val="00C002EA"/>
    <w:rsid w:val="00C002F3"/>
    <w:rsid w:val="00C003E9"/>
    <w:rsid w:val="00C004CE"/>
    <w:rsid w:val="00C0052D"/>
    <w:rsid w:val="00C007AE"/>
    <w:rsid w:val="00C007FE"/>
    <w:rsid w:val="00C008D2"/>
    <w:rsid w:val="00C00900"/>
    <w:rsid w:val="00C00A1D"/>
    <w:rsid w:val="00C00AEC"/>
    <w:rsid w:val="00C00AFA"/>
    <w:rsid w:val="00C00B16"/>
    <w:rsid w:val="00C00B50"/>
    <w:rsid w:val="00C00B92"/>
    <w:rsid w:val="00C00BC4"/>
    <w:rsid w:val="00C00C5C"/>
    <w:rsid w:val="00C00CB5"/>
    <w:rsid w:val="00C00DCA"/>
    <w:rsid w:val="00C00DD3"/>
    <w:rsid w:val="00C00EEE"/>
    <w:rsid w:val="00C00F34"/>
    <w:rsid w:val="00C01030"/>
    <w:rsid w:val="00C0105B"/>
    <w:rsid w:val="00C01062"/>
    <w:rsid w:val="00C010F6"/>
    <w:rsid w:val="00C0115E"/>
    <w:rsid w:val="00C011D6"/>
    <w:rsid w:val="00C01263"/>
    <w:rsid w:val="00C0136B"/>
    <w:rsid w:val="00C013A6"/>
    <w:rsid w:val="00C013FA"/>
    <w:rsid w:val="00C01452"/>
    <w:rsid w:val="00C01473"/>
    <w:rsid w:val="00C01557"/>
    <w:rsid w:val="00C01598"/>
    <w:rsid w:val="00C015FF"/>
    <w:rsid w:val="00C0161B"/>
    <w:rsid w:val="00C016CE"/>
    <w:rsid w:val="00C016E0"/>
    <w:rsid w:val="00C01738"/>
    <w:rsid w:val="00C01765"/>
    <w:rsid w:val="00C017A7"/>
    <w:rsid w:val="00C018AF"/>
    <w:rsid w:val="00C0193E"/>
    <w:rsid w:val="00C01A5A"/>
    <w:rsid w:val="00C01A94"/>
    <w:rsid w:val="00C01AC0"/>
    <w:rsid w:val="00C01AD8"/>
    <w:rsid w:val="00C01B02"/>
    <w:rsid w:val="00C01B24"/>
    <w:rsid w:val="00C01B36"/>
    <w:rsid w:val="00C01B61"/>
    <w:rsid w:val="00C01B7E"/>
    <w:rsid w:val="00C01D15"/>
    <w:rsid w:val="00C01D91"/>
    <w:rsid w:val="00C01E6C"/>
    <w:rsid w:val="00C01F1D"/>
    <w:rsid w:val="00C01FF1"/>
    <w:rsid w:val="00C020A8"/>
    <w:rsid w:val="00C02198"/>
    <w:rsid w:val="00C02214"/>
    <w:rsid w:val="00C02221"/>
    <w:rsid w:val="00C02229"/>
    <w:rsid w:val="00C02377"/>
    <w:rsid w:val="00C023DC"/>
    <w:rsid w:val="00C023EC"/>
    <w:rsid w:val="00C02420"/>
    <w:rsid w:val="00C0243C"/>
    <w:rsid w:val="00C024F0"/>
    <w:rsid w:val="00C024F9"/>
    <w:rsid w:val="00C0255F"/>
    <w:rsid w:val="00C025CB"/>
    <w:rsid w:val="00C025D9"/>
    <w:rsid w:val="00C02724"/>
    <w:rsid w:val="00C02785"/>
    <w:rsid w:val="00C02800"/>
    <w:rsid w:val="00C02803"/>
    <w:rsid w:val="00C02813"/>
    <w:rsid w:val="00C0281F"/>
    <w:rsid w:val="00C02886"/>
    <w:rsid w:val="00C028BC"/>
    <w:rsid w:val="00C028F3"/>
    <w:rsid w:val="00C02932"/>
    <w:rsid w:val="00C029AC"/>
    <w:rsid w:val="00C029F0"/>
    <w:rsid w:val="00C029F9"/>
    <w:rsid w:val="00C02A63"/>
    <w:rsid w:val="00C02AD0"/>
    <w:rsid w:val="00C02B03"/>
    <w:rsid w:val="00C02B05"/>
    <w:rsid w:val="00C02D13"/>
    <w:rsid w:val="00C02D73"/>
    <w:rsid w:val="00C02DDC"/>
    <w:rsid w:val="00C02E11"/>
    <w:rsid w:val="00C02E32"/>
    <w:rsid w:val="00C02EE6"/>
    <w:rsid w:val="00C0303C"/>
    <w:rsid w:val="00C03094"/>
    <w:rsid w:val="00C030A2"/>
    <w:rsid w:val="00C03164"/>
    <w:rsid w:val="00C031A7"/>
    <w:rsid w:val="00C03212"/>
    <w:rsid w:val="00C032D9"/>
    <w:rsid w:val="00C032E9"/>
    <w:rsid w:val="00C03333"/>
    <w:rsid w:val="00C03453"/>
    <w:rsid w:val="00C03477"/>
    <w:rsid w:val="00C0348E"/>
    <w:rsid w:val="00C03505"/>
    <w:rsid w:val="00C0355B"/>
    <w:rsid w:val="00C0357F"/>
    <w:rsid w:val="00C03587"/>
    <w:rsid w:val="00C036C6"/>
    <w:rsid w:val="00C036ED"/>
    <w:rsid w:val="00C03784"/>
    <w:rsid w:val="00C03858"/>
    <w:rsid w:val="00C03AB3"/>
    <w:rsid w:val="00C03AD2"/>
    <w:rsid w:val="00C03ADA"/>
    <w:rsid w:val="00C03B41"/>
    <w:rsid w:val="00C03CFB"/>
    <w:rsid w:val="00C03D52"/>
    <w:rsid w:val="00C03EF6"/>
    <w:rsid w:val="00C03F71"/>
    <w:rsid w:val="00C03F73"/>
    <w:rsid w:val="00C03F77"/>
    <w:rsid w:val="00C03FEF"/>
    <w:rsid w:val="00C04001"/>
    <w:rsid w:val="00C04054"/>
    <w:rsid w:val="00C04056"/>
    <w:rsid w:val="00C040B1"/>
    <w:rsid w:val="00C04105"/>
    <w:rsid w:val="00C0423C"/>
    <w:rsid w:val="00C04436"/>
    <w:rsid w:val="00C04454"/>
    <w:rsid w:val="00C0453F"/>
    <w:rsid w:val="00C04579"/>
    <w:rsid w:val="00C04665"/>
    <w:rsid w:val="00C0471C"/>
    <w:rsid w:val="00C04767"/>
    <w:rsid w:val="00C04789"/>
    <w:rsid w:val="00C047B5"/>
    <w:rsid w:val="00C047B9"/>
    <w:rsid w:val="00C04826"/>
    <w:rsid w:val="00C0485F"/>
    <w:rsid w:val="00C049D1"/>
    <w:rsid w:val="00C04A44"/>
    <w:rsid w:val="00C04B43"/>
    <w:rsid w:val="00C04BA4"/>
    <w:rsid w:val="00C04BAE"/>
    <w:rsid w:val="00C04BFF"/>
    <w:rsid w:val="00C04C1D"/>
    <w:rsid w:val="00C04E24"/>
    <w:rsid w:val="00C04E76"/>
    <w:rsid w:val="00C05123"/>
    <w:rsid w:val="00C05245"/>
    <w:rsid w:val="00C0526A"/>
    <w:rsid w:val="00C05288"/>
    <w:rsid w:val="00C052ED"/>
    <w:rsid w:val="00C053B0"/>
    <w:rsid w:val="00C053C8"/>
    <w:rsid w:val="00C053ED"/>
    <w:rsid w:val="00C05425"/>
    <w:rsid w:val="00C05600"/>
    <w:rsid w:val="00C0574A"/>
    <w:rsid w:val="00C0575C"/>
    <w:rsid w:val="00C0576D"/>
    <w:rsid w:val="00C0581B"/>
    <w:rsid w:val="00C05840"/>
    <w:rsid w:val="00C05861"/>
    <w:rsid w:val="00C0587A"/>
    <w:rsid w:val="00C058E7"/>
    <w:rsid w:val="00C05917"/>
    <w:rsid w:val="00C05926"/>
    <w:rsid w:val="00C05A6D"/>
    <w:rsid w:val="00C05A81"/>
    <w:rsid w:val="00C05BAB"/>
    <w:rsid w:val="00C05BB8"/>
    <w:rsid w:val="00C05C1F"/>
    <w:rsid w:val="00C05DF3"/>
    <w:rsid w:val="00C05E51"/>
    <w:rsid w:val="00C05E55"/>
    <w:rsid w:val="00C05EDD"/>
    <w:rsid w:val="00C05F4A"/>
    <w:rsid w:val="00C06014"/>
    <w:rsid w:val="00C060BB"/>
    <w:rsid w:val="00C060D5"/>
    <w:rsid w:val="00C061EF"/>
    <w:rsid w:val="00C0630A"/>
    <w:rsid w:val="00C0640B"/>
    <w:rsid w:val="00C064FF"/>
    <w:rsid w:val="00C065E6"/>
    <w:rsid w:val="00C06623"/>
    <w:rsid w:val="00C06640"/>
    <w:rsid w:val="00C0674D"/>
    <w:rsid w:val="00C067BA"/>
    <w:rsid w:val="00C067CF"/>
    <w:rsid w:val="00C068B0"/>
    <w:rsid w:val="00C069C1"/>
    <w:rsid w:val="00C069FE"/>
    <w:rsid w:val="00C06A52"/>
    <w:rsid w:val="00C06A7A"/>
    <w:rsid w:val="00C06AA4"/>
    <w:rsid w:val="00C06D81"/>
    <w:rsid w:val="00C06D97"/>
    <w:rsid w:val="00C06DDD"/>
    <w:rsid w:val="00C06E1B"/>
    <w:rsid w:val="00C06E3B"/>
    <w:rsid w:val="00C06E48"/>
    <w:rsid w:val="00C06E84"/>
    <w:rsid w:val="00C06EC2"/>
    <w:rsid w:val="00C06F24"/>
    <w:rsid w:val="00C06F90"/>
    <w:rsid w:val="00C07006"/>
    <w:rsid w:val="00C0706B"/>
    <w:rsid w:val="00C07082"/>
    <w:rsid w:val="00C070AE"/>
    <w:rsid w:val="00C0713E"/>
    <w:rsid w:val="00C071E8"/>
    <w:rsid w:val="00C07256"/>
    <w:rsid w:val="00C07264"/>
    <w:rsid w:val="00C07325"/>
    <w:rsid w:val="00C0735B"/>
    <w:rsid w:val="00C073DC"/>
    <w:rsid w:val="00C073F6"/>
    <w:rsid w:val="00C07416"/>
    <w:rsid w:val="00C07436"/>
    <w:rsid w:val="00C0746C"/>
    <w:rsid w:val="00C074E5"/>
    <w:rsid w:val="00C074E8"/>
    <w:rsid w:val="00C0750D"/>
    <w:rsid w:val="00C07544"/>
    <w:rsid w:val="00C0757C"/>
    <w:rsid w:val="00C075B2"/>
    <w:rsid w:val="00C077B2"/>
    <w:rsid w:val="00C077BF"/>
    <w:rsid w:val="00C07A54"/>
    <w:rsid w:val="00C07A5E"/>
    <w:rsid w:val="00C07AC6"/>
    <w:rsid w:val="00C07B01"/>
    <w:rsid w:val="00C07B09"/>
    <w:rsid w:val="00C07B1A"/>
    <w:rsid w:val="00C07C7D"/>
    <w:rsid w:val="00C07C9A"/>
    <w:rsid w:val="00C07CE6"/>
    <w:rsid w:val="00C07DC1"/>
    <w:rsid w:val="00C07E31"/>
    <w:rsid w:val="00C07E9B"/>
    <w:rsid w:val="00C07FB8"/>
    <w:rsid w:val="00C1002A"/>
    <w:rsid w:val="00C1003A"/>
    <w:rsid w:val="00C100CB"/>
    <w:rsid w:val="00C100F9"/>
    <w:rsid w:val="00C10176"/>
    <w:rsid w:val="00C10209"/>
    <w:rsid w:val="00C10298"/>
    <w:rsid w:val="00C10299"/>
    <w:rsid w:val="00C10362"/>
    <w:rsid w:val="00C10363"/>
    <w:rsid w:val="00C103B8"/>
    <w:rsid w:val="00C103C7"/>
    <w:rsid w:val="00C103FF"/>
    <w:rsid w:val="00C10401"/>
    <w:rsid w:val="00C10448"/>
    <w:rsid w:val="00C10450"/>
    <w:rsid w:val="00C10685"/>
    <w:rsid w:val="00C10693"/>
    <w:rsid w:val="00C10736"/>
    <w:rsid w:val="00C1087D"/>
    <w:rsid w:val="00C10A34"/>
    <w:rsid w:val="00C10A8B"/>
    <w:rsid w:val="00C10B5B"/>
    <w:rsid w:val="00C10B87"/>
    <w:rsid w:val="00C10BC9"/>
    <w:rsid w:val="00C10C81"/>
    <w:rsid w:val="00C10CF1"/>
    <w:rsid w:val="00C10CF6"/>
    <w:rsid w:val="00C10CFC"/>
    <w:rsid w:val="00C10D86"/>
    <w:rsid w:val="00C10D89"/>
    <w:rsid w:val="00C10F0F"/>
    <w:rsid w:val="00C10F15"/>
    <w:rsid w:val="00C10F9E"/>
    <w:rsid w:val="00C10FAA"/>
    <w:rsid w:val="00C10FE6"/>
    <w:rsid w:val="00C11047"/>
    <w:rsid w:val="00C11052"/>
    <w:rsid w:val="00C110AC"/>
    <w:rsid w:val="00C110B1"/>
    <w:rsid w:val="00C1111E"/>
    <w:rsid w:val="00C1117A"/>
    <w:rsid w:val="00C11313"/>
    <w:rsid w:val="00C113C0"/>
    <w:rsid w:val="00C11445"/>
    <w:rsid w:val="00C11490"/>
    <w:rsid w:val="00C1155A"/>
    <w:rsid w:val="00C115AF"/>
    <w:rsid w:val="00C1161B"/>
    <w:rsid w:val="00C1166E"/>
    <w:rsid w:val="00C11773"/>
    <w:rsid w:val="00C117E3"/>
    <w:rsid w:val="00C117E8"/>
    <w:rsid w:val="00C118B3"/>
    <w:rsid w:val="00C11968"/>
    <w:rsid w:val="00C119D8"/>
    <w:rsid w:val="00C11A44"/>
    <w:rsid w:val="00C11B8B"/>
    <w:rsid w:val="00C11BE5"/>
    <w:rsid w:val="00C11C3B"/>
    <w:rsid w:val="00C11DA0"/>
    <w:rsid w:val="00C11DEB"/>
    <w:rsid w:val="00C11EB2"/>
    <w:rsid w:val="00C11F00"/>
    <w:rsid w:val="00C11F0C"/>
    <w:rsid w:val="00C11F5B"/>
    <w:rsid w:val="00C11F77"/>
    <w:rsid w:val="00C11F78"/>
    <w:rsid w:val="00C12077"/>
    <w:rsid w:val="00C12078"/>
    <w:rsid w:val="00C1207B"/>
    <w:rsid w:val="00C12104"/>
    <w:rsid w:val="00C1218D"/>
    <w:rsid w:val="00C1223F"/>
    <w:rsid w:val="00C122CD"/>
    <w:rsid w:val="00C122FA"/>
    <w:rsid w:val="00C123B5"/>
    <w:rsid w:val="00C1245A"/>
    <w:rsid w:val="00C124B6"/>
    <w:rsid w:val="00C124EF"/>
    <w:rsid w:val="00C1251D"/>
    <w:rsid w:val="00C12584"/>
    <w:rsid w:val="00C125DD"/>
    <w:rsid w:val="00C125E4"/>
    <w:rsid w:val="00C1266B"/>
    <w:rsid w:val="00C126A7"/>
    <w:rsid w:val="00C126F8"/>
    <w:rsid w:val="00C1278D"/>
    <w:rsid w:val="00C127B1"/>
    <w:rsid w:val="00C127FB"/>
    <w:rsid w:val="00C128C5"/>
    <w:rsid w:val="00C128EE"/>
    <w:rsid w:val="00C1296A"/>
    <w:rsid w:val="00C129E1"/>
    <w:rsid w:val="00C12A91"/>
    <w:rsid w:val="00C12ACD"/>
    <w:rsid w:val="00C12B26"/>
    <w:rsid w:val="00C12B9D"/>
    <w:rsid w:val="00C12C2F"/>
    <w:rsid w:val="00C12C6A"/>
    <w:rsid w:val="00C12D77"/>
    <w:rsid w:val="00C12E04"/>
    <w:rsid w:val="00C12E24"/>
    <w:rsid w:val="00C12E6E"/>
    <w:rsid w:val="00C12EE3"/>
    <w:rsid w:val="00C13006"/>
    <w:rsid w:val="00C1300D"/>
    <w:rsid w:val="00C13092"/>
    <w:rsid w:val="00C130B3"/>
    <w:rsid w:val="00C130F3"/>
    <w:rsid w:val="00C13136"/>
    <w:rsid w:val="00C1316F"/>
    <w:rsid w:val="00C131E7"/>
    <w:rsid w:val="00C13369"/>
    <w:rsid w:val="00C133B3"/>
    <w:rsid w:val="00C134B3"/>
    <w:rsid w:val="00C13555"/>
    <w:rsid w:val="00C135D4"/>
    <w:rsid w:val="00C13614"/>
    <w:rsid w:val="00C13634"/>
    <w:rsid w:val="00C13673"/>
    <w:rsid w:val="00C136E1"/>
    <w:rsid w:val="00C137B2"/>
    <w:rsid w:val="00C137F3"/>
    <w:rsid w:val="00C1381B"/>
    <w:rsid w:val="00C13823"/>
    <w:rsid w:val="00C1386C"/>
    <w:rsid w:val="00C13B30"/>
    <w:rsid w:val="00C13C09"/>
    <w:rsid w:val="00C13C5C"/>
    <w:rsid w:val="00C13CAF"/>
    <w:rsid w:val="00C13CE8"/>
    <w:rsid w:val="00C13D2C"/>
    <w:rsid w:val="00C13D6A"/>
    <w:rsid w:val="00C13DBD"/>
    <w:rsid w:val="00C13ED4"/>
    <w:rsid w:val="00C13F9B"/>
    <w:rsid w:val="00C13FE9"/>
    <w:rsid w:val="00C14051"/>
    <w:rsid w:val="00C140B1"/>
    <w:rsid w:val="00C140C9"/>
    <w:rsid w:val="00C14283"/>
    <w:rsid w:val="00C142BF"/>
    <w:rsid w:val="00C143A9"/>
    <w:rsid w:val="00C143C4"/>
    <w:rsid w:val="00C143E4"/>
    <w:rsid w:val="00C14426"/>
    <w:rsid w:val="00C14457"/>
    <w:rsid w:val="00C14462"/>
    <w:rsid w:val="00C144A0"/>
    <w:rsid w:val="00C144B5"/>
    <w:rsid w:val="00C14538"/>
    <w:rsid w:val="00C145A4"/>
    <w:rsid w:val="00C145B8"/>
    <w:rsid w:val="00C145E9"/>
    <w:rsid w:val="00C1462E"/>
    <w:rsid w:val="00C147D3"/>
    <w:rsid w:val="00C14816"/>
    <w:rsid w:val="00C1487E"/>
    <w:rsid w:val="00C1488D"/>
    <w:rsid w:val="00C148C7"/>
    <w:rsid w:val="00C1494F"/>
    <w:rsid w:val="00C14975"/>
    <w:rsid w:val="00C14989"/>
    <w:rsid w:val="00C14A6A"/>
    <w:rsid w:val="00C14A6E"/>
    <w:rsid w:val="00C14AB1"/>
    <w:rsid w:val="00C14AF7"/>
    <w:rsid w:val="00C14B0E"/>
    <w:rsid w:val="00C14B4F"/>
    <w:rsid w:val="00C14B6F"/>
    <w:rsid w:val="00C14C0E"/>
    <w:rsid w:val="00C14CAA"/>
    <w:rsid w:val="00C14CAC"/>
    <w:rsid w:val="00C14D4D"/>
    <w:rsid w:val="00C14DD6"/>
    <w:rsid w:val="00C14DFC"/>
    <w:rsid w:val="00C14E22"/>
    <w:rsid w:val="00C14E59"/>
    <w:rsid w:val="00C14F11"/>
    <w:rsid w:val="00C14F34"/>
    <w:rsid w:val="00C14F7B"/>
    <w:rsid w:val="00C15000"/>
    <w:rsid w:val="00C1507E"/>
    <w:rsid w:val="00C15135"/>
    <w:rsid w:val="00C15241"/>
    <w:rsid w:val="00C15442"/>
    <w:rsid w:val="00C1567F"/>
    <w:rsid w:val="00C156AB"/>
    <w:rsid w:val="00C156C4"/>
    <w:rsid w:val="00C1576F"/>
    <w:rsid w:val="00C157A3"/>
    <w:rsid w:val="00C157B1"/>
    <w:rsid w:val="00C157CB"/>
    <w:rsid w:val="00C157EE"/>
    <w:rsid w:val="00C15849"/>
    <w:rsid w:val="00C1585C"/>
    <w:rsid w:val="00C1585E"/>
    <w:rsid w:val="00C158C6"/>
    <w:rsid w:val="00C15905"/>
    <w:rsid w:val="00C1595D"/>
    <w:rsid w:val="00C15A09"/>
    <w:rsid w:val="00C15A32"/>
    <w:rsid w:val="00C15A40"/>
    <w:rsid w:val="00C15AC8"/>
    <w:rsid w:val="00C15AEF"/>
    <w:rsid w:val="00C15B6D"/>
    <w:rsid w:val="00C15B95"/>
    <w:rsid w:val="00C15C36"/>
    <w:rsid w:val="00C15C53"/>
    <w:rsid w:val="00C15C93"/>
    <w:rsid w:val="00C15ED6"/>
    <w:rsid w:val="00C15FF9"/>
    <w:rsid w:val="00C15FFA"/>
    <w:rsid w:val="00C16040"/>
    <w:rsid w:val="00C1606D"/>
    <w:rsid w:val="00C160DA"/>
    <w:rsid w:val="00C16135"/>
    <w:rsid w:val="00C1615B"/>
    <w:rsid w:val="00C16295"/>
    <w:rsid w:val="00C16309"/>
    <w:rsid w:val="00C1630E"/>
    <w:rsid w:val="00C16393"/>
    <w:rsid w:val="00C164D8"/>
    <w:rsid w:val="00C16505"/>
    <w:rsid w:val="00C1656F"/>
    <w:rsid w:val="00C16618"/>
    <w:rsid w:val="00C16773"/>
    <w:rsid w:val="00C167EC"/>
    <w:rsid w:val="00C16810"/>
    <w:rsid w:val="00C16834"/>
    <w:rsid w:val="00C1685D"/>
    <w:rsid w:val="00C16942"/>
    <w:rsid w:val="00C169F1"/>
    <w:rsid w:val="00C16A9A"/>
    <w:rsid w:val="00C16AF0"/>
    <w:rsid w:val="00C16B7D"/>
    <w:rsid w:val="00C16BFC"/>
    <w:rsid w:val="00C16C1B"/>
    <w:rsid w:val="00C16C29"/>
    <w:rsid w:val="00C16E1F"/>
    <w:rsid w:val="00C16E40"/>
    <w:rsid w:val="00C16F9D"/>
    <w:rsid w:val="00C16FBA"/>
    <w:rsid w:val="00C17077"/>
    <w:rsid w:val="00C17122"/>
    <w:rsid w:val="00C17125"/>
    <w:rsid w:val="00C17150"/>
    <w:rsid w:val="00C17298"/>
    <w:rsid w:val="00C172F3"/>
    <w:rsid w:val="00C17316"/>
    <w:rsid w:val="00C1739D"/>
    <w:rsid w:val="00C173A8"/>
    <w:rsid w:val="00C17430"/>
    <w:rsid w:val="00C1744D"/>
    <w:rsid w:val="00C1745B"/>
    <w:rsid w:val="00C174D6"/>
    <w:rsid w:val="00C174ED"/>
    <w:rsid w:val="00C1756B"/>
    <w:rsid w:val="00C17907"/>
    <w:rsid w:val="00C1791B"/>
    <w:rsid w:val="00C1793C"/>
    <w:rsid w:val="00C17964"/>
    <w:rsid w:val="00C17979"/>
    <w:rsid w:val="00C17B70"/>
    <w:rsid w:val="00C17BC2"/>
    <w:rsid w:val="00C17BEC"/>
    <w:rsid w:val="00C17C07"/>
    <w:rsid w:val="00C17C48"/>
    <w:rsid w:val="00C17C98"/>
    <w:rsid w:val="00C17C9C"/>
    <w:rsid w:val="00C17CB0"/>
    <w:rsid w:val="00C17D7E"/>
    <w:rsid w:val="00C17E6A"/>
    <w:rsid w:val="00C17F78"/>
    <w:rsid w:val="00C20159"/>
    <w:rsid w:val="00C20197"/>
    <w:rsid w:val="00C201D3"/>
    <w:rsid w:val="00C201FF"/>
    <w:rsid w:val="00C2022D"/>
    <w:rsid w:val="00C202D3"/>
    <w:rsid w:val="00C202E1"/>
    <w:rsid w:val="00C20304"/>
    <w:rsid w:val="00C203F0"/>
    <w:rsid w:val="00C2041E"/>
    <w:rsid w:val="00C204DA"/>
    <w:rsid w:val="00C20509"/>
    <w:rsid w:val="00C20666"/>
    <w:rsid w:val="00C20684"/>
    <w:rsid w:val="00C207A1"/>
    <w:rsid w:val="00C20834"/>
    <w:rsid w:val="00C208D8"/>
    <w:rsid w:val="00C209D9"/>
    <w:rsid w:val="00C20AE4"/>
    <w:rsid w:val="00C20BF9"/>
    <w:rsid w:val="00C20BFD"/>
    <w:rsid w:val="00C20C25"/>
    <w:rsid w:val="00C20C3B"/>
    <w:rsid w:val="00C20C52"/>
    <w:rsid w:val="00C20C5A"/>
    <w:rsid w:val="00C20D22"/>
    <w:rsid w:val="00C20D56"/>
    <w:rsid w:val="00C20D65"/>
    <w:rsid w:val="00C20E29"/>
    <w:rsid w:val="00C20E65"/>
    <w:rsid w:val="00C20E69"/>
    <w:rsid w:val="00C20FD7"/>
    <w:rsid w:val="00C20FEE"/>
    <w:rsid w:val="00C2109D"/>
    <w:rsid w:val="00C21101"/>
    <w:rsid w:val="00C21257"/>
    <w:rsid w:val="00C212C0"/>
    <w:rsid w:val="00C2139A"/>
    <w:rsid w:val="00C2141D"/>
    <w:rsid w:val="00C21493"/>
    <w:rsid w:val="00C21499"/>
    <w:rsid w:val="00C2156B"/>
    <w:rsid w:val="00C215D2"/>
    <w:rsid w:val="00C215F8"/>
    <w:rsid w:val="00C2161B"/>
    <w:rsid w:val="00C21644"/>
    <w:rsid w:val="00C217A5"/>
    <w:rsid w:val="00C217E3"/>
    <w:rsid w:val="00C218E8"/>
    <w:rsid w:val="00C219DC"/>
    <w:rsid w:val="00C219FF"/>
    <w:rsid w:val="00C21A21"/>
    <w:rsid w:val="00C21A4F"/>
    <w:rsid w:val="00C21AB0"/>
    <w:rsid w:val="00C21BA0"/>
    <w:rsid w:val="00C21BA5"/>
    <w:rsid w:val="00C21BFA"/>
    <w:rsid w:val="00C21CCD"/>
    <w:rsid w:val="00C21CF5"/>
    <w:rsid w:val="00C21D0A"/>
    <w:rsid w:val="00C21D3D"/>
    <w:rsid w:val="00C21D81"/>
    <w:rsid w:val="00C21E9E"/>
    <w:rsid w:val="00C21F0B"/>
    <w:rsid w:val="00C21F5A"/>
    <w:rsid w:val="00C21F9C"/>
    <w:rsid w:val="00C21FCD"/>
    <w:rsid w:val="00C2206F"/>
    <w:rsid w:val="00C22160"/>
    <w:rsid w:val="00C22187"/>
    <w:rsid w:val="00C22270"/>
    <w:rsid w:val="00C222CC"/>
    <w:rsid w:val="00C222F5"/>
    <w:rsid w:val="00C22326"/>
    <w:rsid w:val="00C223A8"/>
    <w:rsid w:val="00C223C0"/>
    <w:rsid w:val="00C223C1"/>
    <w:rsid w:val="00C2240F"/>
    <w:rsid w:val="00C224E1"/>
    <w:rsid w:val="00C22570"/>
    <w:rsid w:val="00C225C8"/>
    <w:rsid w:val="00C226BA"/>
    <w:rsid w:val="00C226CA"/>
    <w:rsid w:val="00C22710"/>
    <w:rsid w:val="00C22749"/>
    <w:rsid w:val="00C2274F"/>
    <w:rsid w:val="00C2279B"/>
    <w:rsid w:val="00C227F7"/>
    <w:rsid w:val="00C2288E"/>
    <w:rsid w:val="00C228EE"/>
    <w:rsid w:val="00C22930"/>
    <w:rsid w:val="00C22984"/>
    <w:rsid w:val="00C229E8"/>
    <w:rsid w:val="00C229EF"/>
    <w:rsid w:val="00C22A3F"/>
    <w:rsid w:val="00C22AA5"/>
    <w:rsid w:val="00C22B4D"/>
    <w:rsid w:val="00C22B6F"/>
    <w:rsid w:val="00C22B7B"/>
    <w:rsid w:val="00C22BFF"/>
    <w:rsid w:val="00C22C8A"/>
    <w:rsid w:val="00C22D29"/>
    <w:rsid w:val="00C22D5A"/>
    <w:rsid w:val="00C22D65"/>
    <w:rsid w:val="00C22DD2"/>
    <w:rsid w:val="00C22DFF"/>
    <w:rsid w:val="00C22E38"/>
    <w:rsid w:val="00C22E5C"/>
    <w:rsid w:val="00C22F91"/>
    <w:rsid w:val="00C22FD6"/>
    <w:rsid w:val="00C22FDD"/>
    <w:rsid w:val="00C23026"/>
    <w:rsid w:val="00C2302E"/>
    <w:rsid w:val="00C23060"/>
    <w:rsid w:val="00C23070"/>
    <w:rsid w:val="00C2308D"/>
    <w:rsid w:val="00C231AA"/>
    <w:rsid w:val="00C23237"/>
    <w:rsid w:val="00C23257"/>
    <w:rsid w:val="00C23376"/>
    <w:rsid w:val="00C2348F"/>
    <w:rsid w:val="00C23596"/>
    <w:rsid w:val="00C2376A"/>
    <w:rsid w:val="00C2379A"/>
    <w:rsid w:val="00C237B1"/>
    <w:rsid w:val="00C23827"/>
    <w:rsid w:val="00C23A41"/>
    <w:rsid w:val="00C23A6A"/>
    <w:rsid w:val="00C23AD6"/>
    <w:rsid w:val="00C23B03"/>
    <w:rsid w:val="00C23B0B"/>
    <w:rsid w:val="00C23B25"/>
    <w:rsid w:val="00C23BCD"/>
    <w:rsid w:val="00C23C42"/>
    <w:rsid w:val="00C23C8F"/>
    <w:rsid w:val="00C23E51"/>
    <w:rsid w:val="00C23E87"/>
    <w:rsid w:val="00C23EC8"/>
    <w:rsid w:val="00C23EF2"/>
    <w:rsid w:val="00C24025"/>
    <w:rsid w:val="00C240D8"/>
    <w:rsid w:val="00C24120"/>
    <w:rsid w:val="00C241D3"/>
    <w:rsid w:val="00C24229"/>
    <w:rsid w:val="00C2436B"/>
    <w:rsid w:val="00C24430"/>
    <w:rsid w:val="00C2449E"/>
    <w:rsid w:val="00C244D3"/>
    <w:rsid w:val="00C244DD"/>
    <w:rsid w:val="00C244E4"/>
    <w:rsid w:val="00C24510"/>
    <w:rsid w:val="00C2452A"/>
    <w:rsid w:val="00C24561"/>
    <w:rsid w:val="00C2461B"/>
    <w:rsid w:val="00C24633"/>
    <w:rsid w:val="00C246E7"/>
    <w:rsid w:val="00C2484D"/>
    <w:rsid w:val="00C248D6"/>
    <w:rsid w:val="00C24969"/>
    <w:rsid w:val="00C24B4C"/>
    <w:rsid w:val="00C24BA0"/>
    <w:rsid w:val="00C24BCF"/>
    <w:rsid w:val="00C24C9A"/>
    <w:rsid w:val="00C24CA5"/>
    <w:rsid w:val="00C24E9A"/>
    <w:rsid w:val="00C24F50"/>
    <w:rsid w:val="00C24FC0"/>
    <w:rsid w:val="00C24FFA"/>
    <w:rsid w:val="00C25095"/>
    <w:rsid w:val="00C25120"/>
    <w:rsid w:val="00C25148"/>
    <w:rsid w:val="00C2518C"/>
    <w:rsid w:val="00C25280"/>
    <w:rsid w:val="00C25359"/>
    <w:rsid w:val="00C25377"/>
    <w:rsid w:val="00C253B4"/>
    <w:rsid w:val="00C25476"/>
    <w:rsid w:val="00C25478"/>
    <w:rsid w:val="00C254E3"/>
    <w:rsid w:val="00C254F2"/>
    <w:rsid w:val="00C2550E"/>
    <w:rsid w:val="00C2553D"/>
    <w:rsid w:val="00C2553F"/>
    <w:rsid w:val="00C255E0"/>
    <w:rsid w:val="00C25619"/>
    <w:rsid w:val="00C2563C"/>
    <w:rsid w:val="00C2578A"/>
    <w:rsid w:val="00C257C5"/>
    <w:rsid w:val="00C258E5"/>
    <w:rsid w:val="00C258EA"/>
    <w:rsid w:val="00C2592A"/>
    <w:rsid w:val="00C259A3"/>
    <w:rsid w:val="00C259A6"/>
    <w:rsid w:val="00C259B5"/>
    <w:rsid w:val="00C25AA9"/>
    <w:rsid w:val="00C25AEF"/>
    <w:rsid w:val="00C25B7F"/>
    <w:rsid w:val="00C25BBE"/>
    <w:rsid w:val="00C25C45"/>
    <w:rsid w:val="00C25D27"/>
    <w:rsid w:val="00C25F3B"/>
    <w:rsid w:val="00C26021"/>
    <w:rsid w:val="00C26104"/>
    <w:rsid w:val="00C261ED"/>
    <w:rsid w:val="00C2626E"/>
    <w:rsid w:val="00C26277"/>
    <w:rsid w:val="00C2627D"/>
    <w:rsid w:val="00C2634A"/>
    <w:rsid w:val="00C26351"/>
    <w:rsid w:val="00C2637E"/>
    <w:rsid w:val="00C264AF"/>
    <w:rsid w:val="00C265A9"/>
    <w:rsid w:val="00C26783"/>
    <w:rsid w:val="00C2681E"/>
    <w:rsid w:val="00C2685C"/>
    <w:rsid w:val="00C268D8"/>
    <w:rsid w:val="00C268DA"/>
    <w:rsid w:val="00C269AE"/>
    <w:rsid w:val="00C26BD5"/>
    <w:rsid w:val="00C26BE6"/>
    <w:rsid w:val="00C26C5C"/>
    <w:rsid w:val="00C26C94"/>
    <w:rsid w:val="00C26DFD"/>
    <w:rsid w:val="00C26E47"/>
    <w:rsid w:val="00C26E9A"/>
    <w:rsid w:val="00C26F11"/>
    <w:rsid w:val="00C26F44"/>
    <w:rsid w:val="00C26F96"/>
    <w:rsid w:val="00C26FAD"/>
    <w:rsid w:val="00C27071"/>
    <w:rsid w:val="00C2708B"/>
    <w:rsid w:val="00C27119"/>
    <w:rsid w:val="00C271D5"/>
    <w:rsid w:val="00C272E5"/>
    <w:rsid w:val="00C27399"/>
    <w:rsid w:val="00C2739C"/>
    <w:rsid w:val="00C273D6"/>
    <w:rsid w:val="00C273F8"/>
    <w:rsid w:val="00C27420"/>
    <w:rsid w:val="00C2748A"/>
    <w:rsid w:val="00C274FB"/>
    <w:rsid w:val="00C27661"/>
    <w:rsid w:val="00C276A6"/>
    <w:rsid w:val="00C276CE"/>
    <w:rsid w:val="00C27772"/>
    <w:rsid w:val="00C27813"/>
    <w:rsid w:val="00C27856"/>
    <w:rsid w:val="00C27967"/>
    <w:rsid w:val="00C27974"/>
    <w:rsid w:val="00C2798D"/>
    <w:rsid w:val="00C27A40"/>
    <w:rsid w:val="00C27B81"/>
    <w:rsid w:val="00C27BBE"/>
    <w:rsid w:val="00C27BD0"/>
    <w:rsid w:val="00C27BF0"/>
    <w:rsid w:val="00C27CE2"/>
    <w:rsid w:val="00C27D2E"/>
    <w:rsid w:val="00C27E06"/>
    <w:rsid w:val="00C27FC4"/>
    <w:rsid w:val="00C30010"/>
    <w:rsid w:val="00C3003B"/>
    <w:rsid w:val="00C3017F"/>
    <w:rsid w:val="00C30211"/>
    <w:rsid w:val="00C30316"/>
    <w:rsid w:val="00C30366"/>
    <w:rsid w:val="00C30427"/>
    <w:rsid w:val="00C304DA"/>
    <w:rsid w:val="00C30502"/>
    <w:rsid w:val="00C3064A"/>
    <w:rsid w:val="00C30659"/>
    <w:rsid w:val="00C30789"/>
    <w:rsid w:val="00C307BA"/>
    <w:rsid w:val="00C307C6"/>
    <w:rsid w:val="00C30935"/>
    <w:rsid w:val="00C3095B"/>
    <w:rsid w:val="00C30994"/>
    <w:rsid w:val="00C309AC"/>
    <w:rsid w:val="00C30A04"/>
    <w:rsid w:val="00C30A8C"/>
    <w:rsid w:val="00C30A8F"/>
    <w:rsid w:val="00C30B06"/>
    <w:rsid w:val="00C30B2B"/>
    <w:rsid w:val="00C30BE1"/>
    <w:rsid w:val="00C30C3C"/>
    <w:rsid w:val="00C30D15"/>
    <w:rsid w:val="00C30D24"/>
    <w:rsid w:val="00C30D26"/>
    <w:rsid w:val="00C30E31"/>
    <w:rsid w:val="00C30E5E"/>
    <w:rsid w:val="00C30E96"/>
    <w:rsid w:val="00C30F3F"/>
    <w:rsid w:val="00C31038"/>
    <w:rsid w:val="00C31118"/>
    <w:rsid w:val="00C3119C"/>
    <w:rsid w:val="00C311A0"/>
    <w:rsid w:val="00C311EC"/>
    <w:rsid w:val="00C3127F"/>
    <w:rsid w:val="00C31288"/>
    <w:rsid w:val="00C31347"/>
    <w:rsid w:val="00C31412"/>
    <w:rsid w:val="00C31501"/>
    <w:rsid w:val="00C31514"/>
    <w:rsid w:val="00C31605"/>
    <w:rsid w:val="00C3161E"/>
    <w:rsid w:val="00C316DC"/>
    <w:rsid w:val="00C31746"/>
    <w:rsid w:val="00C31797"/>
    <w:rsid w:val="00C318EC"/>
    <w:rsid w:val="00C318F3"/>
    <w:rsid w:val="00C3193A"/>
    <w:rsid w:val="00C31957"/>
    <w:rsid w:val="00C31B62"/>
    <w:rsid w:val="00C31C34"/>
    <w:rsid w:val="00C31D3D"/>
    <w:rsid w:val="00C31E2F"/>
    <w:rsid w:val="00C31E43"/>
    <w:rsid w:val="00C31E4F"/>
    <w:rsid w:val="00C31E88"/>
    <w:rsid w:val="00C31EB4"/>
    <w:rsid w:val="00C31F1C"/>
    <w:rsid w:val="00C31F75"/>
    <w:rsid w:val="00C31F99"/>
    <w:rsid w:val="00C31FF1"/>
    <w:rsid w:val="00C32004"/>
    <w:rsid w:val="00C32036"/>
    <w:rsid w:val="00C32037"/>
    <w:rsid w:val="00C32087"/>
    <w:rsid w:val="00C320A0"/>
    <w:rsid w:val="00C320C9"/>
    <w:rsid w:val="00C32124"/>
    <w:rsid w:val="00C321A3"/>
    <w:rsid w:val="00C321D7"/>
    <w:rsid w:val="00C321DA"/>
    <w:rsid w:val="00C3220A"/>
    <w:rsid w:val="00C3238F"/>
    <w:rsid w:val="00C323C3"/>
    <w:rsid w:val="00C32424"/>
    <w:rsid w:val="00C3243A"/>
    <w:rsid w:val="00C324B0"/>
    <w:rsid w:val="00C324D2"/>
    <w:rsid w:val="00C32762"/>
    <w:rsid w:val="00C327E0"/>
    <w:rsid w:val="00C328B6"/>
    <w:rsid w:val="00C328EB"/>
    <w:rsid w:val="00C328EF"/>
    <w:rsid w:val="00C32933"/>
    <w:rsid w:val="00C329AC"/>
    <w:rsid w:val="00C32A22"/>
    <w:rsid w:val="00C32A71"/>
    <w:rsid w:val="00C32AA7"/>
    <w:rsid w:val="00C32B49"/>
    <w:rsid w:val="00C32B5A"/>
    <w:rsid w:val="00C32B69"/>
    <w:rsid w:val="00C32BB6"/>
    <w:rsid w:val="00C32C8A"/>
    <w:rsid w:val="00C32CAC"/>
    <w:rsid w:val="00C32CBE"/>
    <w:rsid w:val="00C32CF4"/>
    <w:rsid w:val="00C32E34"/>
    <w:rsid w:val="00C32E35"/>
    <w:rsid w:val="00C32FFE"/>
    <w:rsid w:val="00C33036"/>
    <w:rsid w:val="00C33074"/>
    <w:rsid w:val="00C330EB"/>
    <w:rsid w:val="00C33112"/>
    <w:rsid w:val="00C331F3"/>
    <w:rsid w:val="00C332AC"/>
    <w:rsid w:val="00C33360"/>
    <w:rsid w:val="00C3337B"/>
    <w:rsid w:val="00C333EE"/>
    <w:rsid w:val="00C33412"/>
    <w:rsid w:val="00C334CB"/>
    <w:rsid w:val="00C3350E"/>
    <w:rsid w:val="00C33514"/>
    <w:rsid w:val="00C33567"/>
    <w:rsid w:val="00C33621"/>
    <w:rsid w:val="00C3368E"/>
    <w:rsid w:val="00C33803"/>
    <w:rsid w:val="00C33816"/>
    <w:rsid w:val="00C338E1"/>
    <w:rsid w:val="00C339C0"/>
    <w:rsid w:val="00C339CE"/>
    <w:rsid w:val="00C33A38"/>
    <w:rsid w:val="00C33A41"/>
    <w:rsid w:val="00C33A81"/>
    <w:rsid w:val="00C33ACA"/>
    <w:rsid w:val="00C33B28"/>
    <w:rsid w:val="00C33B51"/>
    <w:rsid w:val="00C33BE9"/>
    <w:rsid w:val="00C33CF4"/>
    <w:rsid w:val="00C33D69"/>
    <w:rsid w:val="00C33EA8"/>
    <w:rsid w:val="00C33FAE"/>
    <w:rsid w:val="00C3402A"/>
    <w:rsid w:val="00C340C9"/>
    <w:rsid w:val="00C34135"/>
    <w:rsid w:val="00C34141"/>
    <w:rsid w:val="00C34146"/>
    <w:rsid w:val="00C3418E"/>
    <w:rsid w:val="00C341BE"/>
    <w:rsid w:val="00C3426D"/>
    <w:rsid w:val="00C34273"/>
    <w:rsid w:val="00C34296"/>
    <w:rsid w:val="00C342A1"/>
    <w:rsid w:val="00C342E3"/>
    <w:rsid w:val="00C343CE"/>
    <w:rsid w:val="00C3442C"/>
    <w:rsid w:val="00C34479"/>
    <w:rsid w:val="00C3454C"/>
    <w:rsid w:val="00C3456B"/>
    <w:rsid w:val="00C345D9"/>
    <w:rsid w:val="00C345F9"/>
    <w:rsid w:val="00C345FE"/>
    <w:rsid w:val="00C346D0"/>
    <w:rsid w:val="00C346D5"/>
    <w:rsid w:val="00C347AF"/>
    <w:rsid w:val="00C347CE"/>
    <w:rsid w:val="00C34818"/>
    <w:rsid w:val="00C3485A"/>
    <w:rsid w:val="00C348B4"/>
    <w:rsid w:val="00C348CE"/>
    <w:rsid w:val="00C34905"/>
    <w:rsid w:val="00C3497E"/>
    <w:rsid w:val="00C34987"/>
    <w:rsid w:val="00C349BF"/>
    <w:rsid w:val="00C34A07"/>
    <w:rsid w:val="00C34A33"/>
    <w:rsid w:val="00C34A3C"/>
    <w:rsid w:val="00C34A88"/>
    <w:rsid w:val="00C34ACA"/>
    <w:rsid w:val="00C34AD6"/>
    <w:rsid w:val="00C34BBA"/>
    <w:rsid w:val="00C34CAF"/>
    <w:rsid w:val="00C34CF4"/>
    <w:rsid w:val="00C34D8E"/>
    <w:rsid w:val="00C34DAF"/>
    <w:rsid w:val="00C34DC6"/>
    <w:rsid w:val="00C34E1C"/>
    <w:rsid w:val="00C34E74"/>
    <w:rsid w:val="00C34E7E"/>
    <w:rsid w:val="00C34EBE"/>
    <w:rsid w:val="00C34EFF"/>
    <w:rsid w:val="00C350DE"/>
    <w:rsid w:val="00C350F6"/>
    <w:rsid w:val="00C3513B"/>
    <w:rsid w:val="00C35173"/>
    <w:rsid w:val="00C351AA"/>
    <w:rsid w:val="00C35288"/>
    <w:rsid w:val="00C352C2"/>
    <w:rsid w:val="00C352F5"/>
    <w:rsid w:val="00C35335"/>
    <w:rsid w:val="00C3538D"/>
    <w:rsid w:val="00C353D3"/>
    <w:rsid w:val="00C354A4"/>
    <w:rsid w:val="00C354C3"/>
    <w:rsid w:val="00C355DE"/>
    <w:rsid w:val="00C35610"/>
    <w:rsid w:val="00C35629"/>
    <w:rsid w:val="00C356DB"/>
    <w:rsid w:val="00C3575D"/>
    <w:rsid w:val="00C35766"/>
    <w:rsid w:val="00C3581D"/>
    <w:rsid w:val="00C358C5"/>
    <w:rsid w:val="00C358E6"/>
    <w:rsid w:val="00C35993"/>
    <w:rsid w:val="00C359DF"/>
    <w:rsid w:val="00C359E1"/>
    <w:rsid w:val="00C35A10"/>
    <w:rsid w:val="00C35A25"/>
    <w:rsid w:val="00C35A71"/>
    <w:rsid w:val="00C35AA7"/>
    <w:rsid w:val="00C35B57"/>
    <w:rsid w:val="00C35BBC"/>
    <w:rsid w:val="00C35BDC"/>
    <w:rsid w:val="00C35C12"/>
    <w:rsid w:val="00C35CCD"/>
    <w:rsid w:val="00C35CD5"/>
    <w:rsid w:val="00C35DB2"/>
    <w:rsid w:val="00C35DC6"/>
    <w:rsid w:val="00C35E69"/>
    <w:rsid w:val="00C35ECC"/>
    <w:rsid w:val="00C35F09"/>
    <w:rsid w:val="00C35F4B"/>
    <w:rsid w:val="00C35F8E"/>
    <w:rsid w:val="00C35F96"/>
    <w:rsid w:val="00C35FBA"/>
    <w:rsid w:val="00C36010"/>
    <w:rsid w:val="00C36024"/>
    <w:rsid w:val="00C360CD"/>
    <w:rsid w:val="00C360FD"/>
    <w:rsid w:val="00C36185"/>
    <w:rsid w:val="00C3623B"/>
    <w:rsid w:val="00C36339"/>
    <w:rsid w:val="00C363AF"/>
    <w:rsid w:val="00C364F1"/>
    <w:rsid w:val="00C36509"/>
    <w:rsid w:val="00C365F8"/>
    <w:rsid w:val="00C366A6"/>
    <w:rsid w:val="00C3672F"/>
    <w:rsid w:val="00C36798"/>
    <w:rsid w:val="00C367C7"/>
    <w:rsid w:val="00C367FE"/>
    <w:rsid w:val="00C3690B"/>
    <w:rsid w:val="00C36A0A"/>
    <w:rsid w:val="00C36A79"/>
    <w:rsid w:val="00C36AB7"/>
    <w:rsid w:val="00C36AD6"/>
    <w:rsid w:val="00C36B09"/>
    <w:rsid w:val="00C36B0A"/>
    <w:rsid w:val="00C36BA5"/>
    <w:rsid w:val="00C36BC1"/>
    <w:rsid w:val="00C36C5B"/>
    <w:rsid w:val="00C36C7C"/>
    <w:rsid w:val="00C36C8B"/>
    <w:rsid w:val="00C36D56"/>
    <w:rsid w:val="00C36D9A"/>
    <w:rsid w:val="00C36DC4"/>
    <w:rsid w:val="00C36E00"/>
    <w:rsid w:val="00C36E72"/>
    <w:rsid w:val="00C36EC5"/>
    <w:rsid w:val="00C37004"/>
    <w:rsid w:val="00C37078"/>
    <w:rsid w:val="00C370D0"/>
    <w:rsid w:val="00C3728D"/>
    <w:rsid w:val="00C372AD"/>
    <w:rsid w:val="00C3739F"/>
    <w:rsid w:val="00C374BB"/>
    <w:rsid w:val="00C37509"/>
    <w:rsid w:val="00C375BA"/>
    <w:rsid w:val="00C3764B"/>
    <w:rsid w:val="00C376A8"/>
    <w:rsid w:val="00C376BB"/>
    <w:rsid w:val="00C3771F"/>
    <w:rsid w:val="00C37767"/>
    <w:rsid w:val="00C3777C"/>
    <w:rsid w:val="00C377D1"/>
    <w:rsid w:val="00C377EA"/>
    <w:rsid w:val="00C377FA"/>
    <w:rsid w:val="00C3781A"/>
    <w:rsid w:val="00C3784C"/>
    <w:rsid w:val="00C3785E"/>
    <w:rsid w:val="00C3789E"/>
    <w:rsid w:val="00C37990"/>
    <w:rsid w:val="00C37993"/>
    <w:rsid w:val="00C37999"/>
    <w:rsid w:val="00C37ABD"/>
    <w:rsid w:val="00C37B1E"/>
    <w:rsid w:val="00C37BD2"/>
    <w:rsid w:val="00C37C0C"/>
    <w:rsid w:val="00C37CF5"/>
    <w:rsid w:val="00C37D73"/>
    <w:rsid w:val="00C37D98"/>
    <w:rsid w:val="00C37DA2"/>
    <w:rsid w:val="00C37DC0"/>
    <w:rsid w:val="00C37E2D"/>
    <w:rsid w:val="00C37E52"/>
    <w:rsid w:val="00C37E53"/>
    <w:rsid w:val="00C37E5E"/>
    <w:rsid w:val="00C37EB6"/>
    <w:rsid w:val="00C37F3A"/>
    <w:rsid w:val="00C37FFB"/>
    <w:rsid w:val="00C40079"/>
    <w:rsid w:val="00C400BB"/>
    <w:rsid w:val="00C400D4"/>
    <w:rsid w:val="00C40134"/>
    <w:rsid w:val="00C401AC"/>
    <w:rsid w:val="00C401EA"/>
    <w:rsid w:val="00C4028E"/>
    <w:rsid w:val="00C4031B"/>
    <w:rsid w:val="00C40350"/>
    <w:rsid w:val="00C403AC"/>
    <w:rsid w:val="00C40485"/>
    <w:rsid w:val="00C404C4"/>
    <w:rsid w:val="00C4060B"/>
    <w:rsid w:val="00C4064D"/>
    <w:rsid w:val="00C406A4"/>
    <w:rsid w:val="00C406AD"/>
    <w:rsid w:val="00C406B5"/>
    <w:rsid w:val="00C4085B"/>
    <w:rsid w:val="00C408A9"/>
    <w:rsid w:val="00C408B4"/>
    <w:rsid w:val="00C4090D"/>
    <w:rsid w:val="00C40914"/>
    <w:rsid w:val="00C409BF"/>
    <w:rsid w:val="00C409EC"/>
    <w:rsid w:val="00C409FD"/>
    <w:rsid w:val="00C40A07"/>
    <w:rsid w:val="00C40ADE"/>
    <w:rsid w:val="00C40B2D"/>
    <w:rsid w:val="00C40B66"/>
    <w:rsid w:val="00C40B8D"/>
    <w:rsid w:val="00C40C08"/>
    <w:rsid w:val="00C40D80"/>
    <w:rsid w:val="00C40E29"/>
    <w:rsid w:val="00C40F49"/>
    <w:rsid w:val="00C40F9F"/>
    <w:rsid w:val="00C40FB7"/>
    <w:rsid w:val="00C40FEC"/>
    <w:rsid w:val="00C41065"/>
    <w:rsid w:val="00C410DC"/>
    <w:rsid w:val="00C410ED"/>
    <w:rsid w:val="00C41102"/>
    <w:rsid w:val="00C411ED"/>
    <w:rsid w:val="00C4121A"/>
    <w:rsid w:val="00C41282"/>
    <w:rsid w:val="00C412D1"/>
    <w:rsid w:val="00C412F2"/>
    <w:rsid w:val="00C41346"/>
    <w:rsid w:val="00C41390"/>
    <w:rsid w:val="00C4143E"/>
    <w:rsid w:val="00C41457"/>
    <w:rsid w:val="00C4149C"/>
    <w:rsid w:val="00C41545"/>
    <w:rsid w:val="00C417E1"/>
    <w:rsid w:val="00C418C0"/>
    <w:rsid w:val="00C41952"/>
    <w:rsid w:val="00C419CA"/>
    <w:rsid w:val="00C41A32"/>
    <w:rsid w:val="00C41EB5"/>
    <w:rsid w:val="00C41F06"/>
    <w:rsid w:val="00C41F27"/>
    <w:rsid w:val="00C41FF4"/>
    <w:rsid w:val="00C42012"/>
    <w:rsid w:val="00C4202D"/>
    <w:rsid w:val="00C420A4"/>
    <w:rsid w:val="00C4218E"/>
    <w:rsid w:val="00C421A9"/>
    <w:rsid w:val="00C421FF"/>
    <w:rsid w:val="00C42213"/>
    <w:rsid w:val="00C4227C"/>
    <w:rsid w:val="00C42353"/>
    <w:rsid w:val="00C423B5"/>
    <w:rsid w:val="00C423BA"/>
    <w:rsid w:val="00C423D5"/>
    <w:rsid w:val="00C4243C"/>
    <w:rsid w:val="00C424C2"/>
    <w:rsid w:val="00C42506"/>
    <w:rsid w:val="00C42520"/>
    <w:rsid w:val="00C42566"/>
    <w:rsid w:val="00C4257F"/>
    <w:rsid w:val="00C425C8"/>
    <w:rsid w:val="00C4269C"/>
    <w:rsid w:val="00C4273C"/>
    <w:rsid w:val="00C42750"/>
    <w:rsid w:val="00C42861"/>
    <w:rsid w:val="00C4288E"/>
    <w:rsid w:val="00C4289D"/>
    <w:rsid w:val="00C42A9D"/>
    <w:rsid w:val="00C42B85"/>
    <w:rsid w:val="00C42C02"/>
    <w:rsid w:val="00C42C2E"/>
    <w:rsid w:val="00C42CC2"/>
    <w:rsid w:val="00C42D43"/>
    <w:rsid w:val="00C42D48"/>
    <w:rsid w:val="00C42D7D"/>
    <w:rsid w:val="00C42DE5"/>
    <w:rsid w:val="00C42E59"/>
    <w:rsid w:val="00C42E88"/>
    <w:rsid w:val="00C42EEB"/>
    <w:rsid w:val="00C42FB7"/>
    <w:rsid w:val="00C43191"/>
    <w:rsid w:val="00C4326C"/>
    <w:rsid w:val="00C4334A"/>
    <w:rsid w:val="00C433A1"/>
    <w:rsid w:val="00C43462"/>
    <w:rsid w:val="00C43464"/>
    <w:rsid w:val="00C43564"/>
    <w:rsid w:val="00C43762"/>
    <w:rsid w:val="00C43848"/>
    <w:rsid w:val="00C438E7"/>
    <w:rsid w:val="00C4395B"/>
    <w:rsid w:val="00C439BE"/>
    <w:rsid w:val="00C439DA"/>
    <w:rsid w:val="00C43A3B"/>
    <w:rsid w:val="00C43A54"/>
    <w:rsid w:val="00C43A5C"/>
    <w:rsid w:val="00C43A63"/>
    <w:rsid w:val="00C43AC3"/>
    <w:rsid w:val="00C43AE5"/>
    <w:rsid w:val="00C43B78"/>
    <w:rsid w:val="00C43B84"/>
    <w:rsid w:val="00C43C3C"/>
    <w:rsid w:val="00C43C7C"/>
    <w:rsid w:val="00C43CAE"/>
    <w:rsid w:val="00C43D46"/>
    <w:rsid w:val="00C43D68"/>
    <w:rsid w:val="00C43EA9"/>
    <w:rsid w:val="00C43EC3"/>
    <w:rsid w:val="00C43ED4"/>
    <w:rsid w:val="00C43ED7"/>
    <w:rsid w:val="00C43FD5"/>
    <w:rsid w:val="00C440B2"/>
    <w:rsid w:val="00C4413C"/>
    <w:rsid w:val="00C441BC"/>
    <w:rsid w:val="00C441E0"/>
    <w:rsid w:val="00C4437E"/>
    <w:rsid w:val="00C443C4"/>
    <w:rsid w:val="00C443E9"/>
    <w:rsid w:val="00C44524"/>
    <w:rsid w:val="00C44530"/>
    <w:rsid w:val="00C44560"/>
    <w:rsid w:val="00C44650"/>
    <w:rsid w:val="00C44675"/>
    <w:rsid w:val="00C446FA"/>
    <w:rsid w:val="00C447A7"/>
    <w:rsid w:val="00C44848"/>
    <w:rsid w:val="00C448FA"/>
    <w:rsid w:val="00C4494A"/>
    <w:rsid w:val="00C44955"/>
    <w:rsid w:val="00C44998"/>
    <w:rsid w:val="00C44B0A"/>
    <w:rsid w:val="00C44B27"/>
    <w:rsid w:val="00C44D04"/>
    <w:rsid w:val="00C44D37"/>
    <w:rsid w:val="00C44D60"/>
    <w:rsid w:val="00C44E35"/>
    <w:rsid w:val="00C44E52"/>
    <w:rsid w:val="00C44E56"/>
    <w:rsid w:val="00C44E94"/>
    <w:rsid w:val="00C44F95"/>
    <w:rsid w:val="00C450AF"/>
    <w:rsid w:val="00C4521D"/>
    <w:rsid w:val="00C4526C"/>
    <w:rsid w:val="00C45289"/>
    <w:rsid w:val="00C4537C"/>
    <w:rsid w:val="00C45429"/>
    <w:rsid w:val="00C454A3"/>
    <w:rsid w:val="00C454FD"/>
    <w:rsid w:val="00C45563"/>
    <w:rsid w:val="00C455B0"/>
    <w:rsid w:val="00C456F2"/>
    <w:rsid w:val="00C456FC"/>
    <w:rsid w:val="00C457A5"/>
    <w:rsid w:val="00C458DC"/>
    <w:rsid w:val="00C458EB"/>
    <w:rsid w:val="00C458F7"/>
    <w:rsid w:val="00C459CF"/>
    <w:rsid w:val="00C45AB7"/>
    <w:rsid w:val="00C45CAE"/>
    <w:rsid w:val="00C45DFA"/>
    <w:rsid w:val="00C45E19"/>
    <w:rsid w:val="00C45E20"/>
    <w:rsid w:val="00C45E64"/>
    <w:rsid w:val="00C45F45"/>
    <w:rsid w:val="00C45FDE"/>
    <w:rsid w:val="00C4612C"/>
    <w:rsid w:val="00C462B9"/>
    <w:rsid w:val="00C4633B"/>
    <w:rsid w:val="00C46453"/>
    <w:rsid w:val="00C4648E"/>
    <w:rsid w:val="00C464A7"/>
    <w:rsid w:val="00C464AB"/>
    <w:rsid w:val="00C464EF"/>
    <w:rsid w:val="00C465EB"/>
    <w:rsid w:val="00C4666F"/>
    <w:rsid w:val="00C466AC"/>
    <w:rsid w:val="00C466D3"/>
    <w:rsid w:val="00C46755"/>
    <w:rsid w:val="00C467AE"/>
    <w:rsid w:val="00C467C7"/>
    <w:rsid w:val="00C467CE"/>
    <w:rsid w:val="00C46840"/>
    <w:rsid w:val="00C46846"/>
    <w:rsid w:val="00C4684B"/>
    <w:rsid w:val="00C46886"/>
    <w:rsid w:val="00C4689B"/>
    <w:rsid w:val="00C468C0"/>
    <w:rsid w:val="00C46936"/>
    <w:rsid w:val="00C46969"/>
    <w:rsid w:val="00C46990"/>
    <w:rsid w:val="00C469A1"/>
    <w:rsid w:val="00C469D4"/>
    <w:rsid w:val="00C469FE"/>
    <w:rsid w:val="00C46A4F"/>
    <w:rsid w:val="00C46AC5"/>
    <w:rsid w:val="00C46B4F"/>
    <w:rsid w:val="00C46CEA"/>
    <w:rsid w:val="00C46D3E"/>
    <w:rsid w:val="00C46D65"/>
    <w:rsid w:val="00C46DC3"/>
    <w:rsid w:val="00C46E3A"/>
    <w:rsid w:val="00C46FBE"/>
    <w:rsid w:val="00C46FC6"/>
    <w:rsid w:val="00C46FCA"/>
    <w:rsid w:val="00C471E4"/>
    <w:rsid w:val="00C4722B"/>
    <w:rsid w:val="00C4722D"/>
    <w:rsid w:val="00C47231"/>
    <w:rsid w:val="00C472A3"/>
    <w:rsid w:val="00C47303"/>
    <w:rsid w:val="00C47428"/>
    <w:rsid w:val="00C47436"/>
    <w:rsid w:val="00C47438"/>
    <w:rsid w:val="00C4748E"/>
    <w:rsid w:val="00C474AD"/>
    <w:rsid w:val="00C47534"/>
    <w:rsid w:val="00C47572"/>
    <w:rsid w:val="00C47590"/>
    <w:rsid w:val="00C475A6"/>
    <w:rsid w:val="00C475AA"/>
    <w:rsid w:val="00C47624"/>
    <w:rsid w:val="00C4763D"/>
    <w:rsid w:val="00C476B1"/>
    <w:rsid w:val="00C476C7"/>
    <w:rsid w:val="00C47715"/>
    <w:rsid w:val="00C4779F"/>
    <w:rsid w:val="00C478BD"/>
    <w:rsid w:val="00C479D3"/>
    <w:rsid w:val="00C47B0A"/>
    <w:rsid w:val="00C47B58"/>
    <w:rsid w:val="00C47B9C"/>
    <w:rsid w:val="00C47C2C"/>
    <w:rsid w:val="00C47C39"/>
    <w:rsid w:val="00C47D1E"/>
    <w:rsid w:val="00C47D35"/>
    <w:rsid w:val="00C47DCA"/>
    <w:rsid w:val="00C47E27"/>
    <w:rsid w:val="00C47E95"/>
    <w:rsid w:val="00C47EC4"/>
    <w:rsid w:val="00C50077"/>
    <w:rsid w:val="00C501B2"/>
    <w:rsid w:val="00C501E5"/>
    <w:rsid w:val="00C50279"/>
    <w:rsid w:val="00C50361"/>
    <w:rsid w:val="00C5041F"/>
    <w:rsid w:val="00C504D3"/>
    <w:rsid w:val="00C5062F"/>
    <w:rsid w:val="00C50648"/>
    <w:rsid w:val="00C5068F"/>
    <w:rsid w:val="00C50717"/>
    <w:rsid w:val="00C507B8"/>
    <w:rsid w:val="00C5095D"/>
    <w:rsid w:val="00C509CD"/>
    <w:rsid w:val="00C509F8"/>
    <w:rsid w:val="00C50A13"/>
    <w:rsid w:val="00C50A26"/>
    <w:rsid w:val="00C50D00"/>
    <w:rsid w:val="00C50D9D"/>
    <w:rsid w:val="00C50DE0"/>
    <w:rsid w:val="00C50E0C"/>
    <w:rsid w:val="00C50EC9"/>
    <w:rsid w:val="00C50FCE"/>
    <w:rsid w:val="00C51000"/>
    <w:rsid w:val="00C51041"/>
    <w:rsid w:val="00C51042"/>
    <w:rsid w:val="00C510C7"/>
    <w:rsid w:val="00C51172"/>
    <w:rsid w:val="00C511BB"/>
    <w:rsid w:val="00C51257"/>
    <w:rsid w:val="00C51330"/>
    <w:rsid w:val="00C513C7"/>
    <w:rsid w:val="00C513F6"/>
    <w:rsid w:val="00C514B7"/>
    <w:rsid w:val="00C515F1"/>
    <w:rsid w:val="00C516A9"/>
    <w:rsid w:val="00C51775"/>
    <w:rsid w:val="00C51790"/>
    <w:rsid w:val="00C517DE"/>
    <w:rsid w:val="00C517FA"/>
    <w:rsid w:val="00C5184D"/>
    <w:rsid w:val="00C51879"/>
    <w:rsid w:val="00C518B4"/>
    <w:rsid w:val="00C518F8"/>
    <w:rsid w:val="00C51925"/>
    <w:rsid w:val="00C51976"/>
    <w:rsid w:val="00C519BE"/>
    <w:rsid w:val="00C519DD"/>
    <w:rsid w:val="00C519EA"/>
    <w:rsid w:val="00C519F6"/>
    <w:rsid w:val="00C51A1A"/>
    <w:rsid w:val="00C51AA9"/>
    <w:rsid w:val="00C51B1D"/>
    <w:rsid w:val="00C51B2B"/>
    <w:rsid w:val="00C51B55"/>
    <w:rsid w:val="00C51B69"/>
    <w:rsid w:val="00C51C17"/>
    <w:rsid w:val="00C51D70"/>
    <w:rsid w:val="00C51DBC"/>
    <w:rsid w:val="00C51EA5"/>
    <w:rsid w:val="00C51EFF"/>
    <w:rsid w:val="00C51F19"/>
    <w:rsid w:val="00C51F1D"/>
    <w:rsid w:val="00C51FD6"/>
    <w:rsid w:val="00C520B8"/>
    <w:rsid w:val="00C5210A"/>
    <w:rsid w:val="00C5213D"/>
    <w:rsid w:val="00C52197"/>
    <w:rsid w:val="00C52269"/>
    <w:rsid w:val="00C52280"/>
    <w:rsid w:val="00C5229F"/>
    <w:rsid w:val="00C522A3"/>
    <w:rsid w:val="00C522B8"/>
    <w:rsid w:val="00C522C6"/>
    <w:rsid w:val="00C52346"/>
    <w:rsid w:val="00C52445"/>
    <w:rsid w:val="00C52516"/>
    <w:rsid w:val="00C5253D"/>
    <w:rsid w:val="00C526BE"/>
    <w:rsid w:val="00C52783"/>
    <w:rsid w:val="00C5283D"/>
    <w:rsid w:val="00C5296B"/>
    <w:rsid w:val="00C52A62"/>
    <w:rsid w:val="00C52AFB"/>
    <w:rsid w:val="00C52BE8"/>
    <w:rsid w:val="00C52D0E"/>
    <w:rsid w:val="00C52D5D"/>
    <w:rsid w:val="00C52D8C"/>
    <w:rsid w:val="00C52E75"/>
    <w:rsid w:val="00C52F64"/>
    <w:rsid w:val="00C5301F"/>
    <w:rsid w:val="00C530EE"/>
    <w:rsid w:val="00C530FF"/>
    <w:rsid w:val="00C5312E"/>
    <w:rsid w:val="00C53192"/>
    <w:rsid w:val="00C531A0"/>
    <w:rsid w:val="00C53209"/>
    <w:rsid w:val="00C53225"/>
    <w:rsid w:val="00C532FE"/>
    <w:rsid w:val="00C5336F"/>
    <w:rsid w:val="00C53399"/>
    <w:rsid w:val="00C533AD"/>
    <w:rsid w:val="00C5342F"/>
    <w:rsid w:val="00C5350D"/>
    <w:rsid w:val="00C53576"/>
    <w:rsid w:val="00C535BC"/>
    <w:rsid w:val="00C535DD"/>
    <w:rsid w:val="00C536D9"/>
    <w:rsid w:val="00C536DA"/>
    <w:rsid w:val="00C5371A"/>
    <w:rsid w:val="00C537AA"/>
    <w:rsid w:val="00C5380B"/>
    <w:rsid w:val="00C5391A"/>
    <w:rsid w:val="00C53958"/>
    <w:rsid w:val="00C539C7"/>
    <w:rsid w:val="00C53B0E"/>
    <w:rsid w:val="00C53B25"/>
    <w:rsid w:val="00C53BA0"/>
    <w:rsid w:val="00C53BA2"/>
    <w:rsid w:val="00C53BB7"/>
    <w:rsid w:val="00C53D05"/>
    <w:rsid w:val="00C53DBA"/>
    <w:rsid w:val="00C53DDB"/>
    <w:rsid w:val="00C53E25"/>
    <w:rsid w:val="00C53E86"/>
    <w:rsid w:val="00C53EA7"/>
    <w:rsid w:val="00C53EFE"/>
    <w:rsid w:val="00C53F51"/>
    <w:rsid w:val="00C53F98"/>
    <w:rsid w:val="00C53FB4"/>
    <w:rsid w:val="00C53FB7"/>
    <w:rsid w:val="00C541BA"/>
    <w:rsid w:val="00C54238"/>
    <w:rsid w:val="00C54379"/>
    <w:rsid w:val="00C543B4"/>
    <w:rsid w:val="00C543BE"/>
    <w:rsid w:val="00C54432"/>
    <w:rsid w:val="00C544F6"/>
    <w:rsid w:val="00C54588"/>
    <w:rsid w:val="00C545BC"/>
    <w:rsid w:val="00C54651"/>
    <w:rsid w:val="00C546AC"/>
    <w:rsid w:val="00C546DA"/>
    <w:rsid w:val="00C54789"/>
    <w:rsid w:val="00C547BF"/>
    <w:rsid w:val="00C5481B"/>
    <w:rsid w:val="00C5487A"/>
    <w:rsid w:val="00C548AC"/>
    <w:rsid w:val="00C54917"/>
    <w:rsid w:val="00C549FB"/>
    <w:rsid w:val="00C54A02"/>
    <w:rsid w:val="00C54AC7"/>
    <w:rsid w:val="00C54ACD"/>
    <w:rsid w:val="00C54BE6"/>
    <w:rsid w:val="00C54C21"/>
    <w:rsid w:val="00C54C7E"/>
    <w:rsid w:val="00C54DF7"/>
    <w:rsid w:val="00C54E26"/>
    <w:rsid w:val="00C54E76"/>
    <w:rsid w:val="00C54F3D"/>
    <w:rsid w:val="00C55049"/>
    <w:rsid w:val="00C550A1"/>
    <w:rsid w:val="00C550FB"/>
    <w:rsid w:val="00C55204"/>
    <w:rsid w:val="00C55245"/>
    <w:rsid w:val="00C55358"/>
    <w:rsid w:val="00C5545A"/>
    <w:rsid w:val="00C5547E"/>
    <w:rsid w:val="00C554BC"/>
    <w:rsid w:val="00C554F2"/>
    <w:rsid w:val="00C554FC"/>
    <w:rsid w:val="00C55625"/>
    <w:rsid w:val="00C55677"/>
    <w:rsid w:val="00C55729"/>
    <w:rsid w:val="00C55767"/>
    <w:rsid w:val="00C55862"/>
    <w:rsid w:val="00C55910"/>
    <w:rsid w:val="00C5592A"/>
    <w:rsid w:val="00C55968"/>
    <w:rsid w:val="00C55ADD"/>
    <w:rsid w:val="00C55B99"/>
    <w:rsid w:val="00C55C92"/>
    <w:rsid w:val="00C55DB4"/>
    <w:rsid w:val="00C55E9D"/>
    <w:rsid w:val="00C55EA2"/>
    <w:rsid w:val="00C55F13"/>
    <w:rsid w:val="00C55F2A"/>
    <w:rsid w:val="00C5608D"/>
    <w:rsid w:val="00C560A5"/>
    <w:rsid w:val="00C56153"/>
    <w:rsid w:val="00C56216"/>
    <w:rsid w:val="00C56240"/>
    <w:rsid w:val="00C5630C"/>
    <w:rsid w:val="00C563D4"/>
    <w:rsid w:val="00C563FF"/>
    <w:rsid w:val="00C564DE"/>
    <w:rsid w:val="00C56520"/>
    <w:rsid w:val="00C5652C"/>
    <w:rsid w:val="00C5655F"/>
    <w:rsid w:val="00C56560"/>
    <w:rsid w:val="00C565CB"/>
    <w:rsid w:val="00C56654"/>
    <w:rsid w:val="00C56713"/>
    <w:rsid w:val="00C56794"/>
    <w:rsid w:val="00C568B7"/>
    <w:rsid w:val="00C56921"/>
    <w:rsid w:val="00C569A8"/>
    <w:rsid w:val="00C569C2"/>
    <w:rsid w:val="00C569E7"/>
    <w:rsid w:val="00C56A17"/>
    <w:rsid w:val="00C56A36"/>
    <w:rsid w:val="00C56A72"/>
    <w:rsid w:val="00C56AB2"/>
    <w:rsid w:val="00C56AE2"/>
    <w:rsid w:val="00C56B07"/>
    <w:rsid w:val="00C56B47"/>
    <w:rsid w:val="00C56BC1"/>
    <w:rsid w:val="00C56C21"/>
    <w:rsid w:val="00C56C36"/>
    <w:rsid w:val="00C56C8F"/>
    <w:rsid w:val="00C56C95"/>
    <w:rsid w:val="00C56CA6"/>
    <w:rsid w:val="00C56CAC"/>
    <w:rsid w:val="00C56DC4"/>
    <w:rsid w:val="00C56DEB"/>
    <w:rsid w:val="00C56EDA"/>
    <w:rsid w:val="00C56EDB"/>
    <w:rsid w:val="00C57018"/>
    <w:rsid w:val="00C57077"/>
    <w:rsid w:val="00C57175"/>
    <w:rsid w:val="00C571B4"/>
    <w:rsid w:val="00C571FC"/>
    <w:rsid w:val="00C57253"/>
    <w:rsid w:val="00C572B8"/>
    <w:rsid w:val="00C572FC"/>
    <w:rsid w:val="00C57310"/>
    <w:rsid w:val="00C5736C"/>
    <w:rsid w:val="00C57392"/>
    <w:rsid w:val="00C5751D"/>
    <w:rsid w:val="00C57543"/>
    <w:rsid w:val="00C57648"/>
    <w:rsid w:val="00C5764C"/>
    <w:rsid w:val="00C5769A"/>
    <w:rsid w:val="00C576C1"/>
    <w:rsid w:val="00C57716"/>
    <w:rsid w:val="00C57794"/>
    <w:rsid w:val="00C577CB"/>
    <w:rsid w:val="00C577E7"/>
    <w:rsid w:val="00C57800"/>
    <w:rsid w:val="00C578A4"/>
    <w:rsid w:val="00C578A5"/>
    <w:rsid w:val="00C5793E"/>
    <w:rsid w:val="00C57955"/>
    <w:rsid w:val="00C57A28"/>
    <w:rsid w:val="00C57A86"/>
    <w:rsid w:val="00C57AEF"/>
    <w:rsid w:val="00C57D16"/>
    <w:rsid w:val="00C57D20"/>
    <w:rsid w:val="00C57D27"/>
    <w:rsid w:val="00C57DFB"/>
    <w:rsid w:val="00C57DFD"/>
    <w:rsid w:val="00C57EF9"/>
    <w:rsid w:val="00C57F42"/>
    <w:rsid w:val="00C57FBE"/>
    <w:rsid w:val="00C60020"/>
    <w:rsid w:val="00C6008C"/>
    <w:rsid w:val="00C600B2"/>
    <w:rsid w:val="00C600C7"/>
    <w:rsid w:val="00C600DB"/>
    <w:rsid w:val="00C6013D"/>
    <w:rsid w:val="00C6016B"/>
    <w:rsid w:val="00C601F4"/>
    <w:rsid w:val="00C60215"/>
    <w:rsid w:val="00C60269"/>
    <w:rsid w:val="00C602FA"/>
    <w:rsid w:val="00C6037E"/>
    <w:rsid w:val="00C6038A"/>
    <w:rsid w:val="00C603B7"/>
    <w:rsid w:val="00C60420"/>
    <w:rsid w:val="00C60434"/>
    <w:rsid w:val="00C6049A"/>
    <w:rsid w:val="00C60534"/>
    <w:rsid w:val="00C605AB"/>
    <w:rsid w:val="00C605C7"/>
    <w:rsid w:val="00C605D0"/>
    <w:rsid w:val="00C60655"/>
    <w:rsid w:val="00C60834"/>
    <w:rsid w:val="00C60885"/>
    <w:rsid w:val="00C608B8"/>
    <w:rsid w:val="00C608E7"/>
    <w:rsid w:val="00C60954"/>
    <w:rsid w:val="00C60959"/>
    <w:rsid w:val="00C60976"/>
    <w:rsid w:val="00C6097B"/>
    <w:rsid w:val="00C609BA"/>
    <w:rsid w:val="00C609DD"/>
    <w:rsid w:val="00C60A25"/>
    <w:rsid w:val="00C60AC2"/>
    <w:rsid w:val="00C60B06"/>
    <w:rsid w:val="00C60B64"/>
    <w:rsid w:val="00C60C41"/>
    <w:rsid w:val="00C60C9B"/>
    <w:rsid w:val="00C60D65"/>
    <w:rsid w:val="00C60D6B"/>
    <w:rsid w:val="00C60D85"/>
    <w:rsid w:val="00C60E6E"/>
    <w:rsid w:val="00C60FEF"/>
    <w:rsid w:val="00C61007"/>
    <w:rsid w:val="00C610EC"/>
    <w:rsid w:val="00C61123"/>
    <w:rsid w:val="00C6116E"/>
    <w:rsid w:val="00C6118B"/>
    <w:rsid w:val="00C611D7"/>
    <w:rsid w:val="00C6140F"/>
    <w:rsid w:val="00C61455"/>
    <w:rsid w:val="00C6145C"/>
    <w:rsid w:val="00C61471"/>
    <w:rsid w:val="00C61505"/>
    <w:rsid w:val="00C6152B"/>
    <w:rsid w:val="00C61576"/>
    <w:rsid w:val="00C61605"/>
    <w:rsid w:val="00C61675"/>
    <w:rsid w:val="00C616C1"/>
    <w:rsid w:val="00C61712"/>
    <w:rsid w:val="00C617CC"/>
    <w:rsid w:val="00C61904"/>
    <w:rsid w:val="00C6191D"/>
    <w:rsid w:val="00C61980"/>
    <w:rsid w:val="00C61A65"/>
    <w:rsid w:val="00C61A9C"/>
    <w:rsid w:val="00C61AC3"/>
    <w:rsid w:val="00C61AED"/>
    <w:rsid w:val="00C61BA2"/>
    <w:rsid w:val="00C61D1D"/>
    <w:rsid w:val="00C61DD9"/>
    <w:rsid w:val="00C61DE8"/>
    <w:rsid w:val="00C61E94"/>
    <w:rsid w:val="00C61F60"/>
    <w:rsid w:val="00C62067"/>
    <w:rsid w:val="00C62108"/>
    <w:rsid w:val="00C62118"/>
    <w:rsid w:val="00C6212A"/>
    <w:rsid w:val="00C62130"/>
    <w:rsid w:val="00C621F7"/>
    <w:rsid w:val="00C62234"/>
    <w:rsid w:val="00C62312"/>
    <w:rsid w:val="00C62353"/>
    <w:rsid w:val="00C623DB"/>
    <w:rsid w:val="00C6241E"/>
    <w:rsid w:val="00C6243F"/>
    <w:rsid w:val="00C62481"/>
    <w:rsid w:val="00C62492"/>
    <w:rsid w:val="00C62561"/>
    <w:rsid w:val="00C62624"/>
    <w:rsid w:val="00C626F3"/>
    <w:rsid w:val="00C6271C"/>
    <w:rsid w:val="00C6276A"/>
    <w:rsid w:val="00C628FA"/>
    <w:rsid w:val="00C62922"/>
    <w:rsid w:val="00C62943"/>
    <w:rsid w:val="00C629EE"/>
    <w:rsid w:val="00C62A5E"/>
    <w:rsid w:val="00C62A80"/>
    <w:rsid w:val="00C62A9E"/>
    <w:rsid w:val="00C62B5C"/>
    <w:rsid w:val="00C62B9E"/>
    <w:rsid w:val="00C62BD2"/>
    <w:rsid w:val="00C62DD8"/>
    <w:rsid w:val="00C62E1F"/>
    <w:rsid w:val="00C62E5C"/>
    <w:rsid w:val="00C62E7B"/>
    <w:rsid w:val="00C62EE0"/>
    <w:rsid w:val="00C62EF1"/>
    <w:rsid w:val="00C62FE5"/>
    <w:rsid w:val="00C63052"/>
    <w:rsid w:val="00C63074"/>
    <w:rsid w:val="00C63135"/>
    <w:rsid w:val="00C632AB"/>
    <w:rsid w:val="00C63443"/>
    <w:rsid w:val="00C63489"/>
    <w:rsid w:val="00C63663"/>
    <w:rsid w:val="00C6366F"/>
    <w:rsid w:val="00C636A1"/>
    <w:rsid w:val="00C636E2"/>
    <w:rsid w:val="00C637C5"/>
    <w:rsid w:val="00C63861"/>
    <w:rsid w:val="00C638A4"/>
    <w:rsid w:val="00C638B6"/>
    <w:rsid w:val="00C638BD"/>
    <w:rsid w:val="00C638CB"/>
    <w:rsid w:val="00C638F2"/>
    <w:rsid w:val="00C63946"/>
    <w:rsid w:val="00C6396D"/>
    <w:rsid w:val="00C639E3"/>
    <w:rsid w:val="00C63AAF"/>
    <w:rsid w:val="00C63ADA"/>
    <w:rsid w:val="00C63B9B"/>
    <w:rsid w:val="00C63BA2"/>
    <w:rsid w:val="00C63C4F"/>
    <w:rsid w:val="00C63D0F"/>
    <w:rsid w:val="00C63DA9"/>
    <w:rsid w:val="00C63E0B"/>
    <w:rsid w:val="00C63ED9"/>
    <w:rsid w:val="00C63EE2"/>
    <w:rsid w:val="00C63F2E"/>
    <w:rsid w:val="00C63F81"/>
    <w:rsid w:val="00C64054"/>
    <w:rsid w:val="00C64260"/>
    <w:rsid w:val="00C642B4"/>
    <w:rsid w:val="00C6433F"/>
    <w:rsid w:val="00C64404"/>
    <w:rsid w:val="00C6443F"/>
    <w:rsid w:val="00C6447F"/>
    <w:rsid w:val="00C64638"/>
    <w:rsid w:val="00C6469E"/>
    <w:rsid w:val="00C646D8"/>
    <w:rsid w:val="00C64767"/>
    <w:rsid w:val="00C647A0"/>
    <w:rsid w:val="00C64835"/>
    <w:rsid w:val="00C648A5"/>
    <w:rsid w:val="00C64903"/>
    <w:rsid w:val="00C64925"/>
    <w:rsid w:val="00C64979"/>
    <w:rsid w:val="00C64A98"/>
    <w:rsid w:val="00C64AFF"/>
    <w:rsid w:val="00C64B66"/>
    <w:rsid w:val="00C64B8B"/>
    <w:rsid w:val="00C64C07"/>
    <w:rsid w:val="00C64CB8"/>
    <w:rsid w:val="00C64CC7"/>
    <w:rsid w:val="00C64CC8"/>
    <w:rsid w:val="00C64DD5"/>
    <w:rsid w:val="00C64DF1"/>
    <w:rsid w:val="00C64E86"/>
    <w:rsid w:val="00C64F0D"/>
    <w:rsid w:val="00C6504B"/>
    <w:rsid w:val="00C650B4"/>
    <w:rsid w:val="00C651DF"/>
    <w:rsid w:val="00C6526E"/>
    <w:rsid w:val="00C65510"/>
    <w:rsid w:val="00C65542"/>
    <w:rsid w:val="00C655A4"/>
    <w:rsid w:val="00C655A9"/>
    <w:rsid w:val="00C656EA"/>
    <w:rsid w:val="00C658FF"/>
    <w:rsid w:val="00C6590B"/>
    <w:rsid w:val="00C6594A"/>
    <w:rsid w:val="00C65A16"/>
    <w:rsid w:val="00C65B0E"/>
    <w:rsid w:val="00C65B60"/>
    <w:rsid w:val="00C65BD6"/>
    <w:rsid w:val="00C65BEC"/>
    <w:rsid w:val="00C65C1F"/>
    <w:rsid w:val="00C65C59"/>
    <w:rsid w:val="00C65C68"/>
    <w:rsid w:val="00C65C7B"/>
    <w:rsid w:val="00C65C89"/>
    <w:rsid w:val="00C65CB2"/>
    <w:rsid w:val="00C65CB6"/>
    <w:rsid w:val="00C65D77"/>
    <w:rsid w:val="00C65DE4"/>
    <w:rsid w:val="00C65ECE"/>
    <w:rsid w:val="00C65F02"/>
    <w:rsid w:val="00C65F32"/>
    <w:rsid w:val="00C65FF2"/>
    <w:rsid w:val="00C65FF7"/>
    <w:rsid w:val="00C660CB"/>
    <w:rsid w:val="00C660FE"/>
    <w:rsid w:val="00C66158"/>
    <w:rsid w:val="00C66166"/>
    <w:rsid w:val="00C6617C"/>
    <w:rsid w:val="00C6620A"/>
    <w:rsid w:val="00C66232"/>
    <w:rsid w:val="00C66256"/>
    <w:rsid w:val="00C66288"/>
    <w:rsid w:val="00C66310"/>
    <w:rsid w:val="00C66328"/>
    <w:rsid w:val="00C6633C"/>
    <w:rsid w:val="00C663C8"/>
    <w:rsid w:val="00C66412"/>
    <w:rsid w:val="00C6641B"/>
    <w:rsid w:val="00C66557"/>
    <w:rsid w:val="00C66570"/>
    <w:rsid w:val="00C665AF"/>
    <w:rsid w:val="00C665F8"/>
    <w:rsid w:val="00C666EC"/>
    <w:rsid w:val="00C6676B"/>
    <w:rsid w:val="00C667F8"/>
    <w:rsid w:val="00C66833"/>
    <w:rsid w:val="00C668EF"/>
    <w:rsid w:val="00C66925"/>
    <w:rsid w:val="00C66953"/>
    <w:rsid w:val="00C66B5F"/>
    <w:rsid w:val="00C66B6E"/>
    <w:rsid w:val="00C66B85"/>
    <w:rsid w:val="00C66B87"/>
    <w:rsid w:val="00C66BAF"/>
    <w:rsid w:val="00C66BEE"/>
    <w:rsid w:val="00C66C2C"/>
    <w:rsid w:val="00C66D96"/>
    <w:rsid w:val="00C66E1A"/>
    <w:rsid w:val="00C66E87"/>
    <w:rsid w:val="00C66FF5"/>
    <w:rsid w:val="00C67004"/>
    <w:rsid w:val="00C67088"/>
    <w:rsid w:val="00C67117"/>
    <w:rsid w:val="00C6714F"/>
    <w:rsid w:val="00C672C5"/>
    <w:rsid w:val="00C672E7"/>
    <w:rsid w:val="00C672ED"/>
    <w:rsid w:val="00C6733A"/>
    <w:rsid w:val="00C6756A"/>
    <w:rsid w:val="00C67686"/>
    <w:rsid w:val="00C6769D"/>
    <w:rsid w:val="00C676BB"/>
    <w:rsid w:val="00C676D2"/>
    <w:rsid w:val="00C676DB"/>
    <w:rsid w:val="00C67738"/>
    <w:rsid w:val="00C6788B"/>
    <w:rsid w:val="00C6789B"/>
    <w:rsid w:val="00C678A4"/>
    <w:rsid w:val="00C6791D"/>
    <w:rsid w:val="00C6794D"/>
    <w:rsid w:val="00C67964"/>
    <w:rsid w:val="00C67A0C"/>
    <w:rsid w:val="00C67A6B"/>
    <w:rsid w:val="00C67A83"/>
    <w:rsid w:val="00C67AC8"/>
    <w:rsid w:val="00C67BDA"/>
    <w:rsid w:val="00C67C1A"/>
    <w:rsid w:val="00C67CD6"/>
    <w:rsid w:val="00C67D55"/>
    <w:rsid w:val="00C67D6D"/>
    <w:rsid w:val="00C67E83"/>
    <w:rsid w:val="00C67EC5"/>
    <w:rsid w:val="00C67F12"/>
    <w:rsid w:val="00C67F89"/>
    <w:rsid w:val="00C7005F"/>
    <w:rsid w:val="00C700D7"/>
    <w:rsid w:val="00C70141"/>
    <w:rsid w:val="00C701CE"/>
    <w:rsid w:val="00C70262"/>
    <w:rsid w:val="00C7036D"/>
    <w:rsid w:val="00C703C9"/>
    <w:rsid w:val="00C70405"/>
    <w:rsid w:val="00C704FB"/>
    <w:rsid w:val="00C70504"/>
    <w:rsid w:val="00C70532"/>
    <w:rsid w:val="00C70538"/>
    <w:rsid w:val="00C70557"/>
    <w:rsid w:val="00C70572"/>
    <w:rsid w:val="00C7059A"/>
    <w:rsid w:val="00C705A7"/>
    <w:rsid w:val="00C705FF"/>
    <w:rsid w:val="00C7072F"/>
    <w:rsid w:val="00C70764"/>
    <w:rsid w:val="00C70778"/>
    <w:rsid w:val="00C70810"/>
    <w:rsid w:val="00C708B9"/>
    <w:rsid w:val="00C708D9"/>
    <w:rsid w:val="00C70973"/>
    <w:rsid w:val="00C70A10"/>
    <w:rsid w:val="00C70A58"/>
    <w:rsid w:val="00C70A59"/>
    <w:rsid w:val="00C70B0F"/>
    <w:rsid w:val="00C70B60"/>
    <w:rsid w:val="00C70C47"/>
    <w:rsid w:val="00C70D1B"/>
    <w:rsid w:val="00C70DB6"/>
    <w:rsid w:val="00C70F13"/>
    <w:rsid w:val="00C70F37"/>
    <w:rsid w:val="00C70F65"/>
    <w:rsid w:val="00C70F98"/>
    <w:rsid w:val="00C70FB8"/>
    <w:rsid w:val="00C70FDC"/>
    <w:rsid w:val="00C70FE0"/>
    <w:rsid w:val="00C70FF6"/>
    <w:rsid w:val="00C71005"/>
    <w:rsid w:val="00C7101B"/>
    <w:rsid w:val="00C7109C"/>
    <w:rsid w:val="00C71198"/>
    <w:rsid w:val="00C711A8"/>
    <w:rsid w:val="00C711C8"/>
    <w:rsid w:val="00C711F5"/>
    <w:rsid w:val="00C7127B"/>
    <w:rsid w:val="00C712A9"/>
    <w:rsid w:val="00C712D1"/>
    <w:rsid w:val="00C71353"/>
    <w:rsid w:val="00C71378"/>
    <w:rsid w:val="00C71393"/>
    <w:rsid w:val="00C714EE"/>
    <w:rsid w:val="00C7156D"/>
    <w:rsid w:val="00C715AE"/>
    <w:rsid w:val="00C715CB"/>
    <w:rsid w:val="00C715D2"/>
    <w:rsid w:val="00C7171C"/>
    <w:rsid w:val="00C71769"/>
    <w:rsid w:val="00C71796"/>
    <w:rsid w:val="00C718F0"/>
    <w:rsid w:val="00C71910"/>
    <w:rsid w:val="00C71992"/>
    <w:rsid w:val="00C71A22"/>
    <w:rsid w:val="00C71B0B"/>
    <w:rsid w:val="00C71BD2"/>
    <w:rsid w:val="00C71C1D"/>
    <w:rsid w:val="00C71CA0"/>
    <w:rsid w:val="00C71CE9"/>
    <w:rsid w:val="00C71D86"/>
    <w:rsid w:val="00C71E82"/>
    <w:rsid w:val="00C71E84"/>
    <w:rsid w:val="00C71FA4"/>
    <w:rsid w:val="00C71FA7"/>
    <w:rsid w:val="00C72027"/>
    <w:rsid w:val="00C72080"/>
    <w:rsid w:val="00C720A5"/>
    <w:rsid w:val="00C720EF"/>
    <w:rsid w:val="00C7217A"/>
    <w:rsid w:val="00C721AA"/>
    <w:rsid w:val="00C721CF"/>
    <w:rsid w:val="00C721DA"/>
    <w:rsid w:val="00C721E0"/>
    <w:rsid w:val="00C7220C"/>
    <w:rsid w:val="00C7227C"/>
    <w:rsid w:val="00C72296"/>
    <w:rsid w:val="00C7239E"/>
    <w:rsid w:val="00C723DE"/>
    <w:rsid w:val="00C724B8"/>
    <w:rsid w:val="00C72543"/>
    <w:rsid w:val="00C72597"/>
    <w:rsid w:val="00C726AD"/>
    <w:rsid w:val="00C726E4"/>
    <w:rsid w:val="00C7272E"/>
    <w:rsid w:val="00C72738"/>
    <w:rsid w:val="00C7277A"/>
    <w:rsid w:val="00C7277C"/>
    <w:rsid w:val="00C727D5"/>
    <w:rsid w:val="00C72861"/>
    <w:rsid w:val="00C7289E"/>
    <w:rsid w:val="00C72914"/>
    <w:rsid w:val="00C72A28"/>
    <w:rsid w:val="00C72A5E"/>
    <w:rsid w:val="00C72A7A"/>
    <w:rsid w:val="00C72B24"/>
    <w:rsid w:val="00C72BAF"/>
    <w:rsid w:val="00C72BE6"/>
    <w:rsid w:val="00C72C02"/>
    <w:rsid w:val="00C72C50"/>
    <w:rsid w:val="00C72CF6"/>
    <w:rsid w:val="00C72D5C"/>
    <w:rsid w:val="00C72D78"/>
    <w:rsid w:val="00C72D7C"/>
    <w:rsid w:val="00C72ECF"/>
    <w:rsid w:val="00C72FAD"/>
    <w:rsid w:val="00C72FAE"/>
    <w:rsid w:val="00C72FBE"/>
    <w:rsid w:val="00C72FEB"/>
    <w:rsid w:val="00C730EF"/>
    <w:rsid w:val="00C73249"/>
    <w:rsid w:val="00C7328B"/>
    <w:rsid w:val="00C7331F"/>
    <w:rsid w:val="00C73450"/>
    <w:rsid w:val="00C734CE"/>
    <w:rsid w:val="00C7352E"/>
    <w:rsid w:val="00C73555"/>
    <w:rsid w:val="00C735C5"/>
    <w:rsid w:val="00C735D3"/>
    <w:rsid w:val="00C7365D"/>
    <w:rsid w:val="00C7373A"/>
    <w:rsid w:val="00C7374A"/>
    <w:rsid w:val="00C737BE"/>
    <w:rsid w:val="00C737F5"/>
    <w:rsid w:val="00C7381A"/>
    <w:rsid w:val="00C73890"/>
    <w:rsid w:val="00C738EB"/>
    <w:rsid w:val="00C738F5"/>
    <w:rsid w:val="00C7391D"/>
    <w:rsid w:val="00C73952"/>
    <w:rsid w:val="00C739FC"/>
    <w:rsid w:val="00C73C76"/>
    <w:rsid w:val="00C73C8C"/>
    <w:rsid w:val="00C73D37"/>
    <w:rsid w:val="00C73E07"/>
    <w:rsid w:val="00C73E5D"/>
    <w:rsid w:val="00C73E92"/>
    <w:rsid w:val="00C73EE7"/>
    <w:rsid w:val="00C73EF0"/>
    <w:rsid w:val="00C73F27"/>
    <w:rsid w:val="00C740B8"/>
    <w:rsid w:val="00C74113"/>
    <w:rsid w:val="00C741C7"/>
    <w:rsid w:val="00C743D4"/>
    <w:rsid w:val="00C743F1"/>
    <w:rsid w:val="00C7444A"/>
    <w:rsid w:val="00C744D3"/>
    <w:rsid w:val="00C74511"/>
    <w:rsid w:val="00C745BA"/>
    <w:rsid w:val="00C745CE"/>
    <w:rsid w:val="00C745F6"/>
    <w:rsid w:val="00C745FA"/>
    <w:rsid w:val="00C74606"/>
    <w:rsid w:val="00C74608"/>
    <w:rsid w:val="00C74627"/>
    <w:rsid w:val="00C7469C"/>
    <w:rsid w:val="00C746F8"/>
    <w:rsid w:val="00C74708"/>
    <w:rsid w:val="00C74767"/>
    <w:rsid w:val="00C748B5"/>
    <w:rsid w:val="00C74956"/>
    <w:rsid w:val="00C749A7"/>
    <w:rsid w:val="00C74A1C"/>
    <w:rsid w:val="00C74A6F"/>
    <w:rsid w:val="00C74A73"/>
    <w:rsid w:val="00C74AEE"/>
    <w:rsid w:val="00C74B93"/>
    <w:rsid w:val="00C74BD3"/>
    <w:rsid w:val="00C74BF5"/>
    <w:rsid w:val="00C74C68"/>
    <w:rsid w:val="00C74D17"/>
    <w:rsid w:val="00C74E7E"/>
    <w:rsid w:val="00C74E9B"/>
    <w:rsid w:val="00C74EC2"/>
    <w:rsid w:val="00C74ECF"/>
    <w:rsid w:val="00C74F4D"/>
    <w:rsid w:val="00C74F71"/>
    <w:rsid w:val="00C74FFA"/>
    <w:rsid w:val="00C75115"/>
    <w:rsid w:val="00C7511C"/>
    <w:rsid w:val="00C75164"/>
    <w:rsid w:val="00C75193"/>
    <w:rsid w:val="00C751CB"/>
    <w:rsid w:val="00C75209"/>
    <w:rsid w:val="00C75237"/>
    <w:rsid w:val="00C75239"/>
    <w:rsid w:val="00C75243"/>
    <w:rsid w:val="00C75278"/>
    <w:rsid w:val="00C75287"/>
    <w:rsid w:val="00C75305"/>
    <w:rsid w:val="00C753EE"/>
    <w:rsid w:val="00C754D5"/>
    <w:rsid w:val="00C75500"/>
    <w:rsid w:val="00C75531"/>
    <w:rsid w:val="00C75532"/>
    <w:rsid w:val="00C75537"/>
    <w:rsid w:val="00C75641"/>
    <w:rsid w:val="00C75757"/>
    <w:rsid w:val="00C7575F"/>
    <w:rsid w:val="00C75789"/>
    <w:rsid w:val="00C757C4"/>
    <w:rsid w:val="00C75842"/>
    <w:rsid w:val="00C75939"/>
    <w:rsid w:val="00C75A24"/>
    <w:rsid w:val="00C75ADA"/>
    <w:rsid w:val="00C75B20"/>
    <w:rsid w:val="00C75B34"/>
    <w:rsid w:val="00C75B46"/>
    <w:rsid w:val="00C75BB0"/>
    <w:rsid w:val="00C75D2C"/>
    <w:rsid w:val="00C75DCE"/>
    <w:rsid w:val="00C75E9A"/>
    <w:rsid w:val="00C75EA6"/>
    <w:rsid w:val="00C7601E"/>
    <w:rsid w:val="00C760C6"/>
    <w:rsid w:val="00C760DF"/>
    <w:rsid w:val="00C76219"/>
    <w:rsid w:val="00C76224"/>
    <w:rsid w:val="00C76228"/>
    <w:rsid w:val="00C762B4"/>
    <w:rsid w:val="00C762DD"/>
    <w:rsid w:val="00C762E8"/>
    <w:rsid w:val="00C76485"/>
    <w:rsid w:val="00C764D5"/>
    <w:rsid w:val="00C7662A"/>
    <w:rsid w:val="00C76679"/>
    <w:rsid w:val="00C766A6"/>
    <w:rsid w:val="00C766BF"/>
    <w:rsid w:val="00C76791"/>
    <w:rsid w:val="00C767A7"/>
    <w:rsid w:val="00C768FA"/>
    <w:rsid w:val="00C76935"/>
    <w:rsid w:val="00C769D2"/>
    <w:rsid w:val="00C76AC8"/>
    <w:rsid w:val="00C76BC7"/>
    <w:rsid w:val="00C76C1A"/>
    <w:rsid w:val="00C76C6A"/>
    <w:rsid w:val="00C76C71"/>
    <w:rsid w:val="00C76CAB"/>
    <w:rsid w:val="00C76D3B"/>
    <w:rsid w:val="00C76EDD"/>
    <w:rsid w:val="00C76F95"/>
    <w:rsid w:val="00C76FBD"/>
    <w:rsid w:val="00C76FD5"/>
    <w:rsid w:val="00C770BE"/>
    <w:rsid w:val="00C77105"/>
    <w:rsid w:val="00C77126"/>
    <w:rsid w:val="00C77128"/>
    <w:rsid w:val="00C771EE"/>
    <w:rsid w:val="00C77204"/>
    <w:rsid w:val="00C7726F"/>
    <w:rsid w:val="00C77376"/>
    <w:rsid w:val="00C7737D"/>
    <w:rsid w:val="00C773A6"/>
    <w:rsid w:val="00C774AF"/>
    <w:rsid w:val="00C774C1"/>
    <w:rsid w:val="00C775EE"/>
    <w:rsid w:val="00C77609"/>
    <w:rsid w:val="00C7769E"/>
    <w:rsid w:val="00C7770C"/>
    <w:rsid w:val="00C7771F"/>
    <w:rsid w:val="00C777CF"/>
    <w:rsid w:val="00C7791C"/>
    <w:rsid w:val="00C779B0"/>
    <w:rsid w:val="00C77A5B"/>
    <w:rsid w:val="00C77B05"/>
    <w:rsid w:val="00C77B2E"/>
    <w:rsid w:val="00C77BF2"/>
    <w:rsid w:val="00C77C0F"/>
    <w:rsid w:val="00C77CEC"/>
    <w:rsid w:val="00C77DBF"/>
    <w:rsid w:val="00C77E65"/>
    <w:rsid w:val="00C77E89"/>
    <w:rsid w:val="00C77FE8"/>
    <w:rsid w:val="00C80023"/>
    <w:rsid w:val="00C80154"/>
    <w:rsid w:val="00C801A4"/>
    <w:rsid w:val="00C801CA"/>
    <w:rsid w:val="00C8026F"/>
    <w:rsid w:val="00C80270"/>
    <w:rsid w:val="00C802DE"/>
    <w:rsid w:val="00C802EF"/>
    <w:rsid w:val="00C803B0"/>
    <w:rsid w:val="00C803C3"/>
    <w:rsid w:val="00C80490"/>
    <w:rsid w:val="00C804EB"/>
    <w:rsid w:val="00C80509"/>
    <w:rsid w:val="00C8063E"/>
    <w:rsid w:val="00C806D2"/>
    <w:rsid w:val="00C80773"/>
    <w:rsid w:val="00C80783"/>
    <w:rsid w:val="00C807AC"/>
    <w:rsid w:val="00C80883"/>
    <w:rsid w:val="00C808A4"/>
    <w:rsid w:val="00C80A26"/>
    <w:rsid w:val="00C80A62"/>
    <w:rsid w:val="00C80A70"/>
    <w:rsid w:val="00C80B27"/>
    <w:rsid w:val="00C80B4A"/>
    <w:rsid w:val="00C80B50"/>
    <w:rsid w:val="00C80BD2"/>
    <w:rsid w:val="00C80C27"/>
    <w:rsid w:val="00C80C35"/>
    <w:rsid w:val="00C80C63"/>
    <w:rsid w:val="00C80CAC"/>
    <w:rsid w:val="00C80CAD"/>
    <w:rsid w:val="00C80CB4"/>
    <w:rsid w:val="00C80EA8"/>
    <w:rsid w:val="00C810BD"/>
    <w:rsid w:val="00C810DE"/>
    <w:rsid w:val="00C8111F"/>
    <w:rsid w:val="00C81183"/>
    <w:rsid w:val="00C81218"/>
    <w:rsid w:val="00C812D4"/>
    <w:rsid w:val="00C8131D"/>
    <w:rsid w:val="00C8136F"/>
    <w:rsid w:val="00C813D3"/>
    <w:rsid w:val="00C8141A"/>
    <w:rsid w:val="00C81423"/>
    <w:rsid w:val="00C814C8"/>
    <w:rsid w:val="00C81746"/>
    <w:rsid w:val="00C8175F"/>
    <w:rsid w:val="00C817DC"/>
    <w:rsid w:val="00C81819"/>
    <w:rsid w:val="00C81821"/>
    <w:rsid w:val="00C81A05"/>
    <w:rsid w:val="00C81A64"/>
    <w:rsid w:val="00C81A71"/>
    <w:rsid w:val="00C81ACF"/>
    <w:rsid w:val="00C81B1B"/>
    <w:rsid w:val="00C81BD6"/>
    <w:rsid w:val="00C81C19"/>
    <w:rsid w:val="00C81C2E"/>
    <w:rsid w:val="00C81C80"/>
    <w:rsid w:val="00C81CBD"/>
    <w:rsid w:val="00C81CE0"/>
    <w:rsid w:val="00C81D5E"/>
    <w:rsid w:val="00C81DE0"/>
    <w:rsid w:val="00C81F1E"/>
    <w:rsid w:val="00C81F20"/>
    <w:rsid w:val="00C81F30"/>
    <w:rsid w:val="00C81FD8"/>
    <w:rsid w:val="00C82028"/>
    <w:rsid w:val="00C82061"/>
    <w:rsid w:val="00C820DA"/>
    <w:rsid w:val="00C820EB"/>
    <w:rsid w:val="00C820FA"/>
    <w:rsid w:val="00C821E2"/>
    <w:rsid w:val="00C8221B"/>
    <w:rsid w:val="00C8222F"/>
    <w:rsid w:val="00C8224F"/>
    <w:rsid w:val="00C822B3"/>
    <w:rsid w:val="00C82370"/>
    <w:rsid w:val="00C823F7"/>
    <w:rsid w:val="00C82427"/>
    <w:rsid w:val="00C824C9"/>
    <w:rsid w:val="00C82529"/>
    <w:rsid w:val="00C825A2"/>
    <w:rsid w:val="00C825B7"/>
    <w:rsid w:val="00C825D7"/>
    <w:rsid w:val="00C826F8"/>
    <w:rsid w:val="00C82738"/>
    <w:rsid w:val="00C8274D"/>
    <w:rsid w:val="00C828E7"/>
    <w:rsid w:val="00C8292E"/>
    <w:rsid w:val="00C82985"/>
    <w:rsid w:val="00C82998"/>
    <w:rsid w:val="00C82A41"/>
    <w:rsid w:val="00C82A65"/>
    <w:rsid w:val="00C82AAA"/>
    <w:rsid w:val="00C82B33"/>
    <w:rsid w:val="00C82BFB"/>
    <w:rsid w:val="00C82CB0"/>
    <w:rsid w:val="00C82D1B"/>
    <w:rsid w:val="00C82D4F"/>
    <w:rsid w:val="00C82D52"/>
    <w:rsid w:val="00C82D94"/>
    <w:rsid w:val="00C82EAA"/>
    <w:rsid w:val="00C82EEE"/>
    <w:rsid w:val="00C82F52"/>
    <w:rsid w:val="00C8302D"/>
    <w:rsid w:val="00C83066"/>
    <w:rsid w:val="00C83147"/>
    <w:rsid w:val="00C8319A"/>
    <w:rsid w:val="00C831E7"/>
    <w:rsid w:val="00C831EA"/>
    <w:rsid w:val="00C83239"/>
    <w:rsid w:val="00C8335F"/>
    <w:rsid w:val="00C83389"/>
    <w:rsid w:val="00C83459"/>
    <w:rsid w:val="00C83461"/>
    <w:rsid w:val="00C83664"/>
    <w:rsid w:val="00C83698"/>
    <w:rsid w:val="00C83718"/>
    <w:rsid w:val="00C83781"/>
    <w:rsid w:val="00C83825"/>
    <w:rsid w:val="00C83905"/>
    <w:rsid w:val="00C8397B"/>
    <w:rsid w:val="00C839D0"/>
    <w:rsid w:val="00C83BE1"/>
    <w:rsid w:val="00C83C0B"/>
    <w:rsid w:val="00C83CA4"/>
    <w:rsid w:val="00C83CA9"/>
    <w:rsid w:val="00C83CDB"/>
    <w:rsid w:val="00C83D2A"/>
    <w:rsid w:val="00C83DB4"/>
    <w:rsid w:val="00C83F82"/>
    <w:rsid w:val="00C8401C"/>
    <w:rsid w:val="00C8402A"/>
    <w:rsid w:val="00C8408D"/>
    <w:rsid w:val="00C8415C"/>
    <w:rsid w:val="00C84207"/>
    <w:rsid w:val="00C84276"/>
    <w:rsid w:val="00C842CA"/>
    <w:rsid w:val="00C84374"/>
    <w:rsid w:val="00C8446D"/>
    <w:rsid w:val="00C844A5"/>
    <w:rsid w:val="00C844A9"/>
    <w:rsid w:val="00C84519"/>
    <w:rsid w:val="00C845C0"/>
    <w:rsid w:val="00C84603"/>
    <w:rsid w:val="00C84643"/>
    <w:rsid w:val="00C8464D"/>
    <w:rsid w:val="00C846D1"/>
    <w:rsid w:val="00C846F9"/>
    <w:rsid w:val="00C8470F"/>
    <w:rsid w:val="00C84732"/>
    <w:rsid w:val="00C84766"/>
    <w:rsid w:val="00C8482D"/>
    <w:rsid w:val="00C848D1"/>
    <w:rsid w:val="00C84907"/>
    <w:rsid w:val="00C84927"/>
    <w:rsid w:val="00C8492C"/>
    <w:rsid w:val="00C84970"/>
    <w:rsid w:val="00C849D4"/>
    <w:rsid w:val="00C84A0F"/>
    <w:rsid w:val="00C84A38"/>
    <w:rsid w:val="00C84A63"/>
    <w:rsid w:val="00C84B6B"/>
    <w:rsid w:val="00C84BC1"/>
    <w:rsid w:val="00C84BEE"/>
    <w:rsid w:val="00C84BFD"/>
    <w:rsid w:val="00C84C32"/>
    <w:rsid w:val="00C84CC9"/>
    <w:rsid w:val="00C84D31"/>
    <w:rsid w:val="00C84D85"/>
    <w:rsid w:val="00C84D96"/>
    <w:rsid w:val="00C84DFC"/>
    <w:rsid w:val="00C84E22"/>
    <w:rsid w:val="00C84E82"/>
    <w:rsid w:val="00C84E90"/>
    <w:rsid w:val="00C84F87"/>
    <w:rsid w:val="00C85011"/>
    <w:rsid w:val="00C850EC"/>
    <w:rsid w:val="00C85122"/>
    <w:rsid w:val="00C85176"/>
    <w:rsid w:val="00C851C1"/>
    <w:rsid w:val="00C851C3"/>
    <w:rsid w:val="00C851CF"/>
    <w:rsid w:val="00C85207"/>
    <w:rsid w:val="00C85273"/>
    <w:rsid w:val="00C85313"/>
    <w:rsid w:val="00C8539B"/>
    <w:rsid w:val="00C853DA"/>
    <w:rsid w:val="00C85452"/>
    <w:rsid w:val="00C855DB"/>
    <w:rsid w:val="00C855EC"/>
    <w:rsid w:val="00C855F2"/>
    <w:rsid w:val="00C8562A"/>
    <w:rsid w:val="00C85665"/>
    <w:rsid w:val="00C857B8"/>
    <w:rsid w:val="00C85854"/>
    <w:rsid w:val="00C858FA"/>
    <w:rsid w:val="00C8591D"/>
    <w:rsid w:val="00C85A02"/>
    <w:rsid w:val="00C85ADB"/>
    <w:rsid w:val="00C85BBC"/>
    <w:rsid w:val="00C85C19"/>
    <w:rsid w:val="00C85C54"/>
    <w:rsid w:val="00C85C87"/>
    <w:rsid w:val="00C85CB6"/>
    <w:rsid w:val="00C85D22"/>
    <w:rsid w:val="00C85D8F"/>
    <w:rsid w:val="00C85DA6"/>
    <w:rsid w:val="00C85DA8"/>
    <w:rsid w:val="00C85DCB"/>
    <w:rsid w:val="00C85E5C"/>
    <w:rsid w:val="00C85E92"/>
    <w:rsid w:val="00C85E93"/>
    <w:rsid w:val="00C85F21"/>
    <w:rsid w:val="00C85FED"/>
    <w:rsid w:val="00C8601B"/>
    <w:rsid w:val="00C8602E"/>
    <w:rsid w:val="00C860A2"/>
    <w:rsid w:val="00C86117"/>
    <w:rsid w:val="00C86134"/>
    <w:rsid w:val="00C86154"/>
    <w:rsid w:val="00C86184"/>
    <w:rsid w:val="00C861C7"/>
    <w:rsid w:val="00C8626A"/>
    <w:rsid w:val="00C862A9"/>
    <w:rsid w:val="00C862AE"/>
    <w:rsid w:val="00C862AF"/>
    <w:rsid w:val="00C862D4"/>
    <w:rsid w:val="00C86446"/>
    <w:rsid w:val="00C86460"/>
    <w:rsid w:val="00C864A1"/>
    <w:rsid w:val="00C86515"/>
    <w:rsid w:val="00C865D7"/>
    <w:rsid w:val="00C865DA"/>
    <w:rsid w:val="00C86626"/>
    <w:rsid w:val="00C86765"/>
    <w:rsid w:val="00C8679B"/>
    <w:rsid w:val="00C867BB"/>
    <w:rsid w:val="00C8684F"/>
    <w:rsid w:val="00C86882"/>
    <w:rsid w:val="00C868BC"/>
    <w:rsid w:val="00C868C6"/>
    <w:rsid w:val="00C86923"/>
    <w:rsid w:val="00C8692E"/>
    <w:rsid w:val="00C86947"/>
    <w:rsid w:val="00C86A25"/>
    <w:rsid w:val="00C86A50"/>
    <w:rsid w:val="00C86B89"/>
    <w:rsid w:val="00C86D97"/>
    <w:rsid w:val="00C86DAC"/>
    <w:rsid w:val="00C86E40"/>
    <w:rsid w:val="00C86E4C"/>
    <w:rsid w:val="00C86EB4"/>
    <w:rsid w:val="00C86EB9"/>
    <w:rsid w:val="00C86F62"/>
    <w:rsid w:val="00C86FAF"/>
    <w:rsid w:val="00C8708A"/>
    <w:rsid w:val="00C870EC"/>
    <w:rsid w:val="00C87130"/>
    <w:rsid w:val="00C871B3"/>
    <w:rsid w:val="00C87249"/>
    <w:rsid w:val="00C8724C"/>
    <w:rsid w:val="00C872B7"/>
    <w:rsid w:val="00C872FF"/>
    <w:rsid w:val="00C8744C"/>
    <w:rsid w:val="00C87479"/>
    <w:rsid w:val="00C87494"/>
    <w:rsid w:val="00C874A7"/>
    <w:rsid w:val="00C874DF"/>
    <w:rsid w:val="00C874E5"/>
    <w:rsid w:val="00C8752B"/>
    <w:rsid w:val="00C8754D"/>
    <w:rsid w:val="00C87565"/>
    <w:rsid w:val="00C87632"/>
    <w:rsid w:val="00C876DC"/>
    <w:rsid w:val="00C877A4"/>
    <w:rsid w:val="00C877E9"/>
    <w:rsid w:val="00C87834"/>
    <w:rsid w:val="00C87945"/>
    <w:rsid w:val="00C879C0"/>
    <w:rsid w:val="00C879CA"/>
    <w:rsid w:val="00C879DA"/>
    <w:rsid w:val="00C87A32"/>
    <w:rsid w:val="00C87A99"/>
    <w:rsid w:val="00C87AC7"/>
    <w:rsid w:val="00C87B2B"/>
    <w:rsid w:val="00C87B4E"/>
    <w:rsid w:val="00C87C16"/>
    <w:rsid w:val="00C87C45"/>
    <w:rsid w:val="00C87C59"/>
    <w:rsid w:val="00C87D94"/>
    <w:rsid w:val="00C87DF9"/>
    <w:rsid w:val="00C87E70"/>
    <w:rsid w:val="00C87EAD"/>
    <w:rsid w:val="00C87ED8"/>
    <w:rsid w:val="00C87F64"/>
    <w:rsid w:val="00C87FFD"/>
    <w:rsid w:val="00C90012"/>
    <w:rsid w:val="00C90033"/>
    <w:rsid w:val="00C902A0"/>
    <w:rsid w:val="00C902EB"/>
    <w:rsid w:val="00C903BB"/>
    <w:rsid w:val="00C90408"/>
    <w:rsid w:val="00C90447"/>
    <w:rsid w:val="00C904DF"/>
    <w:rsid w:val="00C9051C"/>
    <w:rsid w:val="00C905D9"/>
    <w:rsid w:val="00C90684"/>
    <w:rsid w:val="00C90743"/>
    <w:rsid w:val="00C907F7"/>
    <w:rsid w:val="00C90803"/>
    <w:rsid w:val="00C90820"/>
    <w:rsid w:val="00C90850"/>
    <w:rsid w:val="00C9086F"/>
    <w:rsid w:val="00C908E7"/>
    <w:rsid w:val="00C9092C"/>
    <w:rsid w:val="00C90987"/>
    <w:rsid w:val="00C9098F"/>
    <w:rsid w:val="00C909BF"/>
    <w:rsid w:val="00C909CD"/>
    <w:rsid w:val="00C90ACB"/>
    <w:rsid w:val="00C90ADB"/>
    <w:rsid w:val="00C90AE3"/>
    <w:rsid w:val="00C90B26"/>
    <w:rsid w:val="00C90BCC"/>
    <w:rsid w:val="00C90BF6"/>
    <w:rsid w:val="00C90C42"/>
    <w:rsid w:val="00C90C5C"/>
    <w:rsid w:val="00C90C8E"/>
    <w:rsid w:val="00C90D24"/>
    <w:rsid w:val="00C90D3F"/>
    <w:rsid w:val="00C90E16"/>
    <w:rsid w:val="00C90E4A"/>
    <w:rsid w:val="00C90E91"/>
    <w:rsid w:val="00C90EC1"/>
    <w:rsid w:val="00C90ECE"/>
    <w:rsid w:val="00C90EF0"/>
    <w:rsid w:val="00C90F8B"/>
    <w:rsid w:val="00C91209"/>
    <w:rsid w:val="00C9127B"/>
    <w:rsid w:val="00C912B9"/>
    <w:rsid w:val="00C913ED"/>
    <w:rsid w:val="00C91488"/>
    <w:rsid w:val="00C91583"/>
    <w:rsid w:val="00C915AA"/>
    <w:rsid w:val="00C915D5"/>
    <w:rsid w:val="00C91710"/>
    <w:rsid w:val="00C91746"/>
    <w:rsid w:val="00C91747"/>
    <w:rsid w:val="00C9174E"/>
    <w:rsid w:val="00C9178C"/>
    <w:rsid w:val="00C917C3"/>
    <w:rsid w:val="00C9187A"/>
    <w:rsid w:val="00C918B0"/>
    <w:rsid w:val="00C918B9"/>
    <w:rsid w:val="00C918CD"/>
    <w:rsid w:val="00C918E7"/>
    <w:rsid w:val="00C918EF"/>
    <w:rsid w:val="00C9191A"/>
    <w:rsid w:val="00C919D2"/>
    <w:rsid w:val="00C91A04"/>
    <w:rsid w:val="00C91C09"/>
    <w:rsid w:val="00C91C19"/>
    <w:rsid w:val="00C91C38"/>
    <w:rsid w:val="00C91CAF"/>
    <w:rsid w:val="00C91CC3"/>
    <w:rsid w:val="00C91F30"/>
    <w:rsid w:val="00C91F55"/>
    <w:rsid w:val="00C9205C"/>
    <w:rsid w:val="00C9212D"/>
    <w:rsid w:val="00C9212F"/>
    <w:rsid w:val="00C9216A"/>
    <w:rsid w:val="00C921DE"/>
    <w:rsid w:val="00C92236"/>
    <w:rsid w:val="00C9223B"/>
    <w:rsid w:val="00C923C2"/>
    <w:rsid w:val="00C92421"/>
    <w:rsid w:val="00C92452"/>
    <w:rsid w:val="00C92459"/>
    <w:rsid w:val="00C9249C"/>
    <w:rsid w:val="00C924A1"/>
    <w:rsid w:val="00C92506"/>
    <w:rsid w:val="00C92524"/>
    <w:rsid w:val="00C92574"/>
    <w:rsid w:val="00C92589"/>
    <w:rsid w:val="00C92595"/>
    <w:rsid w:val="00C926C4"/>
    <w:rsid w:val="00C926C8"/>
    <w:rsid w:val="00C92703"/>
    <w:rsid w:val="00C92707"/>
    <w:rsid w:val="00C92872"/>
    <w:rsid w:val="00C928B1"/>
    <w:rsid w:val="00C928C1"/>
    <w:rsid w:val="00C928EA"/>
    <w:rsid w:val="00C92A15"/>
    <w:rsid w:val="00C92A43"/>
    <w:rsid w:val="00C92A86"/>
    <w:rsid w:val="00C92C8E"/>
    <w:rsid w:val="00C92CD3"/>
    <w:rsid w:val="00C92D39"/>
    <w:rsid w:val="00C92DAD"/>
    <w:rsid w:val="00C92E63"/>
    <w:rsid w:val="00C92E98"/>
    <w:rsid w:val="00C92F13"/>
    <w:rsid w:val="00C92FD0"/>
    <w:rsid w:val="00C93062"/>
    <w:rsid w:val="00C9309B"/>
    <w:rsid w:val="00C930F3"/>
    <w:rsid w:val="00C9312F"/>
    <w:rsid w:val="00C93281"/>
    <w:rsid w:val="00C93369"/>
    <w:rsid w:val="00C933DC"/>
    <w:rsid w:val="00C933FA"/>
    <w:rsid w:val="00C9347D"/>
    <w:rsid w:val="00C9350F"/>
    <w:rsid w:val="00C9351C"/>
    <w:rsid w:val="00C9358B"/>
    <w:rsid w:val="00C9361B"/>
    <w:rsid w:val="00C936F4"/>
    <w:rsid w:val="00C936FE"/>
    <w:rsid w:val="00C93798"/>
    <w:rsid w:val="00C937E7"/>
    <w:rsid w:val="00C93814"/>
    <w:rsid w:val="00C9381D"/>
    <w:rsid w:val="00C93852"/>
    <w:rsid w:val="00C9392E"/>
    <w:rsid w:val="00C939DA"/>
    <w:rsid w:val="00C93B66"/>
    <w:rsid w:val="00C93B9E"/>
    <w:rsid w:val="00C93BD6"/>
    <w:rsid w:val="00C93BF0"/>
    <w:rsid w:val="00C93CA4"/>
    <w:rsid w:val="00C93D71"/>
    <w:rsid w:val="00C93DFF"/>
    <w:rsid w:val="00C93E24"/>
    <w:rsid w:val="00C93E98"/>
    <w:rsid w:val="00C93F49"/>
    <w:rsid w:val="00C93F76"/>
    <w:rsid w:val="00C93FA0"/>
    <w:rsid w:val="00C93FDC"/>
    <w:rsid w:val="00C94048"/>
    <w:rsid w:val="00C940D7"/>
    <w:rsid w:val="00C940E5"/>
    <w:rsid w:val="00C940F3"/>
    <w:rsid w:val="00C940FC"/>
    <w:rsid w:val="00C94145"/>
    <w:rsid w:val="00C941CB"/>
    <w:rsid w:val="00C9425C"/>
    <w:rsid w:val="00C942A1"/>
    <w:rsid w:val="00C942E7"/>
    <w:rsid w:val="00C943DC"/>
    <w:rsid w:val="00C94579"/>
    <w:rsid w:val="00C946BA"/>
    <w:rsid w:val="00C946DA"/>
    <w:rsid w:val="00C94702"/>
    <w:rsid w:val="00C9474D"/>
    <w:rsid w:val="00C9481C"/>
    <w:rsid w:val="00C94827"/>
    <w:rsid w:val="00C948CB"/>
    <w:rsid w:val="00C94917"/>
    <w:rsid w:val="00C94953"/>
    <w:rsid w:val="00C94969"/>
    <w:rsid w:val="00C94994"/>
    <w:rsid w:val="00C949A2"/>
    <w:rsid w:val="00C94A15"/>
    <w:rsid w:val="00C94A22"/>
    <w:rsid w:val="00C94A4D"/>
    <w:rsid w:val="00C94A5A"/>
    <w:rsid w:val="00C94AF8"/>
    <w:rsid w:val="00C94C13"/>
    <w:rsid w:val="00C94C58"/>
    <w:rsid w:val="00C94CA7"/>
    <w:rsid w:val="00C94CC0"/>
    <w:rsid w:val="00C94CC2"/>
    <w:rsid w:val="00C94D80"/>
    <w:rsid w:val="00C94E3D"/>
    <w:rsid w:val="00C94EF8"/>
    <w:rsid w:val="00C94F45"/>
    <w:rsid w:val="00C94FEF"/>
    <w:rsid w:val="00C9507E"/>
    <w:rsid w:val="00C9512E"/>
    <w:rsid w:val="00C951C5"/>
    <w:rsid w:val="00C951F8"/>
    <w:rsid w:val="00C952BA"/>
    <w:rsid w:val="00C952CD"/>
    <w:rsid w:val="00C9532A"/>
    <w:rsid w:val="00C95346"/>
    <w:rsid w:val="00C9535E"/>
    <w:rsid w:val="00C9536E"/>
    <w:rsid w:val="00C953E0"/>
    <w:rsid w:val="00C9545A"/>
    <w:rsid w:val="00C954C5"/>
    <w:rsid w:val="00C954E1"/>
    <w:rsid w:val="00C9558A"/>
    <w:rsid w:val="00C956B2"/>
    <w:rsid w:val="00C956C0"/>
    <w:rsid w:val="00C957C1"/>
    <w:rsid w:val="00C957CD"/>
    <w:rsid w:val="00C95826"/>
    <w:rsid w:val="00C95838"/>
    <w:rsid w:val="00C958BF"/>
    <w:rsid w:val="00C95940"/>
    <w:rsid w:val="00C95A9B"/>
    <w:rsid w:val="00C95ADC"/>
    <w:rsid w:val="00C95D15"/>
    <w:rsid w:val="00C95DD6"/>
    <w:rsid w:val="00C95E05"/>
    <w:rsid w:val="00C95E7C"/>
    <w:rsid w:val="00C95ED6"/>
    <w:rsid w:val="00C95EF4"/>
    <w:rsid w:val="00C95FD0"/>
    <w:rsid w:val="00C9602A"/>
    <w:rsid w:val="00C96106"/>
    <w:rsid w:val="00C96119"/>
    <w:rsid w:val="00C96168"/>
    <w:rsid w:val="00C96174"/>
    <w:rsid w:val="00C962AE"/>
    <w:rsid w:val="00C96366"/>
    <w:rsid w:val="00C9637F"/>
    <w:rsid w:val="00C963A9"/>
    <w:rsid w:val="00C9643B"/>
    <w:rsid w:val="00C96465"/>
    <w:rsid w:val="00C965CC"/>
    <w:rsid w:val="00C9666C"/>
    <w:rsid w:val="00C966B8"/>
    <w:rsid w:val="00C966DF"/>
    <w:rsid w:val="00C96717"/>
    <w:rsid w:val="00C967E7"/>
    <w:rsid w:val="00C96870"/>
    <w:rsid w:val="00C9689F"/>
    <w:rsid w:val="00C968A0"/>
    <w:rsid w:val="00C96A5D"/>
    <w:rsid w:val="00C96AAC"/>
    <w:rsid w:val="00C96BAE"/>
    <w:rsid w:val="00C96BFA"/>
    <w:rsid w:val="00C96C59"/>
    <w:rsid w:val="00C96D67"/>
    <w:rsid w:val="00C96D86"/>
    <w:rsid w:val="00C96D87"/>
    <w:rsid w:val="00C96E37"/>
    <w:rsid w:val="00C96FB0"/>
    <w:rsid w:val="00C9710F"/>
    <w:rsid w:val="00C9711C"/>
    <w:rsid w:val="00C97185"/>
    <w:rsid w:val="00C972C7"/>
    <w:rsid w:val="00C972D7"/>
    <w:rsid w:val="00C97362"/>
    <w:rsid w:val="00C9747C"/>
    <w:rsid w:val="00C974DE"/>
    <w:rsid w:val="00C97532"/>
    <w:rsid w:val="00C9759C"/>
    <w:rsid w:val="00C975B3"/>
    <w:rsid w:val="00C975F7"/>
    <w:rsid w:val="00C97664"/>
    <w:rsid w:val="00C976CC"/>
    <w:rsid w:val="00C976E6"/>
    <w:rsid w:val="00C97A66"/>
    <w:rsid w:val="00C97A7F"/>
    <w:rsid w:val="00C97AA0"/>
    <w:rsid w:val="00C97AA4"/>
    <w:rsid w:val="00C97C85"/>
    <w:rsid w:val="00C97D01"/>
    <w:rsid w:val="00C97DC5"/>
    <w:rsid w:val="00C97EC2"/>
    <w:rsid w:val="00C97EC4"/>
    <w:rsid w:val="00C97FDA"/>
    <w:rsid w:val="00CA0026"/>
    <w:rsid w:val="00CA005A"/>
    <w:rsid w:val="00CA0098"/>
    <w:rsid w:val="00CA00BC"/>
    <w:rsid w:val="00CA0196"/>
    <w:rsid w:val="00CA019C"/>
    <w:rsid w:val="00CA01B9"/>
    <w:rsid w:val="00CA0284"/>
    <w:rsid w:val="00CA03A3"/>
    <w:rsid w:val="00CA03BD"/>
    <w:rsid w:val="00CA0417"/>
    <w:rsid w:val="00CA0486"/>
    <w:rsid w:val="00CA0586"/>
    <w:rsid w:val="00CA05C6"/>
    <w:rsid w:val="00CA0647"/>
    <w:rsid w:val="00CA070E"/>
    <w:rsid w:val="00CA08B2"/>
    <w:rsid w:val="00CA0944"/>
    <w:rsid w:val="00CA0959"/>
    <w:rsid w:val="00CA0977"/>
    <w:rsid w:val="00CA09A6"/>
    <w:rsid w:val="00CA0A2D"/>
    <w:rsid w:val="00CA0A71"/>
    <w:rsid w:val="00CA0AC8"/>
    <w:rsid w:val="00CA0B34"/>
    <w:rsid w:val="00CA0BAF"/>
    <w:rsid w:val="00CA0CB1"/>
    <w:rsid w:val="00CA0CCF"/>
    <w:rsid w:val="00CA0CD8"/>
    <w:rsid w:val="00CA0D1C"/>
    <w:rsid w:val="00CA0E16"/>
    <w:rsid w:val="00CA0F9F"/>
    <w:rsid w:val="00CA0FA8"/>
    <w:rsid w:val="00CA0FAA"/>
    <w:rsid w:val="00CA102D"/>
    <w:rsid w:val="00CA108E"/>
    <w:rsid w:val="00CA10B9"/>
    <w:rsid w:val="00CA1153"/>
    <w:rsid w:val="00CA11BD"/>
    <w:rsid w:val="00CA1235"/>
    <w:rsid w:val="00CA124E"/>
    <w:rsid w:val="00CA12C9"/>
    <w:rsid w:val="00CA12DC"/>
    <w:rsid w:val="00CA1304"/>
    <w:rsid w:val="00CA139F"/>
    <w:rsid w:val="00CA13EC"/>
    <w:rsid w:val="00CA157C"/>
    <w:rsid w:val="00CA158F"/>
    <w:rsid w:val="00CA1591"/>
    <w:rsid w:val="00CA159C"/>
    <w:rsid w:val="00CA15A3"/>
    <w:rsid w:val="00CA15CA"/>
    <w:rsid w:val="00CA15F4"/>
    <w:rsid w:val="00CA1671"/>
    <w:rsid w:val="00CA169A"/>
    <w:rsid w:val="00CA16DE"/>
    <w:rsid w:val="00CA173F"/>
    <w:rsid w:val="00CA1761"/>
    <w:rsid w:val="00CA1852"/>
    <w:rsid w:val="00CA193A"/>
    <w:rsid w:val="00CA1941"/>
    <w:rsid w:val="00CA1AC0"/>
    <w:rsid w:val="00CA1AF7"/>
    <w:rsid w:val="00CA1B94"/>
    <w:rsid w:val="00CA1C5D"/>
    <w:rsid w:val="00CA1C75"/>
    <w:rsid w:val="00CA1CDE"/>
    <w:rsid w:val="00CA1CF0"/>
    <w:rsid w:val="00CA1D18"/>
    <w:rsid w:val="00CA1D8D"/>
    <w:rsid w:val="00CA1E24"/>
    <w:rsid w:val="00CA1E54"/>
    <w:rsid w:val="00CA1E69"/>
    <w:rsid w:val="00CA1E8A"/>
    <w:rsid w:val="00CA1F03"/>
    <w:rsid w:val="00CA1FFD"/>
    <w:rsid w:val="00CA206F"/>
    <w:rsid w:val="00CA20C8"/>
    <w:rsid w:val="00CA20CA"/>
    <w:rsid w:val="00CA225C"/>
    <w:rsid w:val="00CA22F5"/>
    <w:rsid w:val="00CA2332"/>
    <w:rsid w:val="00CA2351"/>
    <w:rsid w:val="00CA2441"/>
    <w:rsid w:val="00CA24EB"/>
    <w:rsid w:val="00CA25C0"/>
    <w:rsid w:val="00CA2651"/>
    <w:rsid w:val="00CA2809"/>
    <w:rsid w:val="00CA28DD"/>
    <w:rsid w:val="00CA28ED"/>
    <w:rsid w:val="00CA295E"/>
    <w:rsid w:val="00CA29D1"/>
    <w:rsid w:val="00CA2A8A"/>
    <w:rsid w:val="00CA2BB8"/>
    <w:rsid w:val="00CA2BFE"/>
    <w:rsid w:val="00CA2C27"/>
    <w:rsid w:val="00CA2CB4"/>
    <w:rsid w:val="00CA2D55"/>
    <w:rsid w:val="00CA2DF8"/>
    <w:rsid w:val="00CA2E1E"/>
    <w:rsid w:val="00CA2E6D"/>
    <w:rsid w:val="00CA2E9E"/>
    <w:rsid w:val="00CA2F12"/>
    <w:rsid w:val="00CA30B3"/>
    <w:rsid w:val="00CA30D3"/>
    <w:rsid w:val="00CA318D"/>
    <w:rsid w:val="00CA3194"/>
    <w:rsid w:val="00CA31C2"/>
    <w:rsid w:val="00CA32A5"/>
    <w:rsid w:val="00CA32C1"/>
    <w:rsid w:val="00CA3302"/>
    <w:rsid w:val="00CA3465"/>
    <w:rsid w:val="00CA3518"/>
    <w:rsid w:val="00CA3526"/>
    <w:rsid w:val="00CA3534"/>
    <w:rsid w:val="00CA35B0"/>
    <w:rsid w:val="00CA35D4"/>
    <w:rsid w:val="00CA364D"/>
    <w:rsid w:val="00CA3667"/>
    <w:rsid w:val="00CA367B"/>
    <w:rsid w:val="00CA36EF"/>
    <w:rsid w:val="00CA37E7"/>
    <w:rsid w:val="00CA384D"/>
    <w:rsid w:val="00CA38D4"/>
    <w:rsid w:val="00CA391E"/>
    <w:rsid w:val="00CA393F"/>
    <w:rsid w:val="00CA399C"/>
    <w:rsid w:val="00CA39FE"/>
    <w:rsid w:val="00CA3A68"/>
    <w:rsid w:val="00CA3A8C"/>
    <w:rsid w:val="00CA3AA8"/>
    <w:rsid w:val="00CA3ABA"/>
    <w:rsid w:val="00CA3ACF"/>
    <w:rsid w:val="00CA3BB7"/>
    <w:rsid w:val="00CA3C28"/>
    <w:rsid w:val="00CA3D5F"/>
    <w:rsid w:val="00CA3E32"/>
    <w:rsid w:val="00CA3E49"/>
    <w:rsid w:val="00CA3E5A"/>
    <w:rsid w:val="00CA3ECB"/>
    <w:rsid w:val="00CA3FD2"/>
    <w:rsid w:val="00CA4002"/>
    <w:rsid w:val="00CA404A"/>
    <w:rsid w:val="00CA4053"/>
    <w:rsid w:val="00CA4119"/>
    <w:rsid w:val="00CA4198"/>
    <w:rsid w:val="00CA4224"/>
    <w:rsid w:val="00CA42E1"/>
    <w:rsid w:val="00CA43D8"/>
    <w:rsid w:val="00CA454A"/>
    <w:rsid w:val="00CA457F"/>
    <w:rsid w:val="00CA4605"/>
    <w:rsid w:val="00CA4618"/>
    <w:rsid w:val="00CA468A"/>
    <w:rsid w:val="00CA4761"/>
    <w:rsid w:val="00CA47AE"/>
    <w:rsid w:val="00CA4886"/>
    <w:rsid w:val="00CA48F2"/>
    <w:rsid w:val="00CA48FF"/>
    <w:rsid w:val="00CA4954"/>
    <w:rsid w:val="00CA49C6"/>
    <w:rsid w:val="00CA49CB"/>
    <w:rsid w:val="00CA49E2"/>
    <w:rsid w:val="00CA4A21"/>
    <w:rsid w:val="00CA4A3A"/>
    <w:rsid w:val="00CA4AA4"/>
    <w:rsid w:val="00CA4AD2"/>
    <w:rsid w:val="00CA4C02"/>
    <w:rsid w:val="00CA4C12"/>
    <w:rsid w:val="00CA4D8B"/>
    <w:rsid w:val="00CA4DCF"/>
    <w:rsid w:val="00CA4DF2"/>
    <w:rsid w:val="00CA4E61"/>
    <w:rsid w:val="00CA4ECC"/>
    <w:rsid w:val="00CA4F18"/>
    <w:rsid w:val="00CA4F3E"/>
    <w:rsid w:val="00CA4FC5"/>
    <w:rsid w:val="00CA5097"/>
    <w:rsid w:val="00CA50BF"/>
    <w:rsid w:val="00CA51D4"/>
    <w:rsid w:val="00CA526B"/>
    <w:rsid w:val="00CA53A0"/>
    <w:rsid w:val="00CA53F2"/>
    <w:rsid w:val="00CA543B"/>
    <w:rsid w:val="00CA5459"/>
    <w:rsid w:val="00CA5498"/>
    <w:rsid w:val="00CA55EC"/>
    <w:rsid w:val="00CA5716"/>
    <w:rsid w:val="00CA5755"/>
    <w:rsid w:val="00CA577F"/>
    <w:rsid w:val="00CA5785"/>
    <w:rsid w:val="00CA5794"/>
    <w:rsid w:val="00CA584E"/>
    <w:rsid w:val="00CA5885"/>
    <w:rsid w:val="00CA589A"/>
    <w:rsid w:val="00CA58FB"/>
    <w:rsid w:val="00CA5992"/>
    <w:rsid w:val="00CA5A3B"/>
    <w:rsid w:val="00CA5A64"/>
    <w:rsid w:val="00CA5A65"/>
    <w:rsid w:val="00CA5A90"/>
    <w:rsid w:val="00CA5AE1"/>
    <w:rsid w:val="00CA5BFC"/>
    <w:rsid w:val="00CA5C49"/>
    <w:rsid w:val="00CA5C79"/>
    <w:rsid w:val="00CA5D71"/>
    <w:rsid w:val="00CA5DB4"/>
    <w:rsid w:val="00CA5E32"/>
    <w:rsid w:val="00CA5EE0"/>
    <w:rsid w:val="00CA5F19"/>
    <w:rsid w:val="00CA5FA4"/>
    <w:rsid w:val="00CA5FA8"/>
    <w:rsid w:val="00CA5FC5"/>
    <w:rsid w:val="00CA6027"/>
    <w:rsid w:val="00CA608B"/>
    <w:rsid w:val="00CA60A6"/>
    <w:rsid w:val="00CA60BE"/>
    <w:rsid w:val="00CA60DA"/>
    <w:rsid w:val="00CA6149"/>
    <w:rsid w:val="00CA6185"/>
    <w:rsid w:val="00CA61C2"/>
    <w:rsid w:val="00CA61CC"/>
    <w:rsid w:val="00CA61E7"/>
    <w:rsid w:val="00CA6213"/>
    <w:rsid w:val="00CA6258"/>
    <w:rsid w:val="00CA62B3"/>
    <w:rsid w:val="00CA6396"/>
    <w:rsid w:val="00CA642A"/>
    <w:rsid w:val="00CA645A"/>
    <w:rsid w:val="00CA6496"/>
    <w:rsid w:val="00CA6547"/>
    <w:rsid w:val="00CA65B2"/>
    <w:rsid w:val="00CA65F1"/>
    <w:rsid w:val="00CA6610"/>
    <w:rsid w:val="00CA661A"/>
    <w:rsid w:val="00CA6636"/>
    <w:rsid w:val="00CA670F"/>
    <w:rsid w:val="00CA6767"/>
    <w:rsid w:val="00CA6793"/>
    <w:rsid w:val="00CA6860"/>
    <w:rsid w:val="00CA6872"/>
    <w:rsid w:val="00CA6898"/>
    <w:rsid w:val="00CA68C4"/>
    <w:rsid w:val="00CA68D6"/>
    <w:rsid w:val="00CA695B"/>
    <w:rsid w:val="00CA696E"/>
    <w:rsid w:val="00CA6A90"/>
    <w:rsid w:val="00CA6A9E"/>
    <w:rsid w:val="00CA6AB3"/>
    <w:rsid w:val="00CA6B44"/>
    <w:rsid w:val="00CA6BF0"/>
    <w:rsid w:val="00CA6BFF"/>
    <w:rsid w:val="00CA6CB7"/>
    <w:rsid w:val="00CA6CBC"/>
    <w:rsid w:val="00CA6CDA"/>
    <w:rsid w:val="00CA6CF8"/>
    <w:rsid w:val="00CA6D80"/>
    <w:rsid w:val="00CA6DAB"/>
    <w:rsid w:val="00CA6DB3"/>
    <w:rsid w:val="00CA6DB5"/>
    <w:rsid w:val="00CA6E5E"/>
    <w:rsid w:val="00CA6E89"/>
    <w:rsid w:val="00CA6ED5"/>
    <w:rsid w:val="00CA6EDB"/>
    <w:rsid w:val="00CA6EF4"/>
    <w:rsid w:val="00CA6F34"/>
    <w:rsid w:val="00CA6F8B"/>
    <w:rsid w:val="00CA6FEE"/>
    <w:rsid w:val="00CA70A1"/>
    <w:rsid w:val="00CA70CE"/>
    <w:rsid w:val="00CA7157"/>
    <w:rsid w:val="00CA7163"/>
    <w:rsid w:val="00CA716A"/>
    <w:rsid w:val="00CA7301"/>
    <w:rsid w:val="00CA730D"/>
    <w:rsid w:val="00CA7403"/>
    <w:rsid w:val="00CA7435"/>
    <w:rsid w:val="00CA7483"/>
    <w:rsid w:val="00CA748E"/>
    <w:rsid w:val="00CA74EE"/>
    <w:rsid w:val="00CA7645"/>
    <w:rsid w:val="00CA7670"/>
    <w:rsid w:val="00CA7727"/>
    <w:rsid w:val="00CA7973"/>
    <w:rsid w:val="00CA79B9"/>
    <w:rsid w:val="00CA7A2D"/>
    <w:rsid w:val="00CA7A94"/>
    <w:rsid w:val="00CA7AFD"/>
    <w:rsid w:val="00CA7B78"/>
    <w:rsid w:val="00CA7BB6"/>
    <w:rsid w:val="00CA7D76"/>
    <w:rsid w:val="00CA7DBE"/>
    <w:rsid w:val="00CA7E10"/>
    <w:rsid w:val="00CA7E4B"/>
    <w:rsid w:val="00CA7E5A"/>
    <w:rsid w:val="00CA7F43"/>
    <w:rsid w:val="00CA7F64"/>
    <w:rsid w:val="00CA7F77"/>
    <w:rsid w:val="00CA7F8A"/>
    <w:rsid w:val="00CB00A6"/>
    <w:rsid w:val="00CB014D"/>
    <w:rsid w:val="00CB02BC"/>
    <w:rsid w:val="00CB0391"/>
    <w:rsid w:val="00CB03FA"/>
    <w:rsid w:val="00CB05A4"/>
    <w:rsid w:val="00CB05F8"/>
    <w:rsid w:val="00CB0603"/>
    <w:rsid w:val="00CB0622"/>
    <w:rsid w:val="00CB06A7"/>
    <w:rsid w:val="00CB07BF"/>
    <w:rsid w:val="00CB0814"/>
    <w:rsid w:val="00CB0842"/>
    <w:rsid w:val="00CB08AE"/>
    <w:rsid w:val="00CB08C9"/>
    <w:rsid w:val="00CB08D0"/>
    <w:rsid w:val="00CB08F6"/>
    <w:rsid w:val="00CB08FA"/>
    <w:rsid w:val="00CB090E"/>
    <w:rsid w:val="00CB090F"/>
    <w:rsid w:val="00CB0913"/>
    <w:rsid w:val="00CB0A01"/>
    <w:rsid w:val="00CB0A45"/>
    <w:rsid w:val="00CB0A61"/>
    <w:rsid w:val="00CB0A8C"/>
    <w:rsid w:val="00CB0CC4"/>
    <w:rsid w:val="00CB0D65"/>
    <w:rsid w:val="00CB0DC2"/>
    <w:rsid w:val="00CB0E17"/>
    <w:rsid w:val="00CB0E3A"/>
    <w:rsid w:val="00CB0E9C"/>
    <w:rsid w:val="00CB0F98"/>
    <w:rsid w:val="00CB0FD7"/>
    <w:rsid w:val="00CB0FF8"/>
    <w:rsid w:val="00CB1043"/>
    <w:rsid w:val="00CB10C9"/>
    <w:rsid w:val="00CB1192"/>
    <w:rsid w:val="00CB1255"/>
    <w:rsid w:val="00CB12C9"/>
    <w:rsid w:val="00CB1358"/>
    <w:rsid w:val="00CB135D"/>
    <w:rsid w:val="00CB13E8"/>
    <w:rsid w:val="00CB1437"/>
    <w:rsid w:val="00CB159E"/>
    <w:rsid w:val="00CB15A2"/>
    <w:rsid w:val="00CB1638"/>
    <w:rsid w:val="00CB1754"/>
    <w:rsid w:val="00CB1755"/>
    <w:rsid w:val="00CB1798"/>
    <w:rsid w:val="00CB18C3"/>
    <w:rsid w:val="00CB194D"/>
    <w:rsid w:val="00CB19A3"/>
    <w:rsid w:val="00CB1A18"/>
    <w:rsid w:val="00CB1A55"/>
    <w:rsid w:val="00CB1AB8"/>
    <w:rsid w:val="00CB1B1E"/>
    <w:rsid w:val="00CB1B28"/>
    <w:rsid w:val="00CB1BF9"/>
    <w:rsid w:val="00CB1C3A"/>
    <w:rsid w:val="00CB1D99"/>
    <w:rsid w:val="00CB1E9C"/>
    <w:rsid w:val="00CB1EF2"/>
    <w:rsid w:val="00CB1F14"/>
    <w:rsid w:val="00CB1F43"/>
    <w:rsid w:val="00CB1FF2"/>
    <w:rsid w:val="00CB2017"/>
    <w:rsid w:val="00CB202E"/>
    <w:rsid w:val="00CB20DC"/>
    <w:rsid w:val="00CB21A1"/>
    <w:rsid w:val="00CB21C0"/>
    <w:rsid w:val="00CB21CE"/>
    <w:rsid w:val="00CB2241"/>
    <w:rsid w:val="00CB2275"/>
    <w:rsid w:val="00CB230B"/>
    <w:rsid w:val="00CB2340"/>
    <w:rsid w:val="00CB235A"/>
    <w:rsid w:val="00CB23A2"/>
    <w:rsid w:val="00CB23AB"/>
    <w:rsid w:val="00CB23AE"/>
    <w:rsid w:val="00CB24B8"/>
    <w:rsid w:val="00CB24E5"/>
    <w:rsid w:val="00CB2505"/>
    <w:rsid w:val="00CB2624"/>
    <w:rsid w:val="00CB2629"/>
    <w:rsid w:val="00CB263C"/>
    <w:rsid w:val="00CB2720"/>
    <w:rsid w:val="00CB2853"/>
    <w:rsid w:val="00CB285C"/>
    <w:rsid w:val="00CB28D4"/>
    <w:rsid w:val="00CB299E"/>
    <w:rsid w:val="00CB2A5C"/>
    <w:rsid w:val="00CB2A70"/>
    <w:rsid w:val="00CB2A7C"/>
    <w:rsid w:val="00CB2AE5"/>
    <w:rsid w:val="00CB2AFB"/>
    <w:rsid w:val="00CB2BC8"/>
    <w:rsid w:val="00CB2C37"/>
    <w:rsid w:val="00CB2C57"/>
    <w:rsid w:val="00CB2CA4"/>
    <w:rsid w:val="00CB2CAE"/>
    <w:rsid w:val="00CB2CEF"/>
    <w:rsid w:val="00CB2D13"/>
    <w:rsid w:val="00CB2E6A"/>
    <w:rsid w:val="00CB2EE4"/>
    <w:rsid w:val="00CB2F21"/>
    <w:rsid w:val="00CB2F5B"/>
    <w:rsid w:val="00CB2F8A"/>
    <w:rsid w:val="00CB2FAE"/>
    <w:rsid w:val="00CB2FD2"/>
    <w:rsid w:val="00CB30D4"/>
    <w:rsid w:val="00CB30E3"/>
    <w:rsid w:val="00CB3191"/>
    <w:rsid w:val="00CB321B"/>
    <w:rsid w:val="00CB322B"/>
    <w:rsid w:val="00CB3233"/>
    <w:rsid w:val="00CB3264"/>
    <w:rsid w:val="00CB32A1"/>
    <w:rsid w:val="00CB32CB"/>
    <w:rsid w:val="00CB32E4"/>
    <w:rsid w:val="00CB3356"/>
    <w:rsid w:val="00CB33F4"/>
    <w:rsid w:val="00CB35E6"/>
    <w:rsid w:val="00CB3668"/>
    <w:rsid w:val="00CB3677"/>
    <w:rsid w:val="00CB37F2"/>
    <w:rsid w:val="00CB3803"/>
    <w:rsid w:val="00CB3A37"/>
    <w:rsid w:val="00CB3AFB"/>
    <w:rsid w:val="00CB3BC4"/>
    <w:rsid w:val="00CB3BC7"/>
    <w:rsid w:val="00CB3C8B"/>
    <w:rsid w:val="00CB3D5B"/>
    <w:rsid w:val="00CB3F11"/>
    <w:rsid w:val="00CB3F93"/>
    <w:rsid w:val="00CB3FDA"/>
    <w:rsid w:val="00CB40C2"/>
    <w:rsid w:val="00CB41C4"/>
    <w:rsid w:val="00CB4236"/>
    <w:rsid w:val="00CB4273"/>
    <w:rsid w:val="00CB42E6"/>
    <w:rsid w:val="00CB4300"/>
    <w:rsid w:val="00CB43FB"/>
    <w:rsid w:val="00CB4526"/>
    <w:rsid w:val="00CB453A"/>
    <w:rsid w:val="00CB4572"/>
    <w:rsid w:val="00CB457B"/>
    <w:rsid w:val="00CB466F"/>
    <w:rsid w:val="00CB46D9"/>
    <w:rsid w:val="00CB4707"/>
    <w:rsid w:val="00CB4786"/>
    <w:rsid w:val="00CB482E"/>
    <w:rsid w:val="00CB48A9"/>
    <w:rsid w:val="00CB4956"/>
    <w:rsid w:val="00CB49C3"/>
    <w:rsid w:val="00CB49E4"/>
    <w:rsid w:val="00CB4A63"/>
    <w:rsid w:val="00CB4A6E"/>
    <w:rsid w:val="00CB4B2B"/>
    <w:rsid w:val="00CB4B40"/>
    <w:rsid w:val="00CB4BDD"/>
    <w:rsid w:val="00CB4BFC"/>
    <w:rsid w:val="00CB4C1A"/>
    <w:rsid w:val="00CB4CC5"/>
    <w:rsid w:val="00CB4CD1"/>
    <w:rsid w:val="00CB4E47"/>
    <w:rsid w:val="00CB4F25"/>
    <w:rsid w:val="00CB4F49"/>
    <w:rsid w:val="00CB4F65"/>
    <w:rsid w:val="00CB4F90"/>
    <w:rsid w:val="00CB502C"/>
    <w:rsid w:val="00CB50E7"/>
    <w:rsid w:val="00CB515C"/>
    <w:rsid w:val="00CB52AB"/>
    <w:rsid w:val="00CB53E9"/>
    <w:rsid w:val="00CB541E"/>
    <w:rsid w:val="00CB5447"/>
    <w:rsid w:val="00CB5494"/>
    <w:rsid w:val="00CB553F"/>
    <w:rsid w:val="00CB55B1"/>
    <w:rsid w:val="00CB55EB"/>
    <w:rsid w:val="00CB568E"/>
    <w:rsid w:val="00CB574E"/>
    <w:rsid w:val="00CB58BC"/>
    <w:rsid w:val="00CB58BD"/>
    <w:rsid w:val="00CB58DF"/>
    <w:rsid w:val="00CB58F7"/>
    <w:rsid w:val="00CB58FF"/>
    <w:rsid w:val="00CB590E"/>
    <w:rsid w:val="00CB5946"/>
    <w:rsid w:val="00CB597B"/>
    <w:rsid w:val="00CB59F1"/>
    <w:rsid w:val="00CB5A87"/>
    <w:rsid w:val="00CB5B6B"/>
    <w:rsid w:val="00CB5C01"/>
    <w:rsid w:val="00CB5C79"/>
    <w:rsid w:val="00CB5E29"/>
    <w:rsid w:val="00CB5E31"/>
    <w:rsid w:val="00CB5E33"/>
    <w:rsid w:val="00CB5EDA"/>
    <w:rsid w:val="00CB5EF7"/>
    <w:rsid w:val="00CB5F67"/>
    <w:rsid w:val="00CB6026"/>
    <w:rsid w:val="00CB6055"/>
    <w:rsid w:val="00CB607D"/>
    <w:rsid w:val="00CB60AA"/>
    <w:rsid w:val="00CB60B2"/>
    <w:rsid w:val="00CB60DB"/>
    <w:rsid w:val="00CB6109"/>
    <w:rsid w:val="00CB619B"/>
    <w:rsid w:val="00CB61EA"/>
    <w:rsid w:val="00CB6256"/>
    <w:rsid w:val="00CB632D"/>
    <w:rsid w:val="00CB635B"/>
    <w:rsid w:val="00CB6380"/>
    <w:rsid w:val="00CB63D5"/>
    <w:rsid w:val="00CB63DB"/>
    <w:rsid w:val="00CB63E8"/>
    <w:rsid w:val="00CB6471"/>
    <w:rsid w:val="00CB652F"/>
    <w:rsid w:val="00CB65A2"/>
    <w:rsid w:val="00CB65C2"/>
    <w:rsid w:val="00CB6679"/>
    <w:rsid w:val="00CB6733"/>
    <w:rsid w:val="00CB6822"/>
    <w:rsid w:val="00CB6894"/>
    <w:rsid w:val="00CB69B0"/>
    <w:rsid w:val="00CB6A9B"/>
    <w:rsid w:val="00CB6B5A"/>
    <w:rsid w:val="00CB6B70"/>
    <w:rsid w:val="00CB6BDF"/>
    <w:rsid w:val="00CB6BEF"/>
    <w:rsid w:val="00CB6C80"/>
    <w:rsid w:val="00CB6CF9"/>
    <w:rsid w:val="00CB6E34"/>
    <w:rsid w:val="00CB6F25"/>
    <w:rsid w:val="00CB6F7C"/>
    <w:rsid w:val="00CB70B4"/>
    <w:rsid w:val="00CB70E6"/>
    <w:rsid w:val="00CB7162"/>
    <w:rsid w:val="00CB72AF"/>
    <w:rsid w:val="00CB72B5"/>
    <w:rsid w:val="00CB73B7"/>
    <w:rsid w:val="00CB73C9"/>
    <w:rsid w:val="00CB73F5"/>
    <w:rsid w:val="00CB7466"/>
    <w:rsid w:val="00CB7473"/>
    <w:rsid w:val="00CB749E"/>
    <w:rsid w:val="00CB7541"/>
    <w:rsid w:val="00CB7550"/>
    <w:rsid w:val="00CB7577"/>
    <w:rsid w:val="00CB758C"/>
    <w:rsid w:val="00CB7591"/>
    <w:rsid w:val="00CB75BE"/>
    <w:rsid w:val="00CB75FB"/>
    <w:rsid w:val="00CB769D"/>
    <w:rsid w:val="00CB771D"/>
    <w:rsid w:val="00CB774D"/>
    <w:rsid w:val="00CB7794"/>
    <w:rsid w:val="00CB77C3"/>
    <w:rsid w:val="00CB793C"/>
    <w:rsid w:val="00CB796E"/>
    <w:rsid w:val="00CB79DF"/>
    <w:rsid w:val="00CB7A2C"/>
    <w:rsid w:val="00CB7B23"/>
    <w:rsid w:val="00CB7B9D"/>
    <w:rsid w:val="00CB7BD9"/>
    <w:rsid w:val="00CB7D18"/>
    <w:rsid w:val="00CB7D50"/>
    <w:rsid w:val="00CB7D7B"/>
    <w:rsid w:val="00CB7DC9"/>
    <w:rsid w:val="00CB7DD6"/>
    <w:rsid w:val="00CB7DF9"/>
    <w:rsid w:val="00CB7E81"/>
    <w:rsid w:val="00CB7E90"/>
    <w:rsid w:val="00CB7F12"/>
    <w:rsid w:val="00CB7F2D"/>
    <w:rsid w:val="00CB7F6D"/>
    <w:rsid w:val="00CC0028"/>
    <w:rsid w:val="00CC002B"/>
    <w:rsid w:val="00CC0045"/>
    <w:rsid w:val="00CC01B4"/>
    <w:rsid w:val="00CC0245"/>
    <w:rsid w:val="00CC027C"/>
    <w:rsid w:val="00CC0283"/>
    <w:rsid w:val="00CC02EF"/>
    <w:rsid w:val="00CC030D"/>
    <w:rsid w:val="00CC03B6"/>
    <w:rsid w:val="00CC03FB"/>
    <w:rsid w:val="00CC05C2"/>
    <w:rsid w:val="00CC0672"/>
    <w:rsid w:val="00CC070B"/>
    <w:rsid w:val="00CC0720"/>
    <w:rsid w:val="00CC0881"/>
    <w:rsid w:val="00CC0887"/>
    <w:rsid w:val="00CC08B8"/>
    <w:rsid w:val="00CC0967"/>
    <w:rsid w:val="00CC0982"/>
    <w:rsid w:val="00CC0A2E"/>
    <w:rsid w:val="00CC0A40"/>
    <w:rsid w:val="00CC0A90"/>
    <w:rsid w:val="00CC0B09"/>
    <w:rsid w:val="00CC0B15"/>
    <w:rsid w:val="00CC0BEA"/>
    <w:rsid w:val="00CC0C93"/>
    <w:rsid w:val="00CC0D18"/>
    <w:rsid w:val="00CC0D19"/>
    <w:rsid w:val="00CC0D58"/>
    <w:rsid w:val="00CC0DBD"/>
    <w:rsid w:val="00CC0E45"/>
    <w:rsid w:val="00CC0E68"/>
    <w:rsid w:val="00CC0E90"/>
    <w:rsid w:val="00CC0EA6"/>
    <w:rsid w:val="00CC0F28"/>
    <w:rsid w:val="00CC0FD5"/>
    <w:rsid w:val="00CC1044"/>
    <w:rsid w:val="00CC1047"/>
    <w:rsid w:val="00CC10B7"/>
    <w:rsid w:val="00CC10EC"/>
    <w:rsid w:val="00CC1109"/>
    <w:rsid w:val="00CC1124"/>
    <w:rsid w:val="00CC113A"/>
    <w:rsid w:val="00CC1143"/>
    <w:rsid w:val="00CC11A8"/>
    <w:rsid w:val="00CC1208"/>
    <w:rsid w:val="00CC1221"/>
    <w:rsid w:val="00CC1222"/>
    <w:rsid w:val="00CC14D9"/>
    <w:rsid w:val="00CC14F0"/>
    <w:rsid w:val="00CC1529"/>
    <w:rsid w:val="00CC1621"/>
    <w:rsid w:val="00CC1644"/>
    <w:rsid w:val="00CC16B1"/>
    <w:rsid w:val="00CC1744"/>
    <w:rsid w:val="00CC17EE"/>
    <w:rsid w:val="00CC1838"/>
    <w:rsid w:val="00CC18B4"/>
    <w:rsid w:val="00CC18B5"/>
    <w:rsid w:val="00CC1908"/>
    <w:rsid w:val="00CC1980"/>
    <w:rsid w:val="00CC19D8"/>
    <w:rsid w:val="00CC1A1C"/>
    <w:rsid w:val="00CC1A69"/>
    <w:rsid w:val="00CC1AF0"/>
    <w:rsid w:val="00CC1AFB"/>
    <w:rsid w:val="00CC1B0F"/>
    <w:rsid w:val="00CC1BC3"/>
    <w:rsid w:val="00CC1CCD"/>
    <w:rsid w:val="00CC1CF3"/>
    <w:rsid w:val="00CC1D5B"/>
    <w:rsid w:val="00CC1D7C"/>
    <w:rsid w:val="00CC1DCE"/>
    <w:rsid w:val="00CC1DF0"/>
    <w:rsid w:val="00CC1E49"/>
    <w:rsid w:val="00CC1E8E"/>
    <w:rsid w:val="00CC1F2A"/>
    <w:rsid w:val="00CC1FC6"/>
    <w:rsid w:val="00CC1FEE"/>
    <w:rsid w:val="00CC200C"/>
    <w:rsid w:val="00CC2019"/>
    <w:rsid w:val="00CC216D"/>
    <w:rsid w:val="00CC223D"/>
    <w:rsid w:val="00CC2244"/>
    <w:rsid w:val="00CC2267"/>
    <w:rsid w:val="00CC226B"/>
    <w:rsid w:val="00CC22EE"/>
    <w:rsid w:val="00CC2372"/>
    <w:rsid w:val="00CC23DC"/>
    <w:rsid w:val="00CC2453"/>
    <w:rsid w:val="00CC24D3"/>
    <w:rsid w:val="00CC256A"/>
    <w:rsid w:val="00CC257F"/>
    <w:rsid w:val="00CC262A"/>
    <w:rsid w:val="00CC262E"/>
    <w:rsid w:val="00CC267B"/>
    <w:rsid w:val="00CC26AD"/>
    <w:rsid w:val="00CC27AC"/>
    <w:rsid w:val="00CC27AF"/>
    <w:rsid w:val="00CC27C5"/>
    <w:rsid w:val="00CC2832"/>
    <w:rsid w:val="00CC295C"/>
    <w:rsid w:val="00CC29B2"/>
    <w:rsid w:val="00CC29CA"/>
    <w:rsid w:val="00CC2A67"/>
    <w:rsid w:val="00CC2A8C"/>
    <w:rsid w:val="00CC2AD1"/>
    <w:rsid w:val="00CC2B2A"/>
    <w:rsid w:val="00CC2C67"/>
    <w:rsid w:val="00CC2D40"/>
    <w:rsid w:val="00CC2D8A"/>
    <w:rsid w:val="00CC2D93"/>
    <w:rsid w:val="00CC2E1B"/>
    <w:rsid w:val="00CC2E7E"/>
    <w:rsid w:val="00CC2F14"/>
    <w:rsid w:val="00CC2F36"/>
    <w:rsid w:val="00CC30DA"/>
    <w:rsid w:val="00CC31A7"/>
    <w:rsid w:val="00CC3207"/>
    <w:rsid w:val="00CC326E"/>
    <w:rsid w:val="00CC33AD"/>
    <w:rsid w:val="00CC33DF"/>
    <w:rsid w:val="00CC341B"/>
    <w:rsid w:val="00CC344A"/>
    <w:rsid w:val="00CC344F"/>
    <w:rsid w:val="00CC3473"/>
    <w:rsid w:val="00CC347D"/>
    <w:rsid w:val="00CC34A3"/>
    <w:rsid w:val="00CC34AF"/>
    <w:rsid w:val="00CC34B1"/>
    <w:rsid w:val="00CC34F7"/>
    <w:rsid w:val="00CC3683"/>
    <w:rsid w:val="00CC36FA"/>
    <w:rsid w:val="00CC374C"/>
    <w:rsid w:val="00CC37ED"/>
    <w:rsid w:val="00CC3826"/>
    <w:rsid w:val="00CC3897"/>
    <w:rsid w:val="00CC38B6"/>
    <w:rsid w:val="00CC390B"/>
    <w:rsid w:val="00CC390C"/>
    <w:rsid w:val="00CC3A27"/>
    <w:rsid w:val="00CC3A4B"/>
    <w:rsid w:val="00CC3AA3"/>
    <w:rsid w:val="00CC3ACF"/>
    <w:rsid w:val="00CC3B0E"/>
    <w:rsid w:val="00CC3BC8"/>
    <w:rsid w:val="00CC3C0C"/>
    <w:rsid w:val="00CC3C2D"/>
    <w:rsid w:val="00CC3CCE"/>
    <w:rsid w:val="00CC3D55"/>
    <w:rsid w:val="00CC3E51"/>
    <w:rsid w:val="00CC3E65"/>
    <w:rsid w:val="00CC3EFD"/>
    <w:rsid w:val="00CC3F02"/>
    <w:rsid w:val="00CC3F26"/>
    <w:rsid w:val="00CC3F3D"/>
    <w:rsid w:val="00CC3F5C"/>
    <w:rsid w:val="00CC3F7F"/>
    <w:rsid w:val="00CC408A"/>
    <w:rsid w:val="00CC413E"/>
    <w:rsid w:val="00CC419D"/>
    <w:rsid w:val="00CC428A"/>
    <w:rsid w:val="00CC429E"/>
    <w:rsid w:val="00CC436A"/>
    <w:rsid w:val="00CC439E"/>
    <w:rsid w:val="00CC43E5"/>
    <w:rsid w:val="00CC4405"/>
    <w:rsid w:val="00CC44D9"/>
    <w:rsid w:val="00CC453A"/>
    <w:rsid w:val="00CC458D"/>
    <w:rsid w:val="00CC467A"/>
    <w:rsid w:val="00CC4685"/>
    <w:rsid w:val="00CC46FA"/>
    <w:rsid w:val="00CC46FE"/>
    <w:rsid w:val="00CC4804"/>
    <w:rsid w:val="00CC4838"/>
    <w:rsid w:val="00CC488E"/>
    <w:rsid w:val="00CC48C6"/>
    <w:rsid w:val="00CC4913"/>
    <w:rsid w:val="00CC4966"/>
    <w:rsid w:val="00CC497B"/>
    <w:rsid w:val="00CC4A38"/>
    <w:rsid w:val="00CC4A8F"/>
    <w:rsid w:val="00CC4C1A"/>
    <w:rsid w:val="00CC4CB9"/>
    <w:rsid w:val="00CC4CCD"/>
    <w:rsid w:val="00CC4D97"/>
    <w:rsid w:val="00CC4DCF"/>
    <w:rsid w:val="00CC4DFD"/>
    <w:rsid w:val="00CC4E04"/>
    <w:rsid w:val="00CC4E45"/>
    <w:rsid w:val="00CC4E55"/>
    <w:rsid w:val="00CC4F75"/>
    <w:rsid w:val="00CC500C"/>
    <w:rsid w:val="00CC50E4"/>
    <w:rsid w:val="00CC5173"/>
    <w:rsid w:val="00CC51C8"/>
    <w:rsid w:val="00CC51EF"/>
    <w:rsid w:val="00CC5245"/>
    <w:rsid w:val="00CC53FA"/>
    <w:rsid w:val="00CC54ED"/>
    <w:rsid w:val="00CC5516"/>
    <w:rsid w:val="00CC5752"/>
    <w:rsid w:val="00CC57B5"/>
    <w:rsid w:val="00CC57CC"/>
    <w:rsid w:val="00CC581E"/>
    <w:rsid w:val="00CC58A7"/>
    <w:rsid w:val="00CC58FC"/>
    <w:rsid w:val="00CC58FD"/>
    <w:rsid w:val="00CC5923"/>
    <w:rsid w:val="00CC5A56"/>
    <w:rsid w:val="00CC5A9C"/>
    <w:rsid w:val="00CC5B08"/>
    <w:rsid w:val="00CC5B74"/>
    <w:rsid w:val="00CC5BA1"/>
    <w:rsid w:val="00CC5C73"/>
    <w:rsid w:val="00CC5D29"/>
    <w:rsid w:val="00CC5D36"/>
    <w:rsid w:val="00CC5EC6"/>
    <w:rsid w:val="00CC5EED"/>
    <w:rsid w:val="00CC5F29"/>
    <w:rsid w:val="00CC5F30"/>
    <w:rsid w:val="00CC607C"/>
    <w:rsid w:val="00CC60EC"/>
    <w:rsid w:val="00CC60FD"/>
    <w:rsid w:val="00CC6160"/>
    <w:rsid w:val="00CC6187"/>
    <w:rsid w:val="00CC634D"/>
    <w:rsid w:val="00CC63D6"/>
    <w:rsid w:val="00CC63F2"/>
    <w:rsid w:val="00CC646F"/>
    <w:rsid w:val="00CC657B"/>
    <w:rsid w:val="00CC6587"/>
    <w:rsid w:val="00CC669A"/>
    <w:rsid w:val="00CC6772"/>
    <w:rsid w:val="00CC6794"/>
    <w:rsid w:val="00CC685C"/>
    <w:rsid w:val="00CC68B8"/>
    <w:rsid w:val="00CC694A"/>
    <w:rsid w:val="00CC6A62"/>
    <w:rsid w:val="00CC6A69"/>
    <w:rsid w:val="00CC6AAB"/>
    <w:rsid w:val="00CC6AFC"/>
    <w:rsid w:val="00CC6B75"/>
    <w:rsid w:val="00CC6C0A"/>
    <w:rsid w:val="00CC6C9C"/>
    <w:rsid w:val="00CC6CF2"/>
    <w:rsid w:val="00CC6D28"/>
    <w:rsid w:val="00CC6D79"/>
    <w:rsid w:val="00CC6D8D"/>
    <w:rsid w:val="00CC6DDE"/>
    <w:rsid w:val="00CC6E15"/>
    <w:rsid w:val="00CC6EB6"/>
    <w:rsid w:val="00CC6ECA"/>
    <w:rsid w:val="00CC6F2B"/>
    <w:rsid w:val="00CC6FAD"/>
    <w:rsid w:val="00CC6FB6"/>
    <w:rsid w:val="00CC705B"/>
    <w:rsid w:val="00CC7086"/>
    <w:rsid w:val="00CC70CE"/>
    <w:rsid w:val="00CC715F"/>
    <w:rsid w:val="00CC71F8"/>
    <w:rsid w:val="00CC73BA"/>
    <w:rsid w:val="00CC73E7"/>
    <w:rsid w:val="00CC73E9"/>
    <w:rsid w:val="00CC7412"/>
    <w:rsid w:val="00CC7494"/>
    <w:rsid w:val="00CC74B6"/>
    <w:rsid w:val="00CC74C6"/>
    <w:rsid w:val="00CC75BD"/>
    <w:rsid w:val="00CC75C5"/>
    <w:rsid w:val="00CC7625"/>
    <w:rsid w:val="00CC768F"/>
    <w:rsid w:val="00CC77B8"/>
    <w:rsid w:val="00CC77CB"/>
    <w:rsid w:val="00CC786D"/>
    <w:rsid w:val="00CC7876"/>
    <w:rsid w:val="00CC78C6"/>
    <w:rsid w:val="00CC793C"/>
    <w:rsid w:val="00CC7952"/>
    <w:rsid w:val="00CC7B08"/>
    <w:rsid w:val="00CC7B68"/>
    <w:rsid w:val="00CC7B79"/>
    <w:rsid w:val="00CC7CFA"/>
    <w:rsid w:val="00CC7D03"/>
    <w:rsid w:val="00CC7DD8"/>
    <w:rsid w:val="00CC7E05"/>
    <w:rsid w:val="00CC7E43"/>
    <w:rsid w:val="00CC7E92"/>
    <w:rsid w:val="00CC7E98"/>
    <w:rsid w:val="00CC7F57"/>
    <w:rsid w:val="00CC7FF8"/>
    <w:rsid w:val="00CD001D"/>
    <w:rsid w:val="00CD00C5"/>
    <w:rsid w:val="00CD0129"/>
    <w:rsid w:val="00CD019A"/>
    <w:rsid w:val="00CD01D2"/>
    <w:rsid w:val="00CD0259"/>
    <w:rsid w:val="00CD02D3"/>
    <w:rsid w:val="00CD03C4"/>
    <w:rsid w:val="00CD03F7"/>
    <w:rsid w:val="00CD03FA"/>
    <w:rsid w:val="00CD0423"/>
    <w:rsid w:val="00CD0485"/>
    <w:rsid w:val="00CD04D9"/>
    <w:rsid w:val="00CD0619"/>
    <w:rsid w:val="00CD06F8"/>
    <w:rsid w:val="00CD071F"/>
    <w:rsid w:val="00CD0828"/>
    <w:rsid w:val="00CD0837"/>
    <w:rsid w:val="00CD083A"/>
    <w:rsid w:val="00CD0867"/>
    <w:rsid w:val="00CD08F3"/>
    <w:rsid w:val="00CD0993"/>
    <w:rsid w:val="00CD0A6B"/>
    <w:rsid w:val="00CD0AC8"/>
    <w:rsid w:val="00CD0B1F"/>
    <w:rsid w:val="00CD0BD4"/>
    <w:rsid w:val="00CD0C2F"/>
    <w:rsid w:val="00CD0C46"/>
    <w:rsid w:val="00CD0CE5"/>
    <w:rsid w:val="00CD0D1D"/>
    <w:rsid w:val="00CD0D3A"/>
    <w:rsid w:val="00CD0D53"/>
    <w:rsid w:val="00CD0E05"/>
    <w:rsid w:val="00CD0EDD"/>
    <w:rsid w:val="00CD0F07"/>
    <w:rsid w:val="00CD0F2C"/>
    <w:rsid w:val="00CD1082"/>
    <w:rsid w:val="00CD10AD"/>
    <w:rsid w:val="00CD1168"/>
    <w:rsid w:val="00CD1226"/>
    <w:rsid w:val="00CD12F1"/>
    <w:rsid w:val="00CD134B"/>
    <w:rsid w:val="00CD13F4"/>
    <w:rsid w:val="00CD143D"/>
    <w:rsid w:val="00CD14B7"/>
    <w:rsid w:val="00CD14CC"/>
    <w:rsid w:val="00CD15E4"/>
    <w:rsid w:val="00CD15E8"/>
    <w:rsid w:val="00CD167A"/>
    <w:rsid w:val="00CD16E4"/>
    <w:rsid w:val="00CD180B"/>
    <w:rsid w:val="00CD181C"/>
    <w:rsid w:val="00CD181F"/>
    <w:rsid w:val="00CD1836"/>
    <w:rsid w:val="00CD183C"/>
    <w:rsid w:val="00CD184A"/>
    <w:rsid w:val="00CD18AE"/>
    <w:rsid w:val="00CD18EF"/>
    <w:rsid w:val="00CD19A8"/>
    <w:rsid w:val="00CD19CC"/>
    <w:rsid w:val="00CD1B9A"/>
    <w:rsid w:val="00CD1BD7"/>
    <w:rsid w:val="00CD1C46"/>
    <w:rsid w:val="00CD1CC4"/>
    <w:rsid w:val="00CD1D68"/>
    <w:rsid w:val="00CD1DC1"/>
    <w:rsid w:val="00CD1E82"/>
    <w:rsid w:val="00CD1ED2"/>
    <w:rsid w:val="00CD1FE0"/>
    <w:rsid w:val="00CD2008"/>
    <w:rsid w:val="00CD2040"/>
    <w:rsid w:val="00CD2043"/>
    <w:rsid w:val="00CD2056"/>
    <w:rsid w:val="00CD2079"/>
    <w:rsid w:val="00CD20C9"/>
    <w:rsid w:val="00CD2110"/>
    <w:rsid w:val="00CD2196"/>
    <w:rsid w:val="00CD21A8"/>
    <w:rsid w:val="00CD227E"/>
    <w:rsid w:val="00CD22DF"/>
    <w:rsid w:val="00CD2301"/>
    <w:rsid w:val="00CD230F"/>
    <w:rsid w:val="00CD23B0"/>
    <w:rsid w:val="00CD23B2"/>
    <w:rsid w:val="00CD23F9"/>
    <w:rsid w:val="00CD242E"/>
    <w:rsid w:val="00CD253F"/>
    <w:rsid w:val="00CD25D4"/>
    <w:rsid w:val="00CD2678"/>
    <w:rsid w:val="00CD2778"/>
    <w:rsid w:val="00CD279D"/>
    <w:rsid w:val="00CD283E"/>
    <w:rsid w:val="00CD287F"/>
    <w:rsid w:val="00CD28B3"/>
    <w:rsid w:val="00CD291E"/>
    <w:rsid w:val="00CD2970"/>
    <w:rsid w:val="00CD298F"/>
    <w:rsid w:val="00CD2A0D"/>
    <w:rsid w:val="00CD2A4D"/>
    <w:rsid w:val="00CD2B01"/>
    <w:rsid w:val="00CD2B2B"/>
    <w:rsid w:val="00CD2BDB"/>
    <w:rsid w:val="00CD2BEE"/>
    <w:rsid w:val="00CD2C03"/>
    <w:rsid w:val="00CD2C21"/>
    <w:rsid w:val="00CD2C38"/>
    <w:rsid w:val="00CD2D7B"/>
    <w:rsid w:val="00CD2DFE"/>
    <w:rsid w:val="00CD2E47"/>
    <w:rsid w:val="00CD2E93"/>
    <w:rsid w:val="00CD2EBD"/>
    <w:rsid w:val="00CD2EF6"/>
    <w:rsid w:val="00CD3036"/>
    <w:rsid w:val="00CD31B0"/>
    <w:rsid w:val="00CD31B9"/>
    <w:rsid w:val="00CD31D0"/>
    <w:rsid w:val="00CD31E2"/>
    <w:rsid w:val="00CD336E"/>
    <w:rsid w:val="00CD33F0"/>
    <w:rsid w:val="00CD346C"/>
    <w:rsid w:val="00CD34F0"/>
    <w:rsid w:val="00CD35CE"/>
    <w:rsid w:val="00CD3639"/>
    <w:rsid w:val="00CD3693"/>
    <w:rsid w:val="00CD3838"/>
    <w:rsid w:val="00CD384A"/>
    <w:rsid w:val="00CD38E4"/>
    <w:rsid w:val="00CD3A19"/>
    <w:rsid w:val="00CD3AA7"/>
    <w:rsid w:val="00CD3AD7"/>
    <w:rsid w:val="00CD3B10"/>
    <w:rsid w:val="00CD3BA4"/>
    <w:rsid w:val="00CD3BC6"/>
    <w:rsid w:val="00CD3BE9"/>
    <w:rsid w:val="00CD3C51"/>
    <w:rsid w:val="00CD3DD3"/>
    <w:rsid w:val="00CD3DFC"/>
    <w:rsid w:val="00CD3E9F"/>
    <w:rsid w:val="00CD3EC5"/>
    <w:rsid w:val="00CD3F23"/>
    <w:rsid w:val="00CD3F39"/>
    <w:rsid w:val="00CD3FDF"/>
    <w:rsid w:val="00CD4082"/>
    <w:rsid w:val="00CD423B"/>
    <w:rsid w:val="00CD4323"/>
    <w:rsid w:val="00CD439B"/>
    <w:rsid w:val="00CD43F6"/>
    <w:rsid w:val="00CD453D"/>
    <w:rsid w:val="00CD4594"/>
    <w:rsid w:val="00CD46EE"/>
    <w:rsid w:val="00CD477B"/>
    <w:rsid w:val="00CD4824"/>
    <w:rsid w:val="00CD48A4"/>
    <w:rsid w:val="00CD48EC"/>
    <w:rsid w:val="00CD4980"/>
    <w:rsid w:val="00CD4A37"/>
    <w:rsid w:val="00CD4B22"/>
    <w:rsid w:val="00CD4B30"/>
    <w:rsid w:val="00CD4B35"/>
    <w:rsid w:val="00CD4B49"/>
    <w:rsid w:val="00CD4BC2"/>
    <w:rsid w:val="00CD4C82"/>
    <w:rsid w:val="00CD4E34"/>
    <w:rsid w:val="00CD4E48"/>
    <w:rsid w:val="00CD4F7E"/>
    <w:rsid w:val="00CD4F97"/>
    <w:rsid w:val="00CD51A0"/>
    <w:rsid w:val="00CD5217"/>
    <w:rsid w:val="00CD5256"/>
    <w:rsid w:val="00CD52B5"/>
    <w:rsid w:val="00CD52E3"/>
    <w:rsid w:val="00CD5354"/>
    <w:rsid w:val="00CD53B5"/>
    <w:rsid w:val="00CD5424"/>
    <w:rsid w:val="00CD5472"/>
    <w:rsid w:val="00CD54BE"/>
    <w:rsid w:val="00CD54CE"/>
    <w:rsid w:val="00CD5583"/>
    <w:rsid w:val="00CD5774"/>
    <w:rsid w:val="00CD5925"/>
    <w:rsid w:val="00CD597F"/>
    <w:rsid w:val="00CD5999"/>
    <w:rsid w:val="00CD5A22"/>
    <w:rsid w:val="00CD5A95"/>
    <w:rsid w:val="00CD5B3C"/>
    <w:rsid w:val="00CD5C65"/>
    <w:rsid w:val="00CD5CE1"/>
    <w:rsid w:val="00CD5CEF"/>
    <w:rsid w:val="00CD5D47"/>
    <w:rsid w:val="00CD5D66"/>
    <w:rsid w:val="00CD5E13"/>
    <w:rsid w:val="00CD5EC2"/>
    <w:rsid w:val="00CD5F41"/>
    <w:rsid w:val="00CD5F66"/>
    <w:rsid w:val="00CD6015"/>
    <w:rsid w:val="00CD6090"/>
    <w:rsid w:val="00CD60B2"/>
    <w:rsid w:val="00CD60E1"/>
    <w:rsid w:val="00CD60EB"/>
    <w:rsid w:val="00CD610C"/>
    <w:rsid w:val="00CD611A"/>
    <w:rsid w:val="00CD613B"/>
    <w:rsid w:val="00CD615A"/>
    <w:rsid w:val="00CD61A5"/>
    <w:rsid w:val="00CD61A7"/>
    <w:rsid w:val="00CD6211"/>
    <w:rsid w:val="00CD6284"/>
    <w:rsid w:val="00CD629B"/>
    <w:rsid w:val="00CD62C6"/>
    <w:rsid w:val="00CD63BF"/>
    <w:rsid w:val="00CD646B"/>
    <w:rsid w:val="00CD64B9"/>
    <w:rsid w:val="00CD64BF"/>
    <w:rsid w:val="00CD64E6"/>
    <w:rsid w:val="00CD6507"/>
    <w:rsid w:val="00CD652C"/>
    <w:rsid w:val="00CD656B"/>
    <w:rsid w:val="00CD65F3"/>
    <w:rsid w:val="00CD6664"/>
    <w:rsid w:val="00CD66C6"/>
    <w:rsid w:val="00CD6718"/>
    <w:rsid w:val="00CD674C"/>
    <w:rsid w:val="00CD67B9"/>
    <w:rsid w:val="00CD67CC"/>
    <w:rsid w:val="00CD6863"/>
    <w:rsid w:val="00CD68A7"/>
    <w:rsid w:val="00CD6908"/>
    <w:rsid w:val="00CD690C"/>
    <w:rsid w:val="00CD69D5"/>
    <w:rsid w:val="00CD6A4B"/>
    <w:rsid w:val="00CD6A60"/>
    <w:rsid w:val="00CD6A71"/>
    <w:rsid w:val="00CD6EE8"/>
    <w:rsid w:val="00CD6F9F"/>
    <w:rsid w:val="00CD7063"/>
    <w:rsid w:val="00CD706C"/>
    <w:rsid w:val="00CD70C9"/>
    <w:rsid w:val="00CD70E6"/>
    <w:rsid w:val="00CD71CC"/>
    <w:rsid w:val="00CD71ED"/>
    <w:rsid w:val="00CD726F"/>
    <w:rsid w:val="00CD72A9"/>
    <w:rsid w:val="00CD72D4"/>
    <w:rsid w:val="00CD72DF"/>
    <w:rsid w:val="00CD73FE"/>
    <w:rsid w:val="00CD7432"/>
    <w:rsid w:val="00CD74DD"/>
    <w:rsid w:val="00CD75B0"/>
    <w:rsid w:val="00CD75B5"/>
    <w:rsid w:val="00CD75FC"/>
    <w:rsid w:val="00CD7647"/>
    <w:rsid w:val="00CD7676"/>
    <w:rsid w:val="00CD768B"/>
    <w:rsid w:val="00CD76BC"/>
    <w:rsid w:val="00CD7745"/>
    <w:rsid w:val="00CD7871"/>
    <w:rsid w:val="00CD787B"/>
    <w:rsid w:val="00CD78AC"/>
    <w:rsid w:val="00CD78B0"/>
    <w:rsid w:val="00CD794A"/>
    <w:rsid w:val="00CD7981"/>
    <w:rsid w:val="00CD7999"/>
    <w:rsid w:val="00CD79A5"/>
    <w:rsid w:val="00CD79E3"/>
    <w:rsid w:val="00CD7A48"/>
    <w:rsid w:val="00CD7A5E"/>
    <w:rsid w:val="00CD7B02"/>
    <w:rsid w:val="00CD7B1F"/>
    <w:rsid w:val="00CD7BD8"/>
    <w:rsid w:val="00CD7BEB"/>
    <w:rsid w:val="00CD7C69"/>
    <w:rsid w:val="00CD7CDD"/>
    <w:rsid w:val="00CD7D15"/>
    <w:rsid w:val="00CD7D43"/>
    <w:rsid w:val="00CD7ED9"/>
    <w:rsid w:val="00CD7F0A"/>
    <w:rsid w:val="00CD7FF6"/>
    <w:rsid w:val="00CE0025"/>
    <w:rsid w:val="00CE0144"/>
    <w:rsid w:val="00CE014B"/>
    <w:rsid w:val="00CE0224"/>
    <w:rsid w:val="00CE02C0"/>
    <w:rsid w:val="00CE02E7"/>
    <w:rsid w:val="00CE0318"/>
    <w:rsid w:val="00CE0321"/>
    <w:rsid w:val="00CE0363"/>
    <w:rsid w:val="00CE0491"/>
    <w:rsid w:val="00CE04A1"/>
    <w:rsid w:val="00CE04DD"/>
    <w:rsid w:val="00CE053E"/>
    <w:rsid w:val="00CE0650"/>
    <w:rsid w:val="00CE06A8"/>
    <w:rsid w:val="00CE0720"/>
    <w:rsid w:val="00CE07FB"/>
    <w:rsid w:val="00CE0817"/>
    <w:rsid w:val="00CE08F5"/>
    <w:rsid w:val="00CE096B"/>
    <w:rsid w:val="00CE0A96"/>
    <w:rsid w:val="00CE0B56"/>
    <w:rsid w:val="00CE0B97"/>
    <w:rsid w:val="00CE0E28"/>
    <w:rsid w:val="00CE0E6F"/>
    <w:rsid w:val="00CE0EC8"/>
    <w:rsid w:val="00CE0EE6"/>
    <w:rsid w:val="00CE0FB3"/>
    <w:rsid w:val="00CE101D"/>
    <w:rsid w:val="00CE102E"/>
    <w:rsid w:val="00CE1032"/>
    <w:rsid w:val="00CE1045"/>
    <w:rsid w:val="00CE10FD"/>
    <w:rsid w:val="00CE11B0"/>
    <w:rsid w:val="00CE12B0"/>
    <w:rsid w:val="00CE136C"/>
    <w:rsid w:val="00CE1394"/>
    <w:rsid w:val="00CE13EA"/>
    <w:rsid w:val="00CE1403"/>
    <w:rsid w:val="00CE1420"/>
    <w:rsid w:val="00CE1462"/>
    <w:rsid w:val="00CE15F6"/>
    <w:rsid w:val="00CE165A"/>
    <w:rsid w:val="00CE1795"/>
    <w:rsid w:val="00CE17E2"/>
    <w:rsid w:val="00CE1800"/>
    <w:rsid w:val="00CE18AA"/>
    <w:rsid w:val="00CE18DB"/>
    <w:rsid w:val="00CE18F9"/>
    <w:rsid w:val="00CE1BF5"/>
    <w:rsid w:val="00CE1C4C"/>
    <w:rsid w:val="00CE1CFD"/>
    <w:rsid w:val="00CE1D92"/>
    <w:rsid w:val="00CE1DB7"/>
    <w:rsid w:val="00CE1E15"/>
    <w:rsid w:val="00CE1E4C"/>
    <w:rsid w:val="00CE1E7C"/>
    <w:rsid w:val="00CE1E88"/>
    <w:rsid w:val="00CE1ED3"/>
    <w:rsid w:val="00CE1EF6"/>
    <w:rsid w:val="00CE1F26"/>
    <w:rsid w:val="00CE1F5B"/>
    <w:rsid w:val="00CE1FCD"/>
    <w:rsid w:val="00CE2164"/>
    <w:rsid w:val="00CE22CF"/>
    <w:rsid w:val="00CE23D2"/>
    <w:rsid w:val="00CE23DB"/>
    <w:rsid w:val="00CE23E6"/>
    <w:rsid w:val="00CE241C"/>
    <w:rsid w:val="00CE2481"/>
    <w:rsid w:val="00CE249F"/>
    <w:rsid w:val="00CE2580"/>
    <w:rsid w:val="00CE261B"/>
    <w:rsid w:val="00CE2657"/>
    <w:rsid w:val="00CE27ED"/>
    <w:rsid w:val="00CE2812"/>
    <w:rsid w:val="00CE282F"/>
    <w:rsid w:val="00CE2855"/>
    <w:rsid w:val="00CE2949"/>
    <w:rsid w:val="00CE295A"/>
    <w:rsid w:val="00CE2994"/>
    <w:rsid w:val="00CE29D9"/>
    <w:rsid w:val="00CE2B13"/>
    <w:rsid w:val="00CE2B59"/>
    <w:rsid w:val="00CE2D0C"/>
    <w:rsid w:val="00CE2EC2"/>
    <w:rsid w:val="00CE2F5F"/>
    <w:rsid w:val="00CE2F67"/>
    <w:rsid w:val="00CE2F88"/>
    <w:rsid w:val="00CE2FA1"/>
    <w:rsid w:val="00CE2FA2"/>
    <w:rsid w:val="00CE2FD9"/>
    <w:rsid w:val="00CE3139"/>
    <w:rsid w:val="00CE3148"/>
    <w:rsid w:val="00CE316E"/>
    <w:rsid w:val="00CE31D6"/>
    <w:rsid w:val="00CE31E4"/>
    <w:rsid w:val="00CE323D"/>
    <w:rsid w:val="00CE32AB"/>
    <w:rsid w:val="00CE3363"/>
    <w:rsid w:val="00CE33EC"/>
    <w:rsid w:val="00CE3465"/>
    <w:rsid w:val="00CE34AB"/>
    <w:rsid w:val="00CE362A"/>
    <w:rsid w:val="00CE3664"/>
    <w:rsid w:val="00CE36B0"/>
    <w:rsid w:val="00CE3725"/>
    <w:rsid w:val="00CE3750"/>
    <w:rsid w:val="00CE3854"/>
    <w:rsid w:val="00CE3946"/>
    <w:rsid w:val="00CE3952"/>
    <w:rsid w:val="00CE39D3"/>
    <w:rsid w:val="00CE39FE"/>
    <w:rsid w:val="00CE3A49"/>
    <w:rsid w:val="00CE3A9F"/>
    <w:rsid w:val="00CE3BCA"/>
    <w:rsid w:val="00CE3C26"/>
    <w:rsid w:val="00CE3D4D"/>
    <w:rsid w:val="00CE3D76"/>
    <w:rsid w:val="00CE3DD2"/>
    <w:rsid w:val="00CE3E85"/>
    <w:rsid w:val="00CE3E9F"/>
    <w:rsid w:val="00CE3F12"/>
    <w:rsid w:val="00CE3F7B"/>
    <w:rsid w:val="00CE404E"/>
    <w:rsid w:val="00CE40C2"/>
    <w:rsid w:val="00CE40D0"/>
    <w:rsid w:val="00CE40D7"/>
    <w:rsid w:val="00CE424A"/>
    <w:rsid w:val="00CE4288"/>
    <w:rsid w:val="00CE430D"/>
    <w:rsid w:val="00CE434D"/>
    <w:rsid w:val="00CE436C"/>
    <w:rsid w:val="00CE437F"/>
    <w:rsid w:val="00CE4402"/>
    <w:rsid w:val="00CE443B"/>
    <w:rsid w:val="00CE4466"/>
    <w:rsid w:val="00CE4576"/>
    <w:rsid w:val="00CE4598"/>
    <w:rsid w:val="00CE45CE"/>
    <w:rsid w:val="00CE45D9"/>
    <w:rsid w:val="00CE4734"/>
    <w:rsid w:val="00CE476B"/>
    <w:rsid w:val="00CE4775"/>
    <w:rsid w:val="00CE483F"/>
    <w:rsid w:val="00CE48FD"/>
    <w:rsid w:val="00CE4A4C"/>
    <w:rsid w:val="00CE4A5C"/>
    <w:rsid w:val="00CE4A98"/>
    <w:rsid w:val="00CE4AA6"/>
    <w:rsid w:val="00CE4B12"/>
    <w:rsid w:val="00CE4C63"/>
    <w:rsid w:val="00CE4CA3"/>
    <w:rsid w:val="00CE4CBA"/>
    <w:rsid w:val="00CE4D14"/>
    <w:rsid w:val="00CE4FB3"/>
    <w:rsid w:val="00CE50E0"/>
    <w:rsid w:val="00CE50F9"/>
    <w:rsid w:val="00CE5190"/>
    <w:rsid w:val="00CE51C5"/>
    <w:rsid w:val="00CE5217"/>
    <w:rsid w:val="00CE52B2"/>
    <w:rsid w:val="00CE531A"/>
    <w:rsid w:val="00CE537E"/>
    <w:rsid w:val="00CE5457"/>
    <w:rsid w:val="00CE5478"/>
    <w:rsid w:val="00CE547A"/>
    <w:rsid w:val="00CE54AC"/>
    <w:rsid w:val="00CE5560"/>
    <w:rsid w:val="00CE55CA"/>
    <w:rsid w:val="00CE55DE"/>
    <w:rsid w:val="00CE56ED"/>
    <w:rsid w:val="00CE576B"/>
    <w:rsid w:val="00CE57B6"/>
    <w:rsid w:val="00CE588F"/>
    <w:rsid w:val="00CE58CE"/>
    <w:rsid w:val="00CE58D4"/>
    <w:rsid w:val="00CE59C5"/>
    <w:rsid w:val="00CE5A09"/>
    <w:rsid w:val="00CE5A41"/>
    <w:rsid w:val="00CE5DFE"/>
    <w:rsid w:val="00CE5E11"/>
    <w:rsid w:val="00CE5E78"/>
    <w:rsid w:val="00CE5E7F"/>
    <w:rsid w:val="00CE5E9A"/>
    <w:rsid w:val="00CE6013"/>
    <w:rsid w:val="00CE6192"/>
    <w:rsid w:val="00CE628A"/>
    <w:rsid w:val="00CE62C6"/>
    <w:rsid w:val="00CE6392"/>
    <w:rsid w:val="00CE63BB"/>
    <w:rsid w:val="00CE63F8"/>
    <w:rsid w:val="00CE644C"/>
    <w:rsid w:val="00CE6515"/>
    <w:rsid w:val="00CE6529"/>
    <w:rsid w:val="00CE652B"/>
    <w:rsid w:val="00CE659A"/>
    <w:rsid w:val="00CE659C"/>
    <w:rsid w:val="00CE65BE"/>
    <w:rsid w:val="00CE65EC"/>
    <w:rsid w:val="00CE6606"/>
    <w:rsid w:val="00CE664D"/>
    <w:rsid w:val="00CE667F"/>
    <w:rsid w:val="00CE6768"/>
    <w:rsid w:val="00CE677C"/>
    <w:rsid w:val="00CE67A2"/>
    <w:rsid w:val="00CE67B0"/>
    <w:rsid w:val="00CE67D3"/>
    <w:rsid w:val="00CE67E1"/>
    <w:rsid w:val="00CE6834"/>
    <w:rsid w:val="00CE6867"/>
    <w:rsid w:val="00CE6896"/>
    <w:rsid w:val="00CE68F9"/>
    <w:rsid w:val="00CE6A44"/>
    <w:rsid w:val="00CE6AE2"/>
    <w:rsid w:val="00CE6AE3"/>
    <w:rsid w:val="00CE6AFF"/>
    <w:rsid w:val="00CE6B2E"/>
    <w:rsid w:val="00CE6B8A"/>
    <w:rsid w:val="00CE6BFD"/>
    <w:rsid w:val="00CE6C67"/>
    <w:rsid w:val="00CE6CCC"/>
    <w:rsid w:val="00CE6D02"/>
    <w:rsid w:val="00CE6DA6"/>
    <w:rsid w:val="00CE6E7D"/>
    <w:rsid w:val="00CE702A"/>
    <w:rsid w:val="00CE703A"/>
    <w:rsid w:val="00CE7049"/>
    <w:rsid w:val="00CE7066"/>
    <w:rsid w:val="00CE70B7"/>
    <w:rsid w:val="00CE717E"/>
    <w:rsid w:val="00CE7186"/>
    <w:rsid w:val="00CE7196"/>
    <w:rsid w:val="00CE71BB"/>
    <w:rsid w:val="00CE71D8"/>
    <w:rsid w:val="00CE71FA"/>
    <w:rsid w:val="00CE72B3"/>
    <w:rsid w:val="00CE7307"/>
    <w:rsid w:val="00CE7416"/>
    <w:rsid w:val="00CE7522"/>
    <w:rsid w:val="00CE7600"/>
    <w:rsid w:val="00CE7790"/>
    <w:rsid w:val="00CE77D3"/>
    <w:rsid w:val="00CE780F"/>
    <w:rsid w:val="00CE7864"/>
    <w:rsid w:val="00CE7947"/>
    <w:rsid w:val="00CE7966"/>
    <w:rsid w:val="00CE798F"/>
    <w:rsid w:val="00CE7994"/>
    <w:rsid w:val="00CE79AC"/>
    <w:rsid w:val="00CE79BE"/>
    <w:rsid w:val="00CE79EF"/>
    <w:rsid w:val="00CE79F0"/>
    <w:rsid w:val="00CE7A3E"/>
    <w:rsid w:val="00CE7A80"/>
    <w:rsid w:val="00CE7ADC"/>
    <w:rsid w:val="00CE7ADD"/>
    <w:rsid w:val="00CE7B18"/>
    <w:rsid w:val="00CE7B25"/>
    <w:rsid w:val="00CE7C66"/>
    <w:rsid w:val="00CE7CED"/>
    <w:rsid w:val="00CE7D3C"/>
    <w:rsid w:val="00CE7D9A"/>
    <w:rsid w:val="00CE7EF1"/>
    <w:rsid w:val="00CE7F0E"/>
    <w:rsid w:val="00CF0004"/>
    <w:rsid w:val="00CF00B8"/>
    <w:rsid w:val="00CF00C7"/>
    <w:rsid w:val="00CF00F5"/>
    <w:rsid w:val="00CF0294"/>
    <w:rsid w:val="00CF02C9"/>
    <w:rsid w:val="00CF02E3"/>
    <w:rsid w:val="00CF0305"/>
    <w:rsid w:val="00CF0342"/>
    <w:rsid w:val="00CF039D"/>
    <w:rsid w:val="00CF0406"/>
    <w:rsid w:val="00CF040F"/>
    <w:rsid w:val="00CF05E4"/>
    <w:rsid w:val="00CF062B"/>
    <w:rsid w:val="00CF063B"/>
    <w:rsid w:val="00CF0647"/>
    <w:rsid w:val="00CF07C8"/>
    <w:rsid w:val="00CF07CD"/>
    <w:rsid w:val="00CF0817"/>
    <w:rsid w:val="00CF0876"/>
    <w:rsid w:val="00CF091D"/>
    <w:rsid w:val="00CF09F2"/>
    <w:rsid w:val="00CF0A32"/>
    <w:rsid w:val="00CF0A92"/>
    <w:rsid w:val="00CF0ACE"/>
    <w:rsid w:val="00CF0AE4"/>
    <w:rsid w:val="00CF0BCF"/>
    <w:rsid w:val="00CF0BD4"/>
    <w:rsid w:val="00CF0C02"/>
    <w:rsid w:val="00CF0C09"/>
    <w:rsid w:val="00CF0C16"/>
    <w:rsid w:val="00CF0C79"/>
    <w:rsid w:val="00CF0CA1"/>
    <w:rsid w:val="00CF0D31"/>
    <w:rsid w:val="00CF0D74"/>
    <w:rsid w:val="00CF0E27"/>
    <w:rsid w:val="00CF0E8E"/>
    <w:rsid w:val="00CF0F4D"/>
    <w:rsid w:val="00CF0F7B"/>
    <w:rsid w:val="00CF101E"/>
    <w:rsid w:val="00CF1024"/>
    <w:rsid w:val="00CF10D7"/>
    <w:rsid w:val="00CF1205"/>
    <w:rsid w:val="00CF1232"/>
    <w:rsid w:val="00CF1254"/>
    <w:rsid w:val="00CF128C"/>
    <w:rsid w:val="00CF12AD"/>
    <w:rsid w:val="00CF12E7"/>
    <w:rsid w:val="00CF12F5"/>
    <w:rsid w:val="00CF132A"/>
    <w:rsid w:val="00CF132C"/>
    <w:rsid w:val="00CF13C1"/>
    <w:rsid w:val="00CF1464"/>
    <w:rsid w:val="00CF148C"/>
    <w:rsid w:val="00CF1588"/>
    <w:rsid w:val="00CF171E"/>
    <w:rsid w:val="00CF174D"/>
    <w:rsid w:val="00CF175A"/>
    <w:rsid w:val="00CF1774"/>
    <w:rsid w:val="00CF17F1"/>
    <w:rsid w:val="00CF1964"/>
    <w:rsid w:val="00CF19CE"/>
    <w:rsid w:val="00CF19DA"/>
    <w:rsid w:val="00CF1A8C"/>
    <w:rsid w:val="00CF1B22"/>
    <w:rsid w:val="00CF1B5B"/>
    <w:rsid w:val="00CF1B9B"/>
    <w:rsid w:val="00CF1C01"/>
    <w:rsid w:val="00CF1CFC"/>
    <w:rsid w:val="00CF1D25"/>
    <w:rsid w:val="00CF1DB7"/>
    <w:rsid w:val="00CF1EC4"/>
    <w:rsid w:val="00CF1F0C"/>
    <w:rsid w:val="00CF1FBB"/>
    <w:rsid w:val="00CF1FD3"/>
    <w:rsid w:val="00CF1FF3"/>
    <w:rsid w:val="00CF2079"/>
    <w:rsid w:val="00CF2296"/>
    <w:rsid w:val="00CF22BE"/>
    <w:rsid w:val="00CF22E7"/>
    <w:rsid w:val="00CF232D"/>
    <w:rsid w:val="00CF233B"/>
    <w:rsid w:val="00CF245F"/>
    <w:rsid w:val="00CF248E"/>
    <w:rsid w:val="00CF2493"/>
    <w:rsid w:val="00CF24A8"/>
    <w:rsid w:val="00CF24D4"/>
    <w:rsid w:val="00CF2520"/>
    <w:rsid w:val="00CF2573"/>
    <w:rsid w:val="00CF2583"/>
    <w:rsid w:val="00CF262A"/>
    <w:rsid w:val="00CF2658"/>
    <w:rsid w:val="00CF265A"/>
    <w:rsid w:val="00CF26CF"/>
    <w:rsid w:val="00CF272F"/>
    <w:rsid w:val="00CF2788"/>
    <w:rsid w:val="00CF27DA"/>
    <w:rsid w:val="00CF27EC"/>
    <w:rsid w:val="00CF282B"/>
    <w:rsid w:val="00CF2868"/>
    <w:rsid w:val="00CF2A53"/>
    <w:rsid w:val="00CF2AFE"/>
    <w:rsid w:val="00CF2BED"/>
    <w:rsid w:val="00CF2C03"/>
    <w:rsid w:val="00CF2D59"/>
    <w:rsid w:val="00CF2D69"/>
    <w:rsid w:val="00CF2DD2"/>
    <w:rsid w:val="00CF2E87"/>
    <w:rsid w:val="00CF2F06"/>
    <w:rsid w:val="00CF2F19"/>
    <w:rsid w:val="00CF3009"/>
    <w:rsid w:val="00CF30EF"/>
    <w:rsid w:val="00CF313F"/>
    <w:rsid w:val="00CF3154"/>
    <w:rsid w:val="00CF31C1"/>
    <w:rsid w:val="00CF3227"/>
    <w:rsid w:val="00CF3249"/>
    <w:rsid w:val="00CF32A1"/>
    <w:rsid w:val="00CF32A2"/>
    <w:rsid w:val="00CF3310"/>
    <w:rsid w:val="00CF331B"/>
    <w:rsid w:val="00CF34A4"/>
    <w:rsid w:val="00CF34A5"/>
    <w:rsid w:val="00CF34EF"/>
    <w:rsid w:val="00CF358B"/>
    <w:rsid w:val="00CF361B"/>
    <w:rsid w:val="00CF36CD"/>
    <w:rsid w:val="00CF37A2"/>
    <w:rsid w:val="00CF37AD"/>
    <w:rsid w:val="00CF37F7"/>
    <w:rsid w:val="00CF37F8"/>
    <w:rsid w:val="00CF3864"/>
    <w:rsid w:val="00CF38C9"/>
    <w:rsid w:val="00CF39B8"/>
    <w:rsid w:val="00CF3A18"/>
    <w:rsid w:val="00CF3A9E"/>
    <w:rsid w:val="00CF3BF5"/>
    <w:rsid w:val="00CF3C0C"/>
    <w:rsid w:val="00CF3C31"/>
    <w:rsid w:val="00CF3D18"/>
    <w:rsid w:val="00CF3D63"/>
    <w:rsid w:val="00CF3D6A"/>
    <w:rsid w:val="00CF3D95"/>
    <w:rsid w:val="00CF3DD7"/>
    <w:rsid w:val="00CF3DF9"/>
    <w:rsid w:val="00CF3E56"/>
    <w:rsid w:val="00CF3E8D"/>
    <w:rsid w:val="00CF3EE2"/>
    <w:rsid w:val="00CF3EFA"/>
    <w:rsid w:val="00CF3F06"/>
    <w:rsid w:val="00CF3F2B"/>
    <w:rsid w:val="00CF3F6F"/>
    <w:rsid w:val="00CF3FDB"/>
    <w:rsid w:val="00CF4024"/>
    <w:rsid w:val="00CF4057"/>
    <w:rsid w:val="00CF4094"/>
    <w:rsid w:val="00CF40CC"/>
    <w:rsid w:val="00CF40DF"/>
    <w:rsid w:val="00CF415A"/>
    <w:rsid w:val="00CF4272"/>
    <w:rsid w:val="00CF4297"/>
    <w:rsid w:val="00CF42A2"/>
    <w:rsid w:val="00CF42FD"/>
    <w:rsid w:val="00CF4496"/>
    <w:rsid w:val="00CF44E9"/>
    <w:rsid w:val="00CF44FC"/>
    <w:rsid w:val="00CF4508"/>
    <w:rsid w:val="00CF4557"/>
    <w:rsid w:val="00CF45A9"/>
    <w:rsid w:val="00CF4603"/>
    <w:rsid w:val="00CF4659"/>
    <w:rsid w:val="00CF466E"/>
    <w:rsid w:val="00CF46D7"/>
    <w:rsid w:val="00CF46F3"/>
    <w:rsid w:val="00CF4710"/>
    <w:rsid w:val="00CF4787"/>
    <w:rsid w:val="00CF47E1"/>
    <w:rsid w:val="00CF4823"/>
    <w:rsid w:val="00CF4826"/>
    <w:rsid w:val="00CF486E"/>
    <w:rsid w:val="00CF487C"/>
    <w:rsid w:val="00CF48A0"/>
    <w:rsid w:val="00CF493E"/>
    <w:rsid w:val="00CF4A1B"/>
    <w:rsid w:val="00CF4B35"/>
    <w:rsid w:val="00CF4BB4"/>
    <w:rsid w:val="00CF4CB2"/>
    <w:rsid w:val="00CF4CFF"/>
    <w:rsid w:val="00CF4E12"/>
    <w:rsid w:val="00CF4F52"/>
    <w:rsid w:val="00CF4FC0"/>
    <w:rsid w:val="00CF4FFE"/>
    <w:rsid w:val="00CF51A4"/>
    <w:rsid w:val="00CF5243"/>
    <w:rsid w:val="00CF5398"/>
    <w:rsid w:val="00CF53B8"/>
    <w:rsid w:val="00CF5529"/>
    <w:rsid w:val="00CF5577"/>
    <w:rsid w:val="00CF55C1"/>
    <w:rsid w:val="00CF55C6"/>
    <w:rsid w:val="00CF5666"/>
    <w:rsid w:val="00CF56C7"/>
    <w:rsid w:val="00CF573F"/>
    <w:rsid w:val="00CF57E7"/>
    <w:rsid w:val="00CF586C"/>
    <w:rsid w:val="00CF5881"/>
    <w:rsid w:val="00CF5931"/>
    <w:rsid w:val="00CF593C"/>
    <w:rsid w:val="00CF5945"/>
    <w:rsid w:val="00CF5953"/>
    <w:rsid w:val="00CF5993"/>
    <w:rsid w:val="00CF5AAA"/>
    <w:rsid w:val="00CF5B24"/>
    <w:rsid w:val="00CF5CD5"/>
    <w:rsid w:val="00CF5DE2"/>
    <w:rsid w:val="00CF5E31"/>
    <w:rsid w:val="00CF5E6D"/>
    <w:rsid w:val="00CF5ED2"/>
    <w:rsid w:val="00CF5EEC"/>
    <w:rsid w:val="00CF5F39"/>
    <w:rsid w:val="00CF5FA3"/>
    <w:rsid w:val="00CF6009"/>
    <w:rsid w:val="00CF6136"/>
    <w:rsid w:val="00CF6200"/>
    <w:rsid w:val="00CF62B8"/>
    <w:rsid w:val="00CF6307"/>
    <w:rsid w:val="00CF6569"/>
    <w:rsid w:val="00CF6590"/>
    <w:rsid w:val="00CF66C0"/>
    <w:rsid w:val="00CF675B"/>
    <w:rsid w:val="00CF6777"/>
    <w:rsid w:val="00CF67C4"/>
    <w:rsid w:val="00CF67F9"/>
    <w:rsid w:val="00CF693C"/>
    <w:rsid w:val="00CF693E"/>
    <w:rsid w:val="00CF6995"/>
    <w:rsid w:val="00CF699F"/>
    <w:rsid w:val="00CF69E2"/>
    <w:rsid w:val="00CF6A03"/>
    <w:rsid w:val="00CF6A8D"/>
    <w:rsid w:val="00CF6B5D"/>
    <w:rsid w:val="00CF6BBE"/>
    <w:rsid w:val="00CF6C7B"/>
    <w:rsid w:val="00CF6D17"/>
    <w:rsid w:val="00CF6D54"/>
    <w:rsid w:val="00CF6D88"/>
    <w:rsid w:val="00CF6E21"/>
    <w:rsid w:val="00CF6E69"/>
    <w:rsid w:val="00CF6E8A"/>
    <w:rsid w:val="00CF71F5"/>
    <w:rsid w:val="00CF7261"/>
    <w:rsid w:val="00CF733A"/>
    <w:rsid w:val="00CF75DF"/>
    <w:rsid w:val="00CF75F9"/>
    <w:rsid w:val="00CF7727"/>
    <w:rsid w:val="00CF77C6"/>
    <w:rsid w:val="00CF77E0"/>
    <w:rsid w:val="00CF780A"/>
    <w:rsid w:val="00CF7828"/>
    <w:rsid w:val="00CF785A"/>
    <w:rsid w:val="00CF78C3"/>
    <w:rsid w:val="00CF78D0"/>
    <w:rsid w:val="00CF7966"/>
    <w:rsid w:val="00CF7B1B"/>
    <w:rsid w:val="00CF7B4F"/>
    <w:rsid w:val="00CF7CF0"/>
    <w:rsid w:val="00CF7D76"/>
    <w:rsid w:val="00CF7E14"/>
    <w:rsid w:val="00CF7F17"/>
    <w:rsid w:val="00CF7F54"/>
    <w:rsid w:val="00CF7F9A"/>
    <w:rsid w:val="00D0005B"/>
    <w:rsid w:val="00D0005F"/>
    <w:rsid w:val="00D000B5"/>
    <w:rsid w:val="00D000E1"/>
    <w:rsid w:val="00D000EA"/>
    <w:rsid w:val="00D001A9"/>
    <w:rsid w:val="00D0024B"/>
    <w:rsid w:val="00D002ED"/>
    <w:rsid w:val="00D002FB"/>
    <w:rsid w:val="00D00313"/>
    <w:rsid w:val="00D0035D"/>
    <w:rsid w:val="00D004FE"/>
    <w:rsid w:val="00D00561"/>
    <w:rsid w:val="00D00590"/>
    <w:rsid w:val="00D00655"/>
    <w:rsid w:val="00D006B5"/>
    <w:rsid w:val="00D00832"/>
    <w:rsid w:val="00D00875"/>
    <w:rsid w:val="00D00994"/>
    <w:rsid w:val="00D00AD2"/>
    <w:rsid w:val="00D00B0E"/>
    <w:rsid w:val="00D00B9B"/>
    <w:rsid w:val="00D00BAC"/>
    <w:rsid w:val="00D00BC5"/>
    <w:rsid w:val="00D00D1E"/>
    <w:rsid w:val="00D00D39"/>
    <w:rsid w:val="00D00D68"/>
    <w:rsid w:val="00D00DD3"/>
    <w:rsid w:val="00D00E29"/>
    <w:rsid w:val="00D00E6C"/>
    <w:rsid w:val="00D00E80"/>
    <w:rsid w:val="00D00F05"/>
    <w:rsid w:val="00D00F96"/>
    <w:rsid w:val="00D0108A"/>
    <w:rsid w:val="00D010D8"/>
    <w:rsid w:val="00D01174"/>
    <w:rsid w:val="00D01194"/>
    <w:rsid w:val="00D011A4"/>
    <w:rsid w:val="00D01238"/>
    <w:rsid w:val="00D0128E"/>
    <w:rsid w:val="00D01329"/>
    <w:rsid w:val="00D01473"/>
    <w:rsid w:val="00D014DD"/>
    <w:rsid w:val="00D014E8"/>
    <w:rsid w:val="00D01517"/>
    <w:rsid w:val="00D0152F"/>
    <w:rsid w:val="00D01623"/>
    <w:rsid w:val="00D01684"/>
    <w:rsid w:val="00D01695"/>
    <w:rsid w:val="00D01862"/>
    <w:rsid w:val="00D01912"/>
    <w:rsid w:val="00D01AFB"/>
    <w:rsid w:val="00D01B42"/>
    <w:rsid w:val="00D01C1F"/>
    <w:rsid w:val="00D01CBD"/>
    <w:rsid w:val="00D01CE1"/>
    <w:rsid w:val="00D01CF7"/>
    <w:rsid w:val="00D01DA5"/>
    <w:rsid w:val="00D01DB3"/>
    <w:rsid w:val="00D01DC0"/>
    <w:rsid w:val="00D01DFB"/>
    <w:rsid w:val="00D01E25"/>
    <w:rsid w:val="00D01ECA"/>
    <w:rsid w:val="00D01F22"/>
    <w:rsid w:val="00D01FB1"/>
    <w:rsid w:val="00D01FDD"/>
    <w:rsid w:val="00D0205E"/>
    <w:rsid w:val="00D0215E"/>
    <w:rsid w:val="00D02333"/>
    <w:rsid w:val="00D024CF"/>
    <w:rsid w:val="00D0261C"/>
    <w:rsid w:val="00D0261D"/>
    <w:rsid w:val="00D02645"/>
    <w:rsid w:val="00D0272E"/>
    <w:rsid w:val="00D0289A"/>
    <w:rsid w:val="00D028BC"/>
    <w:rsid w:val="00D028F1"/>
    <w:rsid w:val="00D0290D"/>
    <w:rsid w:val="00D029BE"/>
    <w:rsid w:val="00D02A9F"/>
    <w:rsid w:val="00D02ACF"/>
    <w:rsid w:val="00D02B4B"/>
    <w:rsid w:val="00D02B7D"/>
    <w:rsid w:val="00D02B82"/>
    <w:rsid w:val="00D02C44"/>
    <w:rsid w:val="00D02C6F"/>
    <w:rsid w:val="00D02D72"/>
    <w:rsid w:val="00D02E65"/>
    <w:rsid w:val="00D02FA1"/>
    <w:rsid w:val="00D02FAC"/>
    <w:rsid w:val="00D02FE8"/>
    <w:rsid w:val="00D03011"/>
    <w:rsid w:val="00D03043"/>
    <w:rsid w:val="00D030F5"/>
    <w:rsid w:val="00D03114"/>
    <w:rsid w:val="00D0319F"/>
    <w:rsid w:val="00D03269"/>
    <w:rsid w:val="00D032B2"/>
    <w:rsid w:val="00D0331E"/>
    <w:rsid w:val="00D03328"/>
    <w:rsid w:val="00D03368"/>
    <w:rsid w:val="00D0357D"/>
    <w:rsid w:val="00D0358B"/>
    <w:rsid w:val="00D035B3"/>
    <w:rsid w:val="00D035F4"/>
    <w:rsid w:val="00D0362C"/>
    <w:rsid w:val="00D03631"/>
    <w:rsid w:val="00D03649"/>
    <w:rsid w:val="00D0365D"/>
    <w:rsid w:val="00D0367E"/>
    <w:rsid w:val="00D03694"/>
    <w:rsid w:val="00D036FF"/>
    <w:rsid w:val="00D03793"/>
    <w:rsid w:val="00D037B1"/>
    <w:rsid w:val="00D0387D"/>
    <w:rsid w:val="00D03A1C"/>
    <w:rsid w:val="00D03A58"/>
    <w:rsid w:val="00D03AE5"/>
    <w:rsid w:val="00D03B43"/>
    <w:rsid w:val="00D03BA9"/>
    <w:rsid w:val="00D03C52"/>
    <w:rsid w:val="00D03C66"/>
    <w:rsid w:val="00D03D08"/>
    <w:rsid w:val="00D03DDE"/>
    <w:rsid w:val="00D03E3A"/>
    <w:rsid w:val="00D03E6F"/>
    <w:rsid w:val="00D03F77"/>
    <w:rsid w:val="00D03F78"/>
    <w:rsid w:val="00D03FA8"/>
    <w:rsid w:val="00D03FAD"/>
    <w:rsid w:val="00D03FB3"/>
    <w:rsid w:val="00D041A9"/>
    <w:rsid w:val="00D041BB"/>
    <w:rsid w:val="00D041D0"/>
    <w:rsid w:val="00D04247"/>
    <w:rsid w:val="00D042F5"/>
    <w:rsid w:val="00D042FE"/>
    <w:rsid w:val="00D04305"/>
    <w:rsid w:val="00D04368"/>
    <w:rsid w:val="00D0438F"/>
    <w:rsid w:val="00D043A9"/>
    <w:rsid w:val="00D043BC"/>
    <w:rsid w:val="00D0445A"/>
    <w:rsid w:val="00D04487"/>
    <w:rsid w:val="00D044D1"/>
    <w:rsid w:val="00D044DF"/>
    <w:rsid w:val="00D044E5"/>
    <w:rsid w:val="00D0450F"/>
    <w:rsid w:val="00D04524"/>
    <w:rsid w:val="00D0459A"/>
    <w:rsid w:val="00D045B7"/>
    <w:rsid w:val="00D04698"/>
    <w:rsid w:val="00D04727"/>
    <w:rsid w:val="00D04754"/>
    <w:rsid w:val="00D04792"/>
    <w:rsid w:val="00D04808"/>
    <w:rsid w:val="00D04824"/>
    <w:rsid w:val="00D04842"/>
    <w:rsid w:val="00D048FB"/>
    <w:rsid w:val="00D04A09"/>
    <w:rsid w:val="00D04A84"/>
    <w:rsid w:val="00D04AAC"/>
    <w:rsid w:val="00D04AC4"/>
    <w:rsid w:val="00D04BDB"/>
    <w:rsid w:val="00D04C03"/>
    <w:rsid w:val="00D04C14"/>
    <w:rsid w:val="00D04C22"/>
    <w:rsid w:val="00D04C95"/>
    <w:rsid w:val="00D04D2A"/>
    <w:rsid w:val="00D04D38"/>
    <w:rsid w:val="00D04E7B"/>
    <w:rsid w:val="00D04EAC"/>
    <w:rsid w:val="00D04F48"/>
    <w:rsid w:val="00D04FE5"/>
    <w:rsid w:val="00D05027"/>
    <w:rsid w:val="00D05070"/>
    <w:rsid w:val="00D05071"/>
    <w:rsid w:val="00D050B3"/>
    <w:rsid w:val="00D0513C"/>
    <w:rsid w:val="00D051CA"/>
    <w:rsid w:val="00D051D8"/>
    <w:rsid w:val="00D051FD"/>
    <w:rsid w:val="00D05289"/>
    <w:rsid w:val="00D052AB"/>
    <w:rsid w:val="00D052B1"/>
    <w:rsid w:val="00D052EF"/>
    <w:rsid w:val="00D05334"/>
    <w:rsid w:val="00D05395"/>
    <w:rsid w:val="00D05427"/>
    <w:rsid w:val="00D0542C"/>
    <w:rsid w:val="00D056DB"/>
    <w:rsid w:val="00D056EA"/>
    <w:rsid w:val="00D05762"/>
    <w:rsid w:val="00D057AD"/>
    <w:rsid w:val="00D057BF"/>
    <w:rsid w:val="00D057EB"/>
    <w:rsid w:val="00D05832"/>
    <w:rsid w:val="00D0583C"/>
    <w:rsid w:val="00D05894"/>
    <w:rsid w:val="00D058F5"/>
    <w:rsid w:val="00D05932"/>
    <w:rsid w:val="00D05940"/>
    <w:rsid w:val="00D05953"/>
    <w:rsid w:val="00D05A24"/>
    <w:rsid w:val="00D05AC6"/>
    <w:rsid w:val="00D05B83"/>
    <w:rsid w:val="00D05E1C"/>
    <w:rsid w:val="00D05ED9"/>
    <w:rsid w:val="00D05EEF"/>
    <w:rsid w:val="00D05F3C"/>
    <w:rsid w:val="00D05FAB"/>
    <w:rsid w:val="00D05FDB"/>
    <w:rsid w:val="00D05FE4"/>
    <w:rsid w:val="00D0600A"/>
    <w:rsid w:val="00D06045"/>
    <w:rsid w:val="00D0606B"/>
    <w:rsid w:val="00D06083"/>
    <w:rsid w:val="00D061B7"/>
    <w:rsid w:val="00D06217"/>
    <w:rsid w:val="00D06221"/>
    <w:rsid w:val="00D0626C"/>
    <w:rsid w:val="00D062F7"/>
    <w:rsid w:val="00D06328"/>
    <w:rsid w:val="00D06449"/>
    <w:rsid w:val="00D0645D"/>
    <w:rsid w:val="00D06472"/>
    <w:rsid w:val="00D065A9"/>
    <w:rsid w:val="00D06600"/>
    <w:rsid w:val="00D06692"/>
    <w:rsid w:val="00D06715"/>
    <w:rsid w:val="00D0672E"/>
    <w:rsid w:val="00D06759"/>
    <w:rsid w:val="00D0678D"/>
    <w:rsid w:val="00D067AA"/>
    <w:rsid w:val="00D06865"/>
    <w:rsid w:val="00D068F8"/>
    <w:rsid w:val="00D06963"/>
    <w:rsid w:val="00D069E8"/>
    <w:rsid w:val="00D06A08"/>
    <w:rsid w:val="00D06A8D"/>
    <w:rsid w:val="00D06A90"/>
    <w:rsid w:val="00D06B4A"/>
    <w:rsid w:val="00D06BE6"/>
    <w:rsid w:val="00D06C01"/>
    <w:rsid w:val="00D06C71"/>
    <w:rsid w:val="00D06CED"/>
    <w:rsid w:val="00D06D3D"/>
    <w:rsid w:val="00D06D42"/>
    <w:rsid w:val="00D07139"/>
    <w:rsid w:val="00D07161"/>
    <w:rsid w:val="00D07177"/>
    <w:rsid w:val="00D0719A"/>
    <w:rsid w:val="00D0727A"/>
    <w:rsid w:val="00D072F2"/>
    <w:rsid w:val="00D07301"/>
    <w:rsid w:val="00D07396"/>
    <w:rsid w:val="00D073BB"/>
    <w:rsid w:val="00D07418"/>
    <w:rsid w:val="00D0751D"/>
    <w:rsid w:val="00D075D2"/>
    <w:rsid w:val="00D0760A"/>
    <w:rsid w:val="00D0760C"/>
    <w:rsid w:val="00D077A6"/>
    <w:rsid w:val="00D07890"/>
    <w:rsid w:val="00D078EF"/>
    <w:rsid w:val="00D07915"/>
    <w:rsid w:val="00D0796C"/>
    <w:rsid w:val="00D07AE0"/>
    <w:rsid w:val="00D07B05"/>
    <w:rsid w:val="00D07B57"/>
    <w:rsid w:val="00D07C4A"/>
    <w:rsid w:val="00D07D2F"/>
    <w:rsid w:val="00D07D75"/>
    <w:rsid w:val="00D07D9E"/>
    <w:rsid w:val="00D07DCA"/>
    <w:rsid w:val="00D07DF4"/>
    <w:rsid w:val="00D07E31"/>
    <w:rsid w:val="00D07ECC"/>
    <w:rsid w:val="00D07F9C"/>
    <w:rsid w:val="00D07FE3"/>
    <w:rsid w:val="00D1012D"/>
    <w:rsid w:val="00D10164"/>
    <w:rsid w:val="00D101E2"/>
    <w:rsid w:val="00D10274"/>
    <w:rsid w:val="00D1029A"/>
    <w:rsid w:val="00D102B6"/>
    <w:rsid w:val="00D10338"/>
    <w:rsid w:val="00D1033D"/>
    <w:rsid w:val="00D10379"/>
    <w:rsid w:val="00D10534"/>
    <w:rsid w:val="00D10541"/>
    <w:rsid w:val="00D105C1"/>
    <w:rsid w:val="00D105F6"/>
    <w:rsid w:val="00D10679"/>
    <w:rsid w:val="00D1084E"/>
    <w:rsid w:val="00D10883"/>
    <w:rsid w:val="00D108A8"/>
    <w:rsid w:val="00D109A4"/>
    <w:rsid w:val="00D109D3"/>
    <w:rsid w:val="00D10A0C"/>
    <w:rsid w:val="00D10A62"/>
    <w:rsid w:val="00D10A88"/>
    <w:rsid w:val="00D10AD1"/>
    <w:rsid w:val="00D10CC1"/>
    <w:rsid w:val="00D10ECF"/>
    <w:rsid w:val="00D10EF5"/>
    <w:rsid w:val="00D10F4C"/>
    <w:rsid w:val="00D10F67"/>
    <w:rsid w:val="00D10F8E"/>
    <w:rsid w:val="00D10FAF"/>
    <w:rsid w:val="00D10FD0"/>
    <w:rsid w:val="00D112A1"/>
    <w:rsid w:val="00D112E8"/>
    <w:rsid w:val="00D11436"/>
    <w:rsid w:val="00D11483"/>
    <w:rsid w:val="00D114D0"/>
    <w:rsid w:val="00D114FB"/>
    <w:rsid w:val="00D11539"/>
    <w:rsid w:val="00D11544"/>
    <w:rsid w:val="00D115D0"/>
    <w:rsid w:val="00D11761"/>
    <w:rsid w:val="00D117FF"/>
    <w:rsid w:val="00D11848"/>
    <w:rsid w:val="00D1189D"/>
    <w:rsid w:val="00D118F7"/>
    <w:rsid w:val="00D11903"/>
    <w:rsid w:val="00D119B0"/>
    <w:rsid w:val="00D11A06"/>
    <w:rsid w:val="00D11A72"/>
    <w:rsid w:val="00D11AA2"/>
    <w:rsid w:val="00D11AF3"/>
    <w:rsid w:val="00D11B0C"/>
    <w:rsid w:val="00D11B58"/>
    <w:rsid w:val="00D11C33"/>
    <w:rsid w:val="00D11D0B"/>
    <w:rsid w:val="00D11D40"/>
    <w:rsid w:val="00D11E44"/>
    <w:rsid w:val="00D11E56"/>
    <w:rsid w:val="00D11EAA"/>
    <w:rsid w:val="00D11EE1"/>
    <w:rsid w:val="00D11F6C"/>
    <w:rsid w:val="00D11FAD"/>
    <w:rsid w:val="00D1209B"/>
    <w:rsid w:val="00D120B9"/>
    <w:rsid w:val="00D1212B"/>
    <w:rsid w:val="00D1227A"/>
    <w:rsid w:val="00D1227E"/>
    <w:rsid w:val="00D122AD"/>
    <w:rsid w:val="00D122BB"/>
    <w:rsid w:val="00D122CE"/>
    <w:rsid w:val="00D12311"/>
    <w:rsid w:val="00D123A3"/>
    <w:rsid w:val="00D123B3"/>
    <w:rsid w:val="00D123C5"/>
    <w:rsid w:val="00D1244C"/>
    <w:rsid w:val="00D12451"/>
    <w:rsid w:val="00D12454"/>
    <w:rsid w:val="00D124DA"/>
    <w:rsid w:val="00D12540"/>
    <w:rsid w:val="00D126DF"/>
    <w:rsid w:val="00D127CD"/>
    <w:rsid w:val="00D12813"/>
    <w:rsid w:val="00D1286B"/>
    <w:rsid w:val="00D128D1"/>
    <w:rsid w:val="00D128D6"/>
    <w:rsid w:val="00D12939"/>
    <w:rsid w:val="00D12946"/>
    <w:rsid w:val="00D12971"/>
    <w:rsid w:val="00D129FB"/>
    <w:rsid w:val="00D12AD8"/>
    <w:rsid w:val="00D12B39"/>
    <w:rsid w:val="00D12B64"/>
    <w:rsid w:val="00D12BA1"/>
    <w:rsid w:val="00D12C9E"/>
    <w:rsid w:val="00D12CD0"/>
    <w:rsid w:val="00D12CF3"/>
    <w:rsid w:val="00D12D7F"/>
    <w:rsid w:val="00D12DF1"/>
    <w:rsid w:val="00D12E19"/>
    <w:rsid w:val="00D12EA9"/>
    <w:rsid w:val="00D12ED3"/>
    <w:rsid w:val="00D12EF1"/>
    <w:rsid w:val="00D130D4"/>
    <w:rsid w:val="00D1310B"/>
    <w:rsid w:val="00D13161"/>
    <w:rsid w:val="00D13190"/>
    <w:rsid w:val="00D131E3"/>
    <w:rsid w:val="00D13284"/>
    <w:rsid w:val="00D1333D"/>
    <w:rsid w:val="00D1336C"/>
    <w:rsid w:val="00D133F8"/>
    <w:rsid w:val="00D13427"/>
    <w:rsid w:val="00D13531"/>
    <w:rsid w:val="00D13553"/>
    <w:rsid w:val="00D1377B"/>
    <w:rsid w:val="00D13923"/>
    <w:rsid w:val="00D1392F"/>
    <w:rsid w:val="00D1393B"/>
    <w:rsid w:val="00D139E4"/>
    <w:rsid w:val="00D13A57"/>
    <w:rsid w:val="00D13A65"/>
    <w:rsid w:val="00D13A8C"/>
    <w:rsid w:val="00D13AF2"/>
    <w:rsid w:val="00D13BCC"/>
    <w:rsid w:val="00D13CA0"/>
    <w:rsid w:val="00D13CA9"/>
    <w:rsid w:val="00D13CAA"/>
    <w:rsid w:val="00D13D44"/>
    <w:rsid w:val="00D13DFD"/>
    <w:rsid w:val="00D13E85"/>
    <w:rsid w:val="00D13EA4"/>
    <w:rsid w:val="00D13EC5"/>
    <w:rsid w:val="00D13EE3"/>
    <w:rsid w:val="00D13F7F"/>
    <w:rsid w:val="00D13FEB"/>
    <w:rsid w:val="00D1402A"/>
    <w:rsid w:val="00D14164"/>
    <w:rsid w:val="00D141A8"/>
    <w:rsid w:val="00D14218"/>
    <w:rsid w:val="00D142C8"/>
    <w:rsid w:val="00D142EC"/>
    <w:rsid w:val="00D1445F"/>
    <w:rsid w:val="00D144B3"/>
    <w:rsid w:val="00D144ED"/>
    <w:rsid w:val="00D1463A"/>
    <w:rsid w:val="00D14646"/>
    <w:rsid w:val="00D14676"/>
    <w:rsid w:val="00D1467B"/>
    <w:rsid w:val="00D14703"/>
    <w:rsid w:val="00D14727"/>
    <w:rsid w:val="00D14733"/>
    <w:rsid w:val="00D14750"/>
    <w:rsid w:val="00D14755"/>
    <w:rsid w:val="00D14863"/>
    <w:rsid w:val="00D1497F"/>
    <w:rsid w:val="00D14995"/>
    <w:rsid w:val="00D149A5"/>
    <w:rsid w:val="00D149C3"/>
    <w:rsid w:val="00D149E6"/>
    <w:rsid w:val="00D14BB8"/>
    <w:rsid w:val="00D14BDA"/>
    <w:rsid w:val="00D14BFE"/>
    <w:rsid w:val="00D14D75"/>
    <w:rsid w:val="00D14FFB"/>
    <w:rsid w:val="00D1505C"/>
    <w:rsid w:val="00D150CE"/>
    <w:rsid w:val="00D150FF"/>
    <w:rsid w:val="00D15153"/>
    <w:rsid w:val="00D151A5"/>
    <w:rsid w:val="00D1520D"/>
    <w:rsid w:val="00D1537D"/>
    <w:rsid w:val="00D1537F"/>
    <w:rsid w:val="00D1552E"/>
    <w:rsid w:val="00D15596"/>
    <w:rsid w:val="00D15629"/>
    <w:rsid w:val="00D1572F"/>
    <w:rsid w:val="00D157FC"/>
    <w:rsid w:val="00D1586F"/>
    <w:rsid w:val="00D15883"/>
    <w:rsid w:val="00D15891"/>
    <w:rsid w:val="00D159A1"/>
    <w:rsid w:val="00D159D5"/>
    <w:rsid w:val="00D15A2A"/>
    <w:rsid w:val="00D15A67"/>
    <w:rsid w:val="00D15A94"/>
    <w:rsid w:val="00D15AB0"/>
    <w:rsid w:val="00D15BBE"/>
    <w:rsid w:val="00D15BDB"/>
    <w:rsid w:val="00D15BFF"/>
    <w:rsid w:val="00D15C9F"/>
    <w:rsid w:val="00D15D73"/>
    <w:rsid w:val="00D15DBF"/>
    <w:rsid w:val="00D15F04"/>
    <w:rsid w:val="00D15F65"/>
    <w:rsid w:val="00D16047"/>
    <w:rsid w:val="00D16150"/>
    <w:rsid w:val="00D162A4"/>
    <w:rsid w:val="00D162B2"/>
    <w:rsid w:val="00D162C5"/>
    <w:rsid w:val="00D162E0"/>
    <w:rsid w:val="00D16325"/>
    <w:rsid w:val="00D163D7"/>
    <w:rsid w:val="00D163FD"/>
    <w:rsid w:val="00D16439"/>
    <w:rsid w:val="00D16448"/>
    <w:rsid w:val="00D16466"/>
    <w:rsid w:val="00D16488"/>
    <w:rsid w:val="00D164A7"/>
    <w:rsid w:val="00D165DC"/>
    <w:rsid w:val="00D1667B"/>
    <w:rsid w:val="00D1668B"/>
    <w:rsid w:val="00D1672C"/>
    <w:rsid w:val="00D1678C"/>
    <w:rsid w:val="00D1685F"/>
    <w:rsid w:val="00D16873"/>
    <w:rsid w:val="00D168A9"/>
    <w:rsid w:val="00D16930"/>
    <w:rsid w:val="00D1696B"/>
    <w:rsid w:val="00D16977"/>
    <w:rsid w:val="00D16987"/>
    <w:rsid w:val="00D169A2"/>
    <w:rsid w:val="00D16A6E"/>
    <w:rsid w:val="00D16A9A"/>
    <w:rsid w:val="00D16B10"/>
    <w:rsid w:val="00D16B3A"/>
    <w:rsid w:val="00D16BD4"/>
    <w:rsid w:val="00D16BED"/>
    <w:rsid w:val="00D16C1E"/>
    <w:rsid w:val="00D16D9C"/>
    <w:rsid w:val="00D16F31"/>
    <w:rsid w:val="00D16F6B"/>
    <w:rsid w:val="00D17001"/>
    <w:rsid w:val="00D1700D"/>
    <w:rsid w:val="00D1702C"/>
    <w:rsid w:val="00D17040"/>
    <w:rsid w:val="00D170AB"/>
    <w:rsid w:val="00D170AD"/>
    <w:rsid w:val="00D170B6"/>
    <w:rsid w:val="00D170C1"/>
    <w:rsid w:val="00D1717E"/>
    <w:rsid w:val="00D171E7"/>
    <w:rsid w:val="00D17219"/>
    <w:rsid w:val="00D17301"/>
    <w:rsid w:val="00D17312"/>
    <w:rsid w:val="00D1732E"/>
    <w:rsid w:val="00D173DB"/>
    <w:rsid w:val="00D17510"/>
    <w:rsid w:val="00D17551"/>
    <w:rsid w:val="00D17649"/>
    <w:rsid w:val="00D17677"/>
    <w:rsid w:val="00D176BD"/>
    <w:rsid w:val="00D176DB"/>
    <w:rsid w:val="00D17750"/>
    <w:rsid w:val="00D17754"/>
    <w:rsid w:val="00D1777F"/>
    <w:rsid w:val="00D17805"/>
    <w:rsid w:val="00D179FA"/>
    <w:rsid w:val="00D17A5E"/>
    <w:rsid w:val="00D17A8E"/>
    <w:rsid w:val="00D17B33"/>
    <w:rsid w:val="00D17B5D"/>
    <w:rsid w:val="00D17B97"/>
    <w:rsid w:val="00D17C62"/>
    <w:rsid w:val="00D17C67"/>
    <w:rsid w:val="00D17D05"/>
    <w:rsid w:val="00D17D65"/>
    <w:rsid w:val="00D17D72"/>
    <w:rsid w:val="00D17DC9"/>
    <w:rsid w:val="00D17E4D"/>
    <w:rsid w:val="00D17EEC"/>
    <w:rsid w:val="00D17F28"/>
    <w:rsid w:val="00D17F3B"/>
    <w:rsid w:val="00D17F5F"/>
    <w:rsid w:val="00D17F81"/>
    <w:rsid w:val="00D20095"/>
    <w:rsid w:val="00D200DD"/>
    <w:rsid w:val="00D2010D"/>
    <w:rsid w:val="00D20173"/>
    <w:rsid w:val="00D20192"/>
    <w:rsid w:val="00D202C0"/>
    <w:rsid w:val="00D202DE"/>
    <w:rsid w:val="00D20313"/>
    <w:rsid w:val="00D2031D"/>
    <w:rsid w:val="00D203CF"/>
    <w:rsid w:val="00D204F4"/>
    <w:rsid w:val="00D204F5"/>
    <w:rsid w:val="00D20568"/>
    <w:rsid w:val="00D20638"/>
    <w:rsid w:val="00D20667"/>
    <w:rsid w:val="00D206BD"/>
    <w:rsid w:val="00D2075A"/>
    <w:rsid w:val="00D207B0"/>
    <w:rsid w:val="00D20844"/>
    <w:rsid w:val="00D2090C"/>
    <w:rsid w:val="00D2095C"/>
    <w:rsid w:val="00D20A50"/>
    <w:rsid w:val="00D20B28"/>
    <w:rsid w:val="00D20B92"/>
    <w:rsid w:val="00D20C89"/>
    <w:rsid w:val="00D20CCA"/>
    <w:rsid w:val="00D20D0E"/>
    <w:rsid w:val="00D20D8E"/>
    <w:rsid w:val="00D20D94"/>
    <w:rsid w:val="00D20DA8"/>
    <w:rsid w:val="00D20E40"/>
    <w:rsid w:val="00D2108B"/>
    <w:rsid w:val="00D21095"/>
    <w:rsid w:val="00D210DB"/>
    <w:rsid w:val="00D2113C"/>
    <w:rsid w:val="00D21153"/>
    <w:rsid w:val="00D21188"/>
    <w:rsid w:val="00D211C0"/>
    <w:rsid w:val="00D21222"/>
    <w:rsid w:val="00D21224"/>
    <w:rsid w:val="00D212C1"/>
    <w:rsid w:val="00D2131F"/>
    <w:rsid w:val="00D2140F"/>
    <w:rsid w:val="00D2143A"/>
    <w:rsid w:val="00D214D1"/>
    <w:rsid w:val="00D214EE"/>
    <w:rsid w:val="00D21516"/>
    <w:rsid w:val="00D2157E"/>
    <w:rsid w:val="00D215C0"/>
    <w:rsid w:val="00D21678"/>
    <w:rsid w:val="00D2168D"/>
    <w:rsid w:val="00D21773"/>
    <w:rsid w:val="00D218AE"/>
    <w:rsid w:val="00D2197F"/>
    <w:rsid w:val="00D21982"/>
    <w:rsid w:val="00D219B0"/>
    <w:rsid w:val="00D21B81"/>
    <w:rsid w:val="00D21C0B"/>
    <w:rsid w:val="00D21C24"/>
    <w:rsid w:val="00D21D60"/>
    <w:rsid w:val="00D21E6C"/>
    <w:rsid w:val="00D21E7F"/>
    <w:rsid w:val="00D21EDB"/>
    <w:rsid w:val="00D21EEA"/>
    <w:rsid w:val="00D21F45"/>
    <w:rsid w:val="00D21FD6"/>
    <w:rsid w:val="00D220DE"/>
    <w:rsid w:val="00D22107"/>
    <w:rsid w:val="00D221A5"/>
    <w:rsid w:val="00D22264"/>
    <w:rsid w:val="00D22342"/>
    <w:rsid w:val="00D22382"/>
    <w:rsid w:val="00D22412"/>
    <w:rsid w:val="00D224E7"/>
    <w:rsid w:val="00D2253C"/>
    <w:rsid w:val="00D22545"/>
    <w:rsid w:val="00D2257B"/>
    <w:rsid w:val="00D225AC"/>
    <w:rsid w:val="00D225F6"/>
    <w:rsid w:val="00D22606"/>
    <w:rsid w:val="00D2266C"/>
    <w:rsid w:val="00D22673"/>
    <w:rsid w:val="00D22685"/>
    <w:rsid w:val="00D226F7"/>
    <w:rsid w:val="00D22712"/>
    <w:rsid w:val="00D22865"/>
    <w:rsid w:val="00D228AD"/>
    <w:rsid w:val="00D22912"/>
    <w:rsid w:val="00D22913"/>
    <w:rsid w:val="00D22996"/>
    <w:rsid w:val="00D229FF"/>
    <w:rsid w:val="00D22A00"/>
    <w:rsid w:val="00D22A05"/>
    <w:rsid w:val="00D22A26"/>
    <w:rsid w:val="00D22AB4"/>
    <w:rsid w:val="00D22AB9"/>
    <w:rsid w:val="00D22AD2"/>
    <w:rsid w:val="00D22AFB"/>
    <w:rsid w:val="00D22BA3"/>
    <w:rsid w:val="00D22BAD"/>
    <w:rsid w:val="00D22C18"/>
    <w:rsid w:val="00D22C51"/>
    <w:rsid w:val="00D22CA3"/>
    <w:rsid w:val="00D22CBF"/>
    <w:rsid w:val="00D22CD8"/>
    <w:rsid w:val="00D22D22"/>
    <w:rsid w:val="00D22D28"/>
    <w:rsid w:val="00D22E10"/>
    <w:rsid w:val="00D22E29"/>
    <w:rsid w:val="00D22EED"/>
    <w:rsid w:val="00D23094"/>
    <w:rsid w:val="00D23193"/>
    <w:rsid w:val="00D2319A"/>
    <w:rsid w:val="00D23220"/>
    <w:rsid w:val="00D232BA"/>
    <w:rsid w:val="00D2331D"/>
    <w:rsid w:val="00D233F5"/>
    <w:rsid w:val="00D23406"/>
    <w:rsid w:val="00D23482"/>
    <w:rsid w:val="00D23507"/>
    <w:rsid w:val="00D235AF"/>
    <w:rsid w:val="00D235BB"/>
    <w:rsid w:val="00D23621"/>
    <w:rsid w:val="00D23622"/>
    <w:rsid w:val="00D236BD"/>
    <w:rsid w:val="00D236C8"/>
    <w:rsid w:val="00D2370C"/>
    <w:rsid w:val="00D23747"/>
    <w:rsid w:val="00D2374E"/>
    <w:rsid w:val="00D237DE"/>
    <w:rsid w:val="00D237F4"/>
    <w:rsid w:val="00D23825"/>
    <w:rsid w:val="00D2389B"/>
    <w:rsid w:val="00D238C5"/>
    <w:rsid w:val="00D23929"/>
    <w:rsid w:val="00D23954"/>
    <w:rsid w:val="00D2396D"/>
    <w:rsid w:val="00D239A1"/>
    <w:rsid w:val="00D239A8"/>
    <w:rsid w:val="00D239BC"/>
    <w:rsid w:val="00D23A06"/>
    <w:rsid w:val="00D23A0D"/>
    <w:rsid w:val="00D23ACE"/>
    <w:rsid w:val="00D23AD2"/>
    <w:rsid w:val="00D23CB3"/>
    <w:rsid w:val="00D23CE3"/>
    <w:rsid w:val="00D23D62"/>
    <w:rsid w:val="00D23DDD"/>
    <w:rsid w:val="00D23DE3"/>
    <w:rsid w:val="00D23DF2"/>
    <w:rsid w:val="00D23E2F"/>
    <w:rsid w:val="00D23E97"/>
    <w:rsid w:val="00D23EDB"/>
    <w:rsid w:val="00D23F0E"/>
    <w:rsid w:val="00D23F54"/>
    <w:rsid w:val="00D23F78"/>
    <w:rsid w:val="00D23FC1"/>
    <w:rsid w:val="00D241D0"/>
    <w:rsid w:val="00D24211"/>
    <w:rsid w:val="00D2426B"/>
    <w:rsid w:val="00D242F8"/>
    <w:rsid w:val="00D2431F"/>
    <w:rsid w:val="00D2433A"/>
    <w:rsid w:val="00D243A9"/>
    <w:rsid w:val="00D243FA"/>
    <w:rsid w:val="00D24415"/>
    <w:rsid w:val="00D24427"/>
    <w:rsid w:val="00D244C8"/>
    <w:rsid w:val="00D244D3"/>
    <w:rsid w:val="00D2463A"/>
    <w:rsid w:val="00D24746"/>
    <w:rsid w:val="00D2478C"/>
    <w:rsid w:val="00D248A5"/>
    <w:rsid w:val="00D24900"/>
    <w:rsid w:val="00D2498B"/>
    <w:rsid w:val="00D24A72"/>
    <w:rsid w:val="00D24B1E"/>
    <w:rsid w:val="00D24B28"/>
    <w:rsid w:val="00D24BF6"/>
    <w:rsid w:val="00D24C34"/>
    <w:rsid w:val="00D24C7C"/>
    <w:rsid w:val="00D24D2D"/>
    <w:rsid w:val="00D24DA7"/>
    <w:rsid w:val="00D24F0A"/>
    <w:rsid w:val="00D24F38"/>
    <w:rsid w:val="00D24FC2"/>
    <w:rsid w:val="00D25021"/>
    <w:rsid w:val="00D2509F"/>
    <w:rsid w:val="00D250CA"/>
    <w:rsid w:val="00D25172"/>
    <w:rsid w:val="00D25239"/>
    <w:rsid w:val="00D2523A"/>
    <w:rsid w:val="00D252B0"/>
    <w:rsid w:val="00D253B3"/>
    <w:rsid w:val="00D25409"/>
    <w:rsid w:val="00D254AD"/>
    <w:rsid w:val="00D25600"/>
    <w:rsid w:val="00D25603"/>
    <w:rsid w:val="00D256A0"/>
    <w:rsid w:val="00D258B7"/>
    <w:rsid w:val="00D2592B"/>
    <w:rsid w:val="00D25A55"/>
    <w:rsid w:val="00D25A7B"/>
    <w:rsid w:val="00D25A98"/>
    <w:rsid w:val="00D25AEE"/>
    <w:rsid w:val="00D25B12"/>
    <w:rsid w:val="00D25BE2"/>
    <w:rsid w:val="00D25C28"/>
    <w:rsid w:val="00D25C68"/>
    <w:rsid w:val="00D25D3E"/>
    <w:rsid w:val="00D25D58"/>
    <w:rsid w:val="00D25E00"/>
    <w:rsid w:val="00D25E29"/>
    <w:rsid w:val="00D25E6A"/>
    <w:rsid w:val="00D25E98"/>
    <w:rsid w:val="00D25EDD"/>
    <w:rsid w:val="00D25F0E"/>
    <w:rsid w:val="00D25FDB"/>
    <w:rsid w:val="00D25FDD"/>
    <w:rsid w:val="00D260A1"/>
    <w:rsid w:val="00D260B1"/>
    <w:rsid w:val="00D260C7"/>
    <w:rsid w:val="00D26109"/>
    <w:rsid w:val="00D26124"/>
    <w:rsid w:val="00D261A9"/>
    <w:rsid w:val="00D261FF"/>
    <w:rsid w:val="00D26316"/>
    <w:rsid w:val="00D26333"/>
    <w:rsid w:val="00D2634F"/>
    <w:rsid w:val="00D26383"/>
    <w:rsid w:val="00D263B1"/>
    <w:rsid w:val="00D263FF"/>
    <w:rsid w:val="00D2641F"/>
    <w:rsid w:val="00D265C6"/>
    <w:rsid w:val="00D265D7"/>
    <w:rsid w:val="00D265F4"/>
    <w:rsid w:val="00D26699"/>
    <w:rsid w:val="00D2672B"/>
    <w:rsid w:val="00D26775"/>
    <w:rsid w:val="00D267C0"/>
    <w:rsid w:val="00D26825"/>
    <w:rsid w:val="00D268E5"/>
    <w:rsid w:val="00D26973"/>
    <w:rsid w:val="00D269AC"/>
    <w:rsid w:val="00D269E6"/>
    <w:rsid w:val="00D26A41"/>
    <w:rsid w:val="00D26ACC"/>
    <w:rsid w:val="00D26AEF"/>
    <w:rsid w:val="00D26BAE"/>
    <w:rsid w:val="00D26D26"/>
    <w:rsid w:val="00D26D45"/>
    <w:rsid w:val="00D26D8C"/>
    <w:rsid w:val="00D26D92"/>
    <w:rsid w:val="00D26DA6"/>
    <w:rsid w:val="00D26DE7"/>
    <w:rsid w:val="00D26E30"/>
    <w:rsid w:val="00D26F3F"/>
    <w:rsid w:val="00D27080"/>
    <w:rsid w:val="00D270A4"/>
    <w:rsid w:val="00D27228"/>
    <w:rsid w:val="00D272B2"/>
    <w:rsid w:val="00D27317"/>
    <w:rsid w:val="00D27484"/>
    <w:rsid w:val="00D274F1"/>
    <w:rsid w:val="00D27547"/>
    <w:rsid w:val="00D27570"/>
    <w:rsid w:val="00D275C4"/>
    <w:rsid w:val="00D275E1"/>
    <w:rsid w:val="00D2768B"/>
    <w:rsid w:val="00D2780B"/>
    <w:rsid w:val="00D27826"/>
    <w:rsid w:val="00D278B2"/>
    <w:rsid w:val="00D27968"/>
    <w:rsid w:val="00D27B3C"/>
    <w:rsid w:val="00D27B7A"/>
    <w:rsid w:val="00D27B80"/>
    <w:rsid w:val="00D27CD3"/>
    <w:rsid w:val="00D27D9C"/>
    <w:rsid w:val="00D27E06"/>
    <w:rsid w:val="00D27E50"/>
    <w:rsid w:val="00D27EE8"/>
    <w:rsid w:val="00D27F2D"/>
    <w:rsid w:val="00D27F52"/>
    <w:rsid w:val="00D27F80"/>
    <w:rsid w:val="00D300FE"/>
    <w:rsid w:val="00D30122"/>
    <w:rsid w:val="00D30197"/>
    <w:rsid w:val="00D301E3"/>
    <w:rsid w:val="00D3025C"/>
    <w:rsid w:val="00D3025E"/>
    <w:rsid w:val="00D302E0"/>
    <w:rsid w:val="00D30312"/>
    <w:rsid w:val="00D3033E"/>
    <w:rsid w:val="00D3047A"/>
    <w:rsid w:val="00D30527"/>
    <w:rsid w:val="00D30562"/>
    <w:rsid w:val="00D30690"/>
    <w:rsid w:val="00D306DE"/>
    <w:rsid w:val="00D307B8"/>
    <w:rsid w:val="00D308D5"/>
    <w:rsid w:val="00D30910"/>
    <w:rsid w:val="00D30A02"/>
    <w:rsid w:val="00D30A2E"/>
    <w:rsid w:val="00D30B14"/>
    <w:rsid w:val="00D30C2C"/>
    <w:rsid w:val="00D30C4E"/>
    <w:rsid w:val="00D30CC0"/>
    <w:rsid w:val="00D30CC8"/>
    <w:rsid w:val="00D30D1B"/>
    <w:rsid w:val="00D30D71"/>
    <w:rsid w:val="00D30DE9"/>
    <w:rsid w:val="00D30DFD"/>
    <w:rsid w:val="00D30E22"/>
    <w:rsid w:val="00D30E25"/>
    <w:rsid w:val="00D30E3C"/>
    <w:rsid w:val="00D30E49"/>
    <w:rsid w:val="00D30E84"/>
    <w:rsid w:val="00D30EB5"/>
    <w:rsid w:val="00D30EC0"/>
    <w:rsid w:val="00D30ED0"/>
    <w:rsid w:val="00D30F7B"/>
    <w:rsid w:val="00D31004"/>
    <w:rsid w:val="00D3100A"/>
    <w:rsid w:val="00D311EB"/>
    <w:rsid w:val="00D311FC"/>
    <w:rsid w:val="00D31250"/>
    <w:rsid w:val="00D3125E"/>
    <w:rsid w:val="00D31289"/>
    <w:rsid w:val="00D3130A"/>
    <w:rsid w:val="00D313A6"/>
    <w:rsid w:val="00D313F8"/>
    <w:rsid w:val="00D3149B"/>
    <w:rsid w:val="00D314C8"/>
    <w:rsid w:val="00D31507"/>
    <w:rsid w:val="00D3150F"/>
    <w:rsid w:val="00D315E1"/>
    <w:rsid w:val="00D31603"/>
    <w:rsid w:val="00D3163C"/>
    <w:rsid w:val="00D317F7"/>
    <w:rsid w:val="00D31887"/>
    <w:rsid w:val="00D3192B"/>
    <w:rsid w:val="00D3195A"/>
    <w:rsid w:val="00D319CD"/>
    <w:rsid w:val="00D319EC"/>
    <w:rsid w:val="00D31A25"/>
    <w:rsid w:val="00D31AEC"/>
    <w:rsid w:val="00D31B7F"/>
    <w:rsid w:val="00D31C49"/>
    <w:rsid w:val="00D31C5D"/>
    <w:rsid w:val="00D31CCB"/>
    <w:rsid w:val="00D31D1B"/>
    <w:rsid w:val="00D31D40"/>
    <w:rsid w:val="00D31E58"/>
    <w:rsid w:val="00D31F31"/>
    <w:rsid w:val="00D31F7B"/>
    <w:rsid w:val="00D3205A"/>
    <w:rsid w:val="00D3205F"/>
    <w:rsid w:val="00D320B4"/>
    <w:rsid w:val="00D320E2"/>
    <w:rsid w:val="00D32164"/>
    <w:rsid w:val="00D321A5"/>
    <w:rsid w:val="00D3222D"/>
    <w:rsid w:val="00D3224C"/>
    <w:rsid w:val="00D32362"/>
    <w:rsid w:val="00D3238A"/>
    <w:rsid w:val="00D32422"/>
    <w:rsid w:val="00D3244E"/>
    <w:rsid w:val="00D324EF"/>
    <w:rsid w:val="00D3255A"/>
    <w:rsid w:val="00D325D3"/>
    <w:rsid w:val="00D325F1"/>
    <w:rsid w:val="00D32672"/>
    <w:rsid w:val="00D329D0"/>
    <w:rsid w:val="00D329FB"/>
    <w:rsid w:val="00D32AC8"/>
    <w:rsid w:val="00D32BE9"/>
    <w:rsid w:val="00D32D09"/>
    <w:rsid w:val="00D32E27"/>
    <w:rsid w:val="00D32E44"/>
    <w:rsid w:val="00D32ED3"/>
    <w:rsid w:val="00D32F3E"/>
    <w:rsid w:val="00D32F4D"/>
    <w:rsid w:val="00D32FC5"/>
    <w:rsid w:val="00D33133"/>
    <w:rsid w:val="00D33149"/>
    <w:rsid w:val="00D3317A"/>
    <w:rsid w:val="00D331C8"/>
    <w:rsid w:val="00D331F4"/>
    <w:rsid w:val="00D332EB"/>
    <w:rsid w:val="00D332F4"/>
    <w:rsid w:val="00D33360"/>
    <w:rsid w:val="00D333B0"/>
    <w:rsid w:val="00D334A2"/>
    <w:rsid w:val="00D334E5"/>
    <w:rsid w:val="00D33629"/>
    <w:rsid w:val="00D3363A"/>
    <w:rsid w:val="00D3366D"/>
    <w:rsid w:val="00D336E5"/>
    <w:rsid w:val="00D3370B"/>
    <w:rsid w:val="00D33719"/>
    <w:rsid w:val="00D3371F"/>
    <w:rsid w:val="00D33785"/>
    <w:rsid w:val="00D337C2"/>
    <w:rsid w:val="00D337DD"/>
    <w:rsid w:val="00D3384C"/>
    <w:rsid w:val="00D338C4"/>
    <w:rsid w:val="00D33905"/>
    <w:rsid w:val="00D33917"/>
    <w:rsid w:val="00D3391F"/>
    <w:rsid w:val="00D33976"/>
    <w:rsid w:val="00D339D1"/>
    <w:rsid w:val="00D339F9"/>
    <w:rsid w:val="00D33A38"/>
    <w:rsid w:val="00D33A6A"/>
    <w:rsid w:val="00D33A76"/>
    <w:rsid w:val="00D33A7F"/>
    <w:rsid w:val="00D33ADD"/>
    <w:rsid w:val="00D33AF7"/>
    <w:rsid w:val="00D33B64"/>
    <w:rsid w:val="00D33B85"/>
    <w:rsid w:val="00D33BE0"/>
    <w:rsid w:val="00D33D75"/>
    <w:rsid w:val="00D33E1E"/>
    <w:rsid w:val="00D33E82"/>
    <w:rsid w:val="00D33ECB"/>
    <w:rsid w:val="00D33F24"/>
    <w:rsid w:val="00D33F2B"/>
    <w:rsid w:val="00D33F4C"/>
    <w:rsid w:val="00D33F73"/>
    <w:rsid w:val="00D3411B"/>
    <w:rsid w:val="00D3415E"/>
    <w:rsid w:val="00D3415F"/>
    <w:rsid w:val="00D34188"/>
    <w:rsid w:val="00D341FD"/>
    <w:rsid w:val="00D3423C"/>
    <w:rsid w:val="00D3428A"/>
    <w:rsid w:val="00D342A1"/>
    <w:rsid w:val="00D342B5"/>
    <w:rsid w:val="00D34308"/>
    <w:rsid w:val="00D3438B"/>
    <w:rsid w:val="00D343A4"/>
    <w:rsid w:val="00D343C7"/>
    <w:rsid w:val="00D343F4"/>
    <w:rsid w:val="00D343F7"/>
    <w:rsid w:val="00D34413"/>
    <w:rsid w:val="00D34453"/>
    <w:rsid w:val="00D3449E"/>
    <w:rsid w:val="00D344B5"/>
    <w:rsid w:val="00D34547"/>
    <w:rsid w:val="00D3454E"/>
    <w:rsid w:val="00D345BB"/>
    <w:rsid w:val="00D34652"/>
    <w:rsid w:val="00D34700"/>
    <w:rsid w:val="00D347DB"/>
    <w:rsid w:val="00D3480C"/>
    <w:rsid w:val="00D34815"/>
    <w:rsid w:val="00D348D3"/>
    <w:rsid w:val="00D348EA"/>
    <w:rsid w:val="00D3493D"/>
    <w:rsid w:val="00D3496A"/>
    <w:rsid w:val="00D34971"/>
    <w:rsid w:val="00D349B7"/>
    <w:rsid w:val="00D349D8"/>
    <w:rsid w:val="00D349DB"/>
    <w:rsid w:val="00D34ABA"/>
    <w:rsid w:val="00D34AC1"/>
    <w:rsid w:val="00D34AE5"/>
    <w:rsid w:val="00D34AF6"/>
    <w:rsid w:val="00D34B18"/>
    <w:rsid w:val="00D34B36"/>
    <w:rsid w:val="00D34BF4"/>
    <w:rsid w:val="00D34C38"/>
    <w:rsid w:val="00D34CAE"/>
    <w:rsid w:val="00D34CD6"/>
    <w:rsid w:val="00D34D1B"/>
    <w:rsid w:val="00D34D5B"/>
    <w:rsid w:val="00D34E02"/>
    <w:rsid w:val="00D34E5E"/>
    <w:rsid w:val="00D34E6F"/>
    <w:rsid w:val="00D34F9B"/>
    <w:rsid w:val="00D34FB5"/>
    <w:rsid w:val="00D34FB9"/>
    <w:rsid w:val="00D35015"/>
    <w:rsid w:val="00D35034"/>
    <w:rsid w:val="00D350D6"/>
    <w:rsid w:val="00D35145"/>
    <w:rsid w:val="00D3518D"/>
    <w:rsid w:val="00D351B9"/>
    <w:rsid w:val="00D351C3"/>
    <w:rsid w:val="00D35231"/>
    <w:rsid w:val="00D35277"/>
    <w:rsid w:val="00D35287"/>
    <w:rsid w:val="00D35341"/>
    <w:rsid w:val="00D353F1"/>
    <w:rsid w:val="00D354EB"/>
    <w:rsid w:val="00D35513"/>
    <w:rsid w:val="00D3553E"/>
    <w:rsid w:val="00D35594"/>
    <w:rsid w:val="00D3562B"/>
    <w:rsid w:val="00D357FF"/>
    <w:rsid w:val="00D35811"/>
    <w:rsid w:val="00D358CF"/>
    <w:rsid w:val="00D358F8"/>
    <w:rsid w:val="00D359CC"/>
    <w:rsid w:val="00D359F9"/>
    <w:rsid w:val="00D35A16"/>
    <w:rsid w:val="00D35B27"/>
    <w:rsid w:val="00D35BB6"/>
    <w:rsid w:val="00D35BDC"/>
    <w:rsid w:val="00D35CCC"/>
    <w:rsid w:val="00D35D63"/>
    <w:rsid w:val="00D35E87"/>
    <w:rsid w:val="00D35EF6"/>
    <w:rsid w:val="00D35EFA"/>
    <w:rsid w:val="00D35F15"/>
    <w:rsid w:val="00D35FC6"/>
    <w:rsid w:val="00D36050"/>
    <w:rsid w:val="00D36053"/>
    <w:rsid w:val="00D36080"/>
    <w:rsid w:val="00D36082"/>
    <w:rsid w:val="00D360D7"/>
    <w:rsid w:val="00D36120"/>
    <w:rsid w:val="00D36190"/>
    <w:rsid w:val="00D361EE"/>
    <w:rsid w:val="00D36273"/>
    <w:rsid w:val="00D36292"/>
    <w:rsid w:val="00D36409"/>
    <w:rsid w:val="00D36495"/>
    <w:rsid w:val="00D364C1"/>
    <w:rsid w:val="00D364D2"/>
    <w:rsid w:val="00D36673"/>
    <w:rsid w:val="00D36760"/>
    <w:rsid w:val="00D36774"/>
    <w:rsid w:val="00D36824"/>
    <w:rsid w:val="00D36835"/>
    <w:rsid w:val="00D368F9"/>
    <w:rsid w:val="00D369E3"/>
    <w:rsid w:val="00D36B1A"/>
    <w:rsid w:val="00D36B21"/>
    <w:rsid w:val="00D36B23"/>
    <w:rsid w:val="00D36B92"/>
    <w:rsid w:val="00D36C7B"/>
    <w:rsid w:val="00D36DE0"/>
    <w:rsid w:val="00D36E8E"/>
    <w:rsid w:val="00D36ECB"/>
    <w:rsid w:val="00D36EEA"/>
    <w:rsid w:val="00D36F62"/>
    <w:rsid w:val="00D36FBD"/>
    <w:rsid w:val="00D37089"/>
    <w:rsid w:val="00D37093"/>
    <w:rsid w:val="00D37264"/>
    <w:rsid w:val="00D3729C"/>
    <w:rsid w:val="00D3742A"/>
    <w:rsid w:val="00D37436"/>
    <w:rsid w:val="00D37454"/>
    <w:rsid w:val="00D37559"/>
    <w:rsid w:val="00D37652"/>
    <w:rsid w:val="00D3769A"/>
    <w:rsid w:val="00D37742"/>
    <w:rsid w:val="00D37759"/>
    <w:rsid w:val="00D37861"/>
    <w:rsid w:val="00D378F5"/>
    <w:rsid w:val="00D37914"/>
    <w:rsid w:val="00D3793E"/>
    <w:rsid w:val="00D37944"/>
    <w:rsid w:val="00D37964"/>
    <w:rsid w:val="00D379D2"/>
    <w:rsid w:val="00D379E6"/>
    <w:rsid w:val="00D37A5B"/>
    <w:rsid w:val="00D37AE4"/>
    <w:rsid w:val="00D37AFA"/>
    <w:rsid w:val="00D37B58"/>
    <w:rsid w:val="00D37C0A"/>
    <w:rsid w:val="00D37D2B"/>
    <w:rsid w:val="00D37D92"/>
    <w:rsid w:val="00D37DA1"/>
    <w:rsid w:val="00D37DAD"/>
    <w:rsid w:val="00D37E07"/>
    <w:rsid w:val="00D37E0F"/>
    <w:rsid w:val="00D37F9C"/>
    <w:rsid w:val="00D4004F"/>
    <w:rsid w:val="00D40054"/>
    <w:rsid w:val="00D4008C"/>
    <w:rsid w:val="00D400C0"/>
    <w:rsid w:val="00D4018D"/>
    <w:rsid w:val="00D401AA"/>
    <w:rsid w:val="00D40249"/>
    <w:rsid w:val="00D402CE"/>
    <w:rsid w:val="00D402DE"/>
    <w:rsid w:val="00D402FD"/>
    <w:rsid w:val="00D40365"/>
    <w:rsid w:val="00D403CE"/>
    <w:rsid w:val="00D40401"/>
    <w:rsid w:val="00D40544"/>
    <w:rsid w:val="00D40605"/>
    <w:rsid w:val="00D4067F"/>
    <w:rsid w:val="00D406C5"/>
    <w:rsid w:val="00D4070A"/>
    <w:rsid w:val="00D40764"/>
    <w:rsid w:val="00D40824"/>
    <w:rsid w:val="00D4083C"/>
    <w:rsid w:val="00D408A7"/>
    <w:rsid w:val="00D408F2"/>
    <w:rsid w:val="00D40951"/>
    <w:rsid w:val="00D4095F"/>
    <w:rsid w:val="00D40A28"/>
    <w:rsid w:val="00D40AAA"/>
    <w:rsid w:val="00D40AD1"/>
    <w:rsid w:val="00D40AD6"/>
    <w:rsid w:val="00D40B31"/>
    <w:rsid w:val="00D40B78"/>
    <w:rsid w:val="00D40B96"/>
    <w:rsid w:val="00D40C3F"/>
    <w:rsid w:val="00D40C46"/>
    <w:rsid w:val="00D40C92"/>
    <w:rsid w:val="00D40CB6"/>
    <w:rsid w:val="00D40DD4"/>
    <w:rsid w:val="00D40E68"/>
    <w:rsid w:val="00D40EB6"/>
    <w:rsid w:val="00D40EFB"/>
    <w:rsid w:val="00D40F07"/>
    <w:rsid w:val="00D40F54"/>
    <w:rsid w:val="00D40F6D"/>
    <w:rsid w:val="00D4107B"/>
    <w:rsid w:val="00D4109F"/>
    <w:rsid w:val="00D410BA"/>
    <w:rsid w:val="00D410BF"/>
    <w:rsid w:val="00D41204"/>
    <w:rsid w:val="00D41271"/>
    <w:rsid w:val="00D41281"/>
    <w:rsid w:val="00D412F0"/>
    <w:rsid w:val="00D413D7"/>
    <w:rsid w:val="00D414F3"/>
    <w:rsid w:val="00D41594"/>
    <w:rsid w:val="00D415B2"/>
    <w:rsid w:val="00D415C9"/>
    <w:rsid w:val="00D415D0"/>
    <w:rsid w:val="00D41602"/>
    <w:rsid w:val="00D41638"/>
    <w:rsid w:val="00D41704"/>
    <w:rsid w:val="00D41741"/>
    <w:rsid w:val="00D417AF"/>
    <w:rsid w:val="00D4183F"/>
    <w:rsid w:val="00D41867"/>
    <w:rsid w:val="00D41996"/>
    <w:rsid w:val="00D41A89"/>
    <w:rsid w:val="00D41ABA"/>
    <w:rsid w:val="00D41B2F"/>
    <w:rsid w:val="00D41B41"/>
    <w:rsid w:val="00D41BF1"/>
    <w:rsid w:val="00D41BF4"/>
    <w:rsid w:val="00D41C3E"/>
    <w:rsid w:val="00D41C53"/>
    <w:rsid w:val="00D41DA7"/>
    <w:rsid w:val="00D41EE2"/>
    <w:rsid w:val="00D41F72"/>
    <w:rsid w:val="00D41F82"/>
    <w:rsid w:val="00D41F8B"/>
    <w:rsid w:val="00D41FBC"/>
    <w:rsid w:val="00D4200D"/>
    <w:rsid w:val="00D42054"/>
    <w:rsid w:val="00D420B9"/>
    <w:rsid w:val="00D42102"/>
    <w:rsid w:val="00D4220D"/>
    <w:rsid w:val="00D4227E"/>
    <w:rsid w:val="00D4229C"/>
    <w:rsid w:val="00D422A8"/>
    <w:rsid w:val="00D4233A"/>
    <w:rsid w:val="00D42365"/>
    <w:rsid w:val="00D4252B"/>
    <w:rsid w:val="00D42600"/>
    <w:rsid w:val="00D4266B"/>
    <w:rsid w:val="00D42682"/>
    <w:rsid w:val="00D426AD"/>
    <w:rsid w:val="00D42747"/>
    <w:rsid w:val="00D42A16"/>
    <w:rsid w:val="00D42A71"/>
    <w:rsid w:val="00D42A77"/>
    <w:rsid w:val="00D42A79"/>
    <w:rsid w:val="00D42B0F"/>
    <w:rsid w:val="00D42B2A"/>
    <w:rsid w:val="00D42BF1"/>
    <w:rsid w:val="00D42C04"/>
    <w:rsid w:val="00D42CEB"/>
    <w:rsid w:val="00D42D9A"/>
    <w:rsid w:val="00D42E2E"/>
    <w:rsid w:val="00D42EB4"/>
    <w:rsid w:val="00D42F02"/>
    <w:rsid w:val="00D42F47"/>
    <w:rsid w:val="00D42F56"/>
    <w:rsid w:val="00D4300A"/>
    <w:rsid w:val="00D4304C"/>
    <w:rsid w:val="00D4308D"/>
    <w:rsid w:val="00D43230"/>
    <w:rsid w:val="00D432D6"/>
    <w:rsid w:val="00D43407"/>
    <w:rsid w:val="00D434DC"/>
    <w:rsid w:val="00D43533"/>
    <w:rsid w:val="00D43535"/>
    <w:rsid w:val="00D43664"/>
    <w:rsid w:val="00D43690"/>
    <w:rsid w:val="00D43747"/>
    <w:rsid w:val="00D43762"/>
    <w:rsid w:val="00D43902"/>
    <w:rsid w:val="00D43905"/>
    <w:rsid w:val="00D43A5C"/>
    <w:rsid w:val="00D43A79"/>
    <w:rsid w:val="00D43B1E"/>
    <w:rsid w:val="00D43BAE"/>
    <w:rsid w:val="00D43DAC"/>
    <w:rsid w:val="00D43DF8"/>
    <w:rsid w:val="00D43F30"/>
    <w:rsid w:val="00D440A7"/>
    <w:rsid w:val="00D4412F"/>
    <w:rsid w:val="00D4418E"/>
    <w:rsid w:val="00D4425E"/>
    <w:rsid w:val="00D4432F"/>
    <w:rsid w:val="00D443D4"/>
    <w:rsid w:val="00D44404"/>
    <w:rsid w:val="00D44445"/>
    <w:rsid w:val="00D4444B"/>
    <w:rsid w:val="00D444B4"/>
    <w:rsid w:val="00D4450F"/>
    <w:rsid w:val="00D446B7"/>
    <w:rsid w:val="00D446F7"/>
    <w:rsid w:val="00D44708"/>
    <w:rsid w:val="00D44841"/>
    <w:rsid w:val="00D44846"/>
    <w:rsid w:val="00D4484A"/>
    <w:rsid w:val="00D448AA"/>
    <w:rsid w:val="00D448E2"/>
    <w:rsid w:val="00D4491D"/>
    <w:rsid w:val="00D44B5E"/>
    <w:rsid w:val="00D44BBD"/>
    <w:rsid w:val="00D44BF7"/>
    <w:rsid w:val="00D44C63"/>
    <w:rsid w:val="00D44DEF"/>
    <w:rsid w:val="00D44E36"/>
    <w:rsid w:val="00D44EDD"/>
    <w:rsid w:val="00D44FBC"/>
    <w:rsid w:val="00D450AA"/>
    <w:rsid w:val="00D450EF"/>
    <w:rsid w:val="00D4517A"/>
    <w:rsid w:val="00D451A2"/>
    <w:rsid w:val="00D45243"/>
    <w:rsid w:val="00D4531D"/>
    <w:rsid w:val="00D454EC"/>
    <w:rsid w:val="00D45515"/>
    <w:rsid w:val="00D4551D"/>
    <w:rsid w:val="00D4555C"/>
    <w:rsid w:val="00D4556B"/>
    <w:rsid w:val="00D456F5"/>
    <w:rsid w:val="00D45738"/>
    <w:rsid w:val="00D45797"/>
    <w:rsid w:val="00D457FF"/>
    <w:rsid w:val="00D458A1"/>
    <w:rsid w:val="00D458CA"/>
    <w:rsid w:val="00D458CD"/>
    <w:rsid w:val="00D45969"/>
    <w:rsid w:val="00D45A1A"/>
    <w:rsid w:val="00D45A29"/>
    <w:rsid w:val="00D45BAC"/>
    <w:rsid w:val="00D45BB2"/>
    <w:rsid w:val="00D45C47"/>
    <w:rsid w:val="00D45C4D"/>
    <w:rsid w:val="00D45C85"/>
    <w:rsid w:val="00D45CDC"/>
    <w:rsid w:val="00D45DB1"/>
    <w:rsid w:val="00D45EFE"/>
    <w:rsid w:val="00D45F1F"/>
    <w:rsid w:val="00D45F20"/>
    <w:rsid w:val="00D45F3D"/>
    <w:rsid w:val="00D45F47"/>
    <w:rsid w:val="00D45FBE"/>
    <w:rsid w:val="00D4605F"/>
    <w:rsid w:val="00D4609E"/>
    <w:rsid w:val="00D460B4"/>
    <w:rsid w:val="00D460D7"/>
    <w:rsid w:val="00D460FD"/>
    <w:rsid w:val="00D4618B"/>
    <w:rsid w:val="00D46196"/>
    <w:rsid w:val="00D461C3"/>
    <w:rsid w:val="00D46209"/>
    <w:rsid w:val="00D4621D"/>
    <w:rsid w:val="00D463BC"/>
    <w:rsid w:val="00D464BF"/>
    <w:rsid w:val="00D4650A"/>
    <w:rsid w:val="00D465A3"/>
    <w:rsid w:val="00D465A6"/>
    <w:rsid w:val="00D4665B"/>
    <w:rsid w:val="00D466C6"/>
    <w:rsid w:val="00D466FC"/>
    <w:rsid w:val="00D46733"/>
    <w:rsid w:val="00D46850"/>
    <w:rsid w:val="00D46876"/>
    <w:rsid w:val="00D468A7"/>
    <w:rsid w:val="00D468F7"/>
    <w:rsid w:val="00D46997"/>
    <w:rsid w:val="00D469A1"/>
    <w:rsid w:val="00D46A30"/>
    <w:rsid w:val="00D46A65"/>
    <w:rsid w:val="00D46B24"/>
    <w:rsid w:val="00D46B47"/>
    <w:rsid w:val="00D46B56"/>
    <w:rsid w:val="00D46BD3"/>
    <w:rsid w:val="00D46BE8"/>
    <w:rsid w:val="00D46BF9"/>
    <w:rsid w:val="00D46CDC"/>
    <w:rsid w:val="00D46D06"/>
    <w:rsid w:val="00D46D31"/>
    <w:rsid w:val="00D46D38"/>
    <w:rsid w:val="00D46DF8"/>
    <w:rsid w:val="00D46EDA"/>
    <w:rsid w:val="00D46EF7"/>
    <w:rsid w:val="00D46FDF"/>
    <w:rsid w:val="00D47165"/>
    <w:rsid w:val="00D471D1"/>
    <w:rsid w:val="00D47283"/>
    <w:rsid w:val="00D4728F"/>
    <w:rsid w:val="00D472A9"/>
    <w:rsid w:val="00D47315"/>
    <w:rsid w:val="00D473CD"/>
    <w:rsid w:val="00D474FC"/>
    <w:rsid w:val="00D47527"/>
    <w:rsid w:val="00D47565"/>
    <w:rsid w:val="00D4767F"/>
    <w:rsid w:val="00D47A7D"/>
    <w:rsid w:val="00D47A84"/>
    <w:rsid w:val="00D47A97"/>
    <w:rsid w:val="00D47B49"/>
    <w:rsid w:val="00D47BCF"/>
    <w:rsid w:val="00D47D34"/>
    <w:rsid w:val="00D47D8E"/>
    <w:rsid w:val="00D47D93"/>
    <w:rsid w:val="00D47DCF"/>
    <w:rsid w:val="00D47F49"/>
    <w:rsid w:val="00D47FB6"/>
    <w:rsid w:val="00D50024"/>
    <w:rsid w:val="00D500E1"/>
    <w:rsid w:val="00D500E9"/>
    <w:rsid w:val="00D5012C"/>
    <w:rsid w:val="00D5015B"/>
    <w:rsid w:val="00D50357"/>
    <w:rsid w:val="00D505D3"/>
    <w:rsid w:val="00D5062E"/>
    <w:rsid w:val="00D5067C"/>
    <w:rsid w:val="00D50688"/>
    <w:rsid w:val="00D50692"/>
    <w:rsid w:val="00D506B9"/>
    <w:rsid w:val="00D506DC"/>
    <w:rsid w:val="00D50729"/>
    <w:rsid w:val="00D5073E"/>
    <w:rsid w:val="00D508CB"/>
    <w:rsid w:val="00D508ED"/>
    <w:rsid w:val="00D509C9"/>
    <w:rsid w:val="00D50A09"/>
    <w:rsid w:val="00D50A58"/>
    <w:rsid w:val="00D50A72"/>
    <w:rsid w:val="00D50A96"/>
    <w:rsid w:val="00D50AAA"/>
    <w:rsid w:val="00D50AB6"/>
    <w:rsid w:val="00D50B85"/>
    <w:rsid w:val="00D50B94"/>
    <w:rsid w:val="00D50B9B"/>
    <w:rsid w:val="00D50B9C"/>
    <w:rsid w:val="00D50BAE"/>
    <w:rsid w:val="00D50C2C"/>
    <w:rsid w:val="00D50C31"/>
    <w:rsid w:val="00D50D09"/>
    <w:rsid w:val="00D50DDD"/>
    <w:rsid w:val="00D50E39"/>
    <w:rsid w:val="00D50E45"/>
    <w:rsid w:val="00D50E70"/>
    <w:rsid w:val="00D50EBC"/>
    <w:rsid w:val="00D50F2A"/>
    <w:rsid w:val="00D50FF1"/>
    <w:rsid w:val="00D51021"/>
    <w:rsid w:val="00D51113"/>
    <w:rsid w:val="00D511E0"/>
    <w:rsid w:val="00D51374"/>
    <w:rsid w:val="00D5146F"/>
    <w:rsid w:val="00D51481"/>
    <w:rsid w:val="00D51527"/>
    <w:rsid w:val="00D51571"/>
    <w:rsid w:val="00D515DD"/>
    <w:rsid w:val="00D51607"/>
    <w:rsid w:val="00D51784"/>
    <w:rsid w:val="00D517F3"/>
    <w:rsid w:val="00D518AB"/>
    <w:rsid w:val="00D5192B"/>
    <w:rsid w:val="00D51A77"/>
    <w:rsid w:val="00D51AA9"/>
    <w:rsid w:val="00D51ACA"/>
    <w:rsid w:val="00D51B30"/>
    <w:rsid w:val="00D51B56"/>
    <w:rsid w:val="00D51C3D"/>
    <w:rsid w:val="00D51C98"/>
    <w:rsid w:val="00D51CE3"/>
    <w:rsid w:val="00D51CF2"/>
    <w:rsid w:val="00D51F56"/>
    <w:rsid w:val="00D51F6F"/>
    <w:rsid w:val="00D51FA1"/>
    <w:rsid w:val="00D51FFA"/>
    <w:rsid w:val="00D52150"/>
    <w:rsid w:val="00D5226A"/>
    <w:rsid w:val="00D522AB"/>
    <w:rsid w:val="00D522B4"/>
    <w:rsid w:val="00D5230D"/>
    <w:rsid w:val="00D5238D"/>
    <w:rsid w:val="00D523D5"/>
    <w:rsid w:val="00D5247F"/>
    <w:rsid w:val="00D52488"/>
    <w:rsid w:val="00D525BF"/>
    <w:rsid w:val="00D525C3"/>
    <w:rsid w:val="00D526ED"/>
    <w:rsid w:val="00D5272B"/>
    <w:rsid w:val="00D527D1"/>
    <w:rsid w:val="00D527DF"/>
    <w:rsid w:val="00D52886"/>
    <w:rsid w:val="00D52963"/>
    <w:rsid w:val="00D52989"/>
    <w:rsid w:val="00D52A02"/>
    <w:rsid w:val="00D52AEF"/>
    <w:rsid w:val="00D52BE4"/>
    <w:rsid w:val="00D52C06"/>
    <w:rsid w:val="00D52C2A"/>
    <w:rsid w:val="00D52C4B"/>
    <w:rsid w:val="00D52DB8"/>
    <w:rsid w:val="00D52E1C"/>
    <w:rsid w:val="00D52EA9"/>
    <w:rsid w:val="00D52F68"/>
    <w:rsid w:val="00D52FDA"/>
    <w:rsid w:val="00D53066"/>
    <w:rsid w:val="00D532F7"/>
    <w:rsid w:val="00D53331"/>
    <w:rsid w:val="00D53374"/>
    <w:rsid w:val="00D5340F"/>
    <w:rsid w:val="00D53440"/>
    <w:rsid w:val="00D53497"/>
    <w:rsid w:val="00D534D9"/>
    <w:rsid w:val="00D53523"/>
    <w:rsid w:val="00D53539"/>
    <w:rsid w:val="00D5356F"/>
    <w:rsid w:val="00D53580"/>
    <w:rsid w:val="00D535D3"/>
    <w:rsid w:val="00D5364B"/>
    <w:rsid w:val="00D5365C"/>
    <w:rsid w:val="00D53664"/>
    <w:rsid w:val="00D53833"/>
    <w:rsid w:val="00D5384C"/>
    <w:rsid w:val="00D5386A"/>
    <w:rsid w:val="00D538BC"/>
    <w:rsid w:val="00D5392C"/>
    <w:rsid w:val="00D539F8"/>
    <w:rsid w:val="00D53A1D"/>
    <w:rsid w:val="00D53A54"/>
    <w:rsid w:val="00D53A63"/>
    <w:rsid w:val="00D53AC8"/>
    <w:rsid w:val="00D53AD0"/>
    <w:rsid w:val="00D53B14"/>
    <w:rsid w:val="00D53B1B"/>
    <w:rsid w:val="00D53C1A"/>
    <w:rsid w:val="00D53CC0"/>
    <w:rsid w:val="00D53CD9"/>
    <w:rsid w:val="00D53D00"/>
    <w:rsid w:val="00D53D48"/>
    <w:rsid w:val="00D53D5D"/>
    <w:rsid w:val="00D53D64"/>
    <w:rsid w:val="00D53D96"/>
    <w:rsid w:val="00D53DEF"/>
    <w:rsid w:val="00D53E14"/>
    <w:rsid w:val="00D53EA9"/>
    <w:rsid w:val="00D53ECC"/>
    <w:rsid w:val="00D53F1D"/>
    <w:rsid w:val="00D53F6E"/>
    <w:rsid w:val="00D53F7C"/>
    <w:rsid w:val="00D53FFB"/>
    <w:rsid w:val="00D540B8"/>
    <w:rsid w:val="00D540F4"/>
    <w:rsid w:val="00D541D3"/>
    <w:rsid w:val="00D54214"/>
    <w:rsid w:val="00D5423C"/>
    <w:rsid w:val="00D543A7"/>
    <w:rsid w:val="00D54498"/>
    <w:rsid w:val="00D54526"/>
    <w:rsid w:val="00D545A2"/>
    <w:rsid w:val="00D545DE"/>
    <w:rsid w:val="00D54649"/>
    <w:rsid w:val="00D54703"/>
    <w:rsid w:val="00D54718"/>
    <w:rsid w:val="00D54728"/>
    <w:rsid w:val="00D5477D"/>
    <w:rsid w:val="00D5478E"/>
    <w:rsid w:val="00D547A8"/>
    <w:rsid w:val="00D547D1"/>
    <w:rsid w:val="00D5482B"/>
    <w:rsid w:val="00D54844"/>
    <w:rsid w:val="00D548B6"/>
    <w:rsid w:val="00D549BF"/>
    <w:rsid w:val="00D54A21"/>
    <w:rsid w:val="00D54A42"/>
    <w:rsid w:val="00D54AD9"/>
    <w:rsid w:val="00D54AEC"/>
    <w:rsid w:val="00D54BE2"/>
    <w:rsid w:val="00D54BF9"/>
    <w:rsid w:val="00D54C89"/>
    <w:rsid w:val="00D54CBE"/>
    <w:rsid w:val="00D54D0E"/>
    <w:rsid w:val="00D54F02"/>
    <w:rsid w:val="00D54F90"/>
    <w:rsid w:val="00D54FA0"/>
    <w:rsid w:val="00D5504C"/>
    <w:rsid w:val="00D55091"/>
    <w:rsid w:val="00D55138"/>
    <w:rsid w:val="00D55193"/>
    <w:rsid w:val="00D5529A"/>
    <w:rsid w:val="00D552B4"/>
    <w:rsid w:val="00D552FE"/>
    <w:rsid w:val="00D55316"/>
    <w:rsid w:val="00D553FF"/>
    <w:rsid w:val="00D5545E"/>
    <w:rsid w:val="00D55656"/>
    <w:rsid w:val="00D55669"/>
    <w:rsid w:val="00D5566D"/>
    <w:rsid w:val="00D556F9"/>
    <w:rsid w:val="00D55721"/>
    <w:rsid w:val="00D557A6"/>
    <w:rsid w:val="00D557D6"/>
    <w:rsid w:val="00D558A8"/>
    <w:rsid w:val="00D5596E"/>
    <w:rsid w:val="00D55A00"/>
    <w:rsid w:val="00D55A2B"/>
    <w:rsid w:val="00D55B3D"/>
    <w:rsid w:val="00D55B97"/>
    <w:rsid w:val="00D55C42"/>
    <w:rsid w:val="00D55C44"/>
    <w:rsid w:val="00D55CF8"/>
    <w:rsid w:val="00D55D39"/>
    <w:rsid w:val="00D55D60"/>
    <w:rsid w:val="00D55DBA"/>
    <w:rsid w:val="00D55E0F"/>
    <w:rsid w:val="00D55E93"/>
    <w:rsid w:val="00D55EA7"/>
    <w:rsid w:val="00D55ECF"/>
    <w:rsid w:val="00D55F34"/>
    <w:rsid w:val="00D55F3A"/>
    <w:rsid w:val="00D55FB0"/>
    <w:rsid w:val="00D55FE9"/>
    <w:rsid w:val="00D5601E"/>
    <w:rsid w:val="00D56141"/>
    <w:rsid w:val="00D5615D"/>
    <w:rsid w:val="00D561CA"/>
    <w:rsid w:val="00D56228"/>
    <w:rsid w:val="00D56344"/>
    <w:rsid w:val="00D56372"/>
    <w:rsid w:val="00D56388"/>
    <w:rsid w:val="00D5650F"/>
    <w:rsid w:val="00D56519"/>
    <w:rsid w:val="00D56539"/>
    <w:rsid w:val="00D5668B"/>
    <w:rsid w:val="00D566B0"/>
    <w:rsid w:val="00D56710"/>
    <w:rsid w:val="00D5676B"/>
    <w:rsid w:val="00D5682A"/>
    <w:rsid w:val="00D568C1"/>
    <w:rsid w:val="00D568FE"/>
    <w:rsid w:val="00D569EB"/>
    <w:rsid w:val="00D56A0F"/>
    <w:rsid w:val="00D56A45"/>
    <w:rsid w:val="00D56A8A"/>
    <w:rsid w:val="00D56AEF"/>
    <w:rsid w:val="00D56B9A"/>
    <w:rsid w:val="00D56C02"/>
    <w:rsid w:val="00D56C5E"/>
    <w:rsid w:val="00D56CA9"/>
    <w:rsid w:val="00D56CC2"/>
    <w:rsid w:val="00D56CD1"/>
    <w:rsid w:val="00D56E43"/>
    <w:rsid w:val="00D57018"/>
    <w:rsid w:val="00D57231"/>
    <w:rsid w:val="00D57277"/>
    <w:rsid w:val="00D572CB"/>
    <w:rsid w:val="00D572D5"/>
    <w:rsid w:val="00D5733A"/>
    <w:rsid w:val="00D57374"/>
    <w:rsid w:val="00D57458"/>
    <w:rsid w:val="00D57459"/>
    <w:rsid w:val="00D57479"/>
    <w:rsid w:val="00D5749D"/>
    <w:rsid w:val="00D574BD"/>
    <w:rsid w:val="00D576B5"/>
    <w:rsid w:val="00D576C9"/>
    <w:rsid w:val="00D5774A"/>
    <w:rsid w:val="00D577CA"/>
    <w:rsid w:val="00D57899"/>
    <w:rsid w:val="00D57A5A"/>
    <w:rsid w:val="00D57AEA"/>
    <w:rsid w:val="00D57B21"/>
    <w:rsid w:val="00D57C57"/>
    <w:rsid w:val="00D57C6A"/>
    <w:rsid w:val="00D57D08"/>
    <w:rsid w:val="00D57D6C"/>
    <w:rsid w:val="00D57DC3"/>
    <w:rsid w:val="00D57E16"/>
    <w:rsid w:val="00D57E58"/>
    <w:rsid w:val="00D57F0D"/>
    <w:rsid w:val="00D57F82"/>
    <w:rsid w:val="00D57F8F"/>
    <w:rsid w:val="00D60072"/>
    <w:rsid w:val="00D60077"/>
    <w:rsid w:val="00D601DE"/>
    <w:rsid w:val="00D60232"/>
    <w:rsid w:val="00D60253"/>
    <w:rsid w:val="00D602CA"/>
    <w:rsid w:val="00D60355"/>
    <w:rsid w:val="00D60378"/>
    <w:rsid w:val="00D603CC"/>
    <w:rsid w:val="00D603FF"/>
    <w:rsid w:val="00D60428"/>
    <w:rsid w:val="00D604D5"/>
    <w:rsid w:val="00D6058F"/>
    <w:rsid w:val="00D60599"/>
    <w:rsid w:val="00D605F0"/>
    <w:rsid w:val="00D6064F"/>
    <w:rsid w:val="00D60676"/>
    <w:rsid w:val="00D606D2"/>
    <w:rsid w:val="00D608B9"/>
    <w:rsid w:val="00D608D3"/>
    <w:rsid w:val="00D60935"/>
    <w:rsid w:val="00D60962"/>
    <w:rsid w:val="00D60AAD"/>
    <w:rsid w:val="00D60B11"/>
    <w:rsid w:val="00D60B80"/>
    <w:rsid w:val="00D60BB1"/>
    <w:rsid w:val="00D60C3E"/>
    <w:rsid w:val="00D60C5F"/>
    <w:rsid w:val="00D60C82"/>
    <w:rsid w:val="00D60C92"/>
    <w:rsid w:val="00D60CCE"/>
    <w:rsid w:val="00D60CE8"/>
    <w:rsid w:val="00D60D7F"/>
    <w:rsid w:val="00D60E53"/>
    <w:rsid w:val="00D60ED1"/>
    <w:rsid w:val="00D6108B"/>
    <w:rsid w:val="00D610F3"/>
    <w:rsid w:val="00D61150"/>
    <w:rsid w:val="00D61155"/>
    <w:rsid w:val="00D61184"/>
    <w:rsid w:val="00D611BE"/>
    <w:rsid w:val="00D61254"/>
    <w:rsid w:val="00D612B8"/>
    <w:rsid w:val="00D6131E"/>
    <w:rsid w:val="00D613E4"/>
    <w:rsid w:val="00D613FC"/>
    <w:rsid w:val="00D614D7"/>
    <w:rsid w:val="00D61565"/>
    <w:rsid w:val="00D61614"/>
    <w:rsid w:val="00D61633"/>
    <w:rsid w:val="00D61695"/>
    <w:rsid w:val="00D61735"/>
    <w:rsid w:val="00D61790"/>
    <w:rsid w:val="00D617FC"/>
    <w:rsid w:val="00D618A5"/>
    <w:rsid w:val="00D61959"/>
    <w:rsid w:val="00D6196D"/>
    <w:rsid w:val="00D61B09"/>
    <w:rsid w:val="00D61B20"/>
    <w:rsid w:val="00D61B5A"/>
    <w:rsid w:val="00D61C02"/>
    <w:rsid w:val="00D61C5C"/>
    <w:rsid w:val="00D61C80"/>
    <w:rsid w:val="00D61DFD"/>
    <w:rsid w:val="00D61E03"/>
    <w:rsid w:val="00D61EBA"/>
    <w:rsid w:val="00D61EC5"/>
    <w:rsid w:val="00D61F0E"/>
    <w:rsid w:val="00D61F30"/>
    <w:rsid w:val="00D61FAF"/>
    <w:rsid w:val="00D62053"/>
    <w:rsid w:val="00D6206F"/>
    <w:rsid w:val="00D62128"/>
    <w:rsid w:val="00D6233A"/>
    <w:rsid w:val="00D623CA"/>
    <w:rsid w:val="00D6247C"/>
    <w:rsid w:val="00D625AE"/>
    <w:rsid w:val="00D6262F"/>
    <w:rsid w:val="00D6268F"/>
    <w:rsid w:val="00D626D3"/>
    <w:rsid w:val="00D626F1"/>
    <w:rsid w:val="00D6274F"/>
    <w:rsid w:val="00D62750"/>
    <w:rsid w:val="00D62755"/>
    <w:rsid w:val="00D6281C"/>
    <w:rsid w:val="00D6287A"/>
    <w:rsid w:val="00D6292B"/>
    <w:rsid w:val="00D62A12"/>
    <w:rsid w:val="00D62A1B"/>
    <w:rsid w:val="00D62ACB"/>
    <w:rsid w:val="00D62AD8"/>
    <w:rsid w:val="00D62C76"/>
    <w:rsid w:val="00D62D5E"/>
    <w:rsid w:val="00D62D7C"/>
    <w:rsid w:val="00D62DE3"/>
    <w:rsid w:val="00D62E07"/>
    <w:rsid w:val="00D62E26"/>
    <w:rsid w:val="00D62E67"/>
    <w:rsid w:val="00D62F0C"/>
    <w:rsid w:val="00D62F31"/>
    <w:rsid w:val="00D62FBB"/>
    <w:rsid w:val="00D62FFD"/>
    <w:rsid w:val="00D63051"/>
    <w:rsid w:val="00D630AC"/>
    <w:rsid w:val="00D630C7"/>
    <w:rsid w:val="00D630F9"/>
    <w:rsid w:val="00D63142"/>
    <w:rsid w:val="00D631B3"/>
    <w:rsid w:val="00D63208"/>
    <w:rsid w:val="00D63216"/>
    <w:rsid w:val="00D63306"/>
    <w:rsid w:val="00D636C5"/>
    <w:rsid w:val="00D6374F"/>
    <w:rsid w:val="00D63816"/>
    <w:rsid w:val="00D6381A"/>
    <w:rsid w:val="00D6386E"/>
    <w:rsid w:val="00D6399A"/>
    <w:rsid w:val="00D63A6D"/>
    <w:rsid w:val="00D63A77"/>
    <w:rsid w:val="00D63B21"/>
    <w:rsid w:val="00D63B2D"/>
    <w:rsid w:val="00D63BA5"/>
    <w:rsid w:val="00D63BF6"/>
    <w:rsid w:val="00D63CB6"/>
    <w:rsid w:val="00D63E3A"/>
    <w:rsid w:val="00D63E75"/>
    <w:rsid w:val="00D63EAD"/>
    <w:rsid w:val="00D63EC2"/>
    <w:rsid w:val="00D63ECB"/>
    <w:rsid w:val="00D640BC"/>
    <w:rsid w:val="00D640C9"/>
    <w:rsid w:val="00D64132"/>
    <w:rsid w:val="00D64159"/>
    <w:rsid w:val="00D642B6"/>
    <w:rsid w:val="00D642EC"/>
    <w:rsid w:val="00D643BE"/>
    <w:rsid w:val="00D643D7"/>
    <w:rsid w:val="00D644D8"/>
    <w:rsid w:val="00D644E6"/>
    <w:rsid w:val="00D64508"/>
    <w:rsid w:val="00D64552"/>
    <w:rsid w:val="00D6456A"/>
    <w:rsid w:val="00D645AF"/>
    <w:rsid w:val="00D645C3"/>
    <w:rsid w:val="00D6464F"/>
    <w:rsid w:val="00D6477F"/>
    <w:rsid w:val="00D647AF"/>
    <w:rsid w:val="00D647DA"/>
    <w:rsid w:val="00D647DE"/>
    <w:rsid w:val="00D64818"/>
    <w:rsid w:val="00D64838"/>
    <w:rsid w:val="00D64846"/>
    <w:rsid w:val="00D6484F"/>
    <w:rsid w:val="00D64854"/>
    <w:rsid w:val="00D6486F"/>
    <w:rsid w:val="00D64904"/>
    <w:rsid w:val="00D64957"/>
    <w:rsid w:val="00D64981"/>
    <w:rsid w:val="00D649A1"/>
    <w:rsid w:val="00D64A8B"/>
    <w:rsid w:val="00D64B67"/>
    <w:rsid w:val="00D64BAB"/>
    <w:rsid w:val="00D64BFE"/>
    <w:rsid w:val="00D64C50"/>
    <w:rsid w:val="00D64CC6"/>
    <w:rsid w:val="00D64CEB"/>
    <w:rsid w:val="00D64D4C"/>
    <w:rsid w:val="00D64DE0"/>
    <w:rsid w:val="00D64DE1"/>
    <w:rsid w:val="00D64DF3"/>
    <w:rsid w:val="00D64E80"/>
    <w:rsid w:val="00D64EE6"/>
    <w:rsid w:val="00D64F15"/>
    <w:rsid w:val="00D64F19"/>
    <w:rsid w:val="00D64F48"/>
    <w:rsid w:val="00D64FC8"/>
    <w:rsid w:val="00D6517B"/>
    <w:rsid w:val="00D651A4"/>
    <w:rsid w:val="00D65266"/>
    <w:rsid w:val="00D652A5"/>
    <w:rsid w:val="00D6530B"/>
    <w:rsid w:val="00D6539E"/>
    <w:rsid w:val="00D653B6"/>
    <w:rsid w:val="00D653C1"/>
    <w:rsid w:val="00D65446"/>
    <w:rsid w:val="00D654BC"/>
    <w:rsid w:val="00D65724"/>
    <w:rsid w:val="00D65772"/>
    <w:rsid w:val="00D657D0"/>
    <w:rsid w:val="00D658C3"/>
    <w:rsid w:val="00D6593B"/>
    <w:rsid w:val="00D6595A"/>
    <w:rsid w:val="00D65A35"/>
    <w:rsid w:val="00D65A54"/>
    <w:rsid w:val="00D65ACA"/>
    <w:rsid w:val="00D65B52"/>
    <w:rsid w:val="00D65B97"/>
    <w:rsid w:val="00D65BA3"/>
    <w:rsid w:val="00D65C76"/>
    <w:rsid w:val="00D65C91"/>
    <w:rsid w:val="00D65CAB"/>
    <w:rsid w:val="00D65D11"/>
    <w:rsid w:val="00D65D1B"/>
    <w:rsid w:val="00D65D25"/>
    <w:rsid w:val="00D65D32"/>
    <w:rsid w:val="00D65E27"/>
    <w:rsid w:val="00D65E4D"/>
    <w:rsid w:val="00D65EB0"/>
    <w:rsid w:val="00D65ECF"/>
    <w:rsid w:val="00D65ED7"/>
    <w:rsid w:val="00D6601A"/>
    <w:rsid w:val="00D6605B"/>
    <w:rsid w:val="00D6608D"/>
    <w:rsid w:val="00D66115"/>
    <w:rsid w:val="00D6615D"/>
    <w:rsid w:val="00D661F3"/>
    <w:rsid w:val="00D66219"/>
    <w:rsid w:val="00D66243"/>
    <w:rsid w:val="00D66247"/>
    <w:rsid w:val="00D66379"/>
    <w:rsid w:val="00D663EF"/>
    <w:rsid w:val="00D663F1"/>
    <w:rsid w:val="00D66432"/>
    <w:rsid w:val="00D66538"/>
    <w:rsid w:val="00D665A3"/>
    <w:rsid w:val="00D665B4"/>
    <w:rsid w:val="00D667D9"/>
    <w:rsid w:val="00D667EF"/>
    <w:rsid w:val="00D668CB"/>
    <w:rsid w:val="00D668CF"/>
    <w:rsid w:val="00D668F3"/>
    <w:rsid w:val="00D6690F"/>
    <w:rsid w:val="00D6694B"/>
    <w:rsid w:val="00D66964"/>
    <w:rsid w:val="00D6697C"/>
    <w:rsid w:val="00D66A24"/>
    <w:rsid w:val="00D66A3F"/>
    <w:rsid w:val="00D66A7F"/>
    <w:rsid w:val="00D66A83"/>
    <w:rsid w:val="00D66A8D"/>
    <w:rsid w:val="00D66B60"/>
    <w:rsid w:val="00D66BA5"/>
    <w:rsid w:val="00D66C56"/>
    <w:rsid w:val="00D66CDD"/>
    <w:rsid w:val="00D66D28"/>
    <w:rsid w:val="00D66D31"/>
    <w:rsid w:val="00D66D9D"/>
    <w:rsid w:val="00D66EF1"/>
    <w:rsid w:val="00D66F80"/>
    <w:rsid w:val="00D67021"/>
    <w:rsid w:val="00D6705A"/>
    <w:rsid w:val="00D670E7"/>
    <w:rsid w:val="00D6711D"/>
    <w:rsid w:val="00D67195"/>
    <w:rsid w:val="00D6723E"/>
    <w:rsid w:val="00D67261"/>
    <w:rsid w:val="00D67358"/>
    <w:rsid w:val="00D673D2"/>
    <w:rsid w:val="00D67403"/>
    <w:rsid w:val="00D6740B"/>
    <w:rsid w:val="00D67481"/>
    <w:rsid w:val="00D6759F"/>
    <w:rsid w:val="00D675D3"/>
    <w:rsid w:val="00D67656"/>
    <w:rsid w:val="00D676DA"/>
    <w:rsid w:val="00D67771"/>
    <w:rsid w:val="00D677D6"/>
    <w:rsid w:val="00D67807"/>
    <w:rsid w:val="00D6785E"/>
    <w:rsid w:val="00D6786A"/>
    <w:rsid w:val="00D678E3"/>
    <w:rsid w:val="00D67956"/>
    <w:rsid w:val="00D67BEF"/>
    <w:rsid w:val="00D67C21"/>
    <w:rsid w:val="00D67C4C"/>
    <w:rsid w:val="00D67C8C"/>
    <w:rsid w:val="00D67DA7"/>
    <w:rsid w:val="00D67DE3"/>
    <w:rsid w:val="00D67DE4"/>
    <w:rsid w:val="00D67E2F"/>
    <w:rsid w:val="00D67E85"/>
    <w:rsid w:val="00D67EC7"/>
    <w:rsid w:val="00D67F8D"/>
    <w:rsid w:val="00D70074"/>
    <w:rsid w:val="00D7019D"/>
    <w:rsid w:val="00D701A0"/>
    <w:rsid w:val="00D701E2"/>
    <w:rsid w:val="00D70254"/>
    <w:rsid w:val="00D7028E"/>
    <w:rsid w:val="00D702AF"/>
    <w:rsid w:val="00D703A3"/>
    <w:rsid w:val="00D70515"/>
    <w:rsid w:val="00D706AF"/>
    <w:rsid w:val="00D70757"/>
    <w:rsid w:val="00D7079C"/>
    <w:rsid w:val="00D707F6"/>
    <w:rsid w:val="00D70824"/>
    <w:rsid w:val="00D7088C"/>
    <w:rsid w:val="00D708A3"/>
    <w:rsid w:val="00D70994"/>
    <w:rsid w:val="00D7099A"/>
    <w:rsid w:val="00D70A40"/>
    <w:rsid w:val="00D70B0C"/>
    <w:rsid w:val="00D70B92"/>
    <w:rsid w:val="00D70BC8"/>
    <w:rsid w:val="00D70BDC"/>
    <w:rsid w:val="00D70D59"/>
    <w:rsid w:val="00D70DB6"/>
    <w:rsid w:val="00D70E55"/>
    <w:rsid w:val="00D70E58"/>
    <w:rsid w:val="00D70E97"/>
    <w:rsid w:val="00D70EA7"/>
    <w:rsid w:val="00D70FA6"/>
    <w:rsid w:val="00D71007"/>
    <w:rsid w:val="00D71045"/>
    <w:rsid w:val="00D71118"/>
    <w:rsid w:val="00D71143"/>
    <w:rsid w:val="00D71155"/>
    <w:rsid w:val="00D711B8"/>
    <w:rsid w:val="00D711B9"/>
    <w:rsid w:val="00D71284"/>
    <w:rsid w:val="00D712A1"/>
    <w:rsid w:val="00D712FD"/>
    <w:rsid w:val="00D7130B"/>
    <w:rsid w:val="00D71395"/>
    <w:rsid w:val="00D7155A"/>
    <w:rsid w:val="00D71563"/>
    <w:rsid w:val="00D7157F"/>
    <w:rsid w:val="00D715B8"/>
    <w:rsid w:val="00D71618"/>
    <w:rsid w:val="00D7165C"/>
    <w:rsid w:val="00D716BE"/>
    <w:rsid w:val="00D71729"/>
    <w:rsid w:val="00D71737"/>
    <w:rsid w:val="00D7177E"/>
    <w:rsid w:val="00D71832"/>
    <w:rsid w:val="00D7192A"/>
    <w:rsid w:val="00D71BAA"/>
    <w:rsid w:val="00D71BE6"/>
    <w:rsid w:val="00D71C83"/>
    <w:rsid w:val="00D71D1F"/>
    <w:rsid w:val="00D71D65"/>
    <w:rsid w:val="00D71DE6"/>
    <w:rsid w:val="00D71DFA"/>
    <w:rsid w:val="00D71E9F"/>
    <w:rsid w:val="00D71FDE"/>
    <w:rsid w:val="00D71FE2"/>
    <w:rsid w:val="00D72041"/>
    <w:rsid w:val="00D720F9"/>
    <w:rsid w:val="00D72137"/>
    <w:rsid w:val="00D72211"/>
    <w:rsid w:val="00D72299"/>
    <w:rsid w:val="00D722C0"/>
    <w:rsid w:val="00D7230A"/>
    <w:rsid w:val="00D72337"/>
    <w:rsid w:val="00D723C9"/>
    <w:rsid w:val="00D7240E"/>
    <w:rsid w:val="00D7244E"/>
    <w:rsid w:val="00D72474"/>
    <w:rsid w:val="00D724FD"/>
    <w:rsid w:val="00D72535"/>
    <w:rsid w:val="00D72570"/>
    <w:rsid w:val="00D7258B"/>
    <w:rsid w:val="00D72628"/>
    <w:rsid w:val="00D72637"/>
    <w:rsid w:val="00D72641"/>
    <w:rsid w:val="00D7269D"/>
    <w:rsid w:val="00D72716"/>
    <w:rsid w:val="00D7274E"/>
    <w:rsid w:val="00D727A2"/>
    <w:rsid w:val="00D72874"/>
    <w:rsid w:val="00D728F5"/>
    <w:rsid w:val="00D72954"/>
    <w:rsid w:val="00D729AC"/>
    <w:rsid w:val="00D72A22"/>
    <w:rsid w:val="00D72A5E"/>
    <w:rsid w:val="00D72B0C"/>
    <w:rsid w:val="00D72B32"/>
    <w:rsid w:val="00D72B70"/>
    <w:rsid w:val="00D72BC8"/>
    <w:rsid w:val="00D72BFA"/>
    <w:rsid w:val="00D72D9D"/>
    <w:rsid w:val="00D72DB9"/>
    <w:rsid w:val="00D72E3E"/>
    <w:rsid w:val="00D72E7A"/>
    <w:rsid w:val="00D72FAA"/>
    <w:rsid w:val="00D730E7"/>
    <w:rsid w:val="00D73132"/>
    <w:rsid w:val="00D731E2"/>
    <w:rsid w:val="00D731F2"/>
    <w:rsid w:val="00D73273"/>
    <w:rsid w:val="00D73623"/>
    <w:rsid w:val="00D7367F"/>
    <w:rsid w:val="00D7370C"/>
    <w:rsid w:val="00D73713"/>
    <w:rsid w:val="00D73771"/>
    <w:rsid w:val="00D738C9"/>
    <w:rsid w:val="00D738F3"/>
    <w:rsid w:val="00D73A30"/>
    <w:rsid w:val="00D73A81"/>
    <w:rsid w:val="00D73AA8"/>
    <w:rsid w:val="00D73AB4"/>
    <w:rsid w:val="00D73B0C"/>
    <w:rsid w:val="00D73BC1"/>
    <w:rsid w:val="00D73BD4"/>
    <w:rsid w:val="00D73C73"/>
    <w:rsid w:val="00D73CB7"/>
    <w:rsid w:val="00D73CBF"/>
    <w:rsid w:val="00D73D15"/>
    <w:rsid w:val="00D73DF5"/>
    <w:rsid w:val="00D73F1F"/>
    <w:rsid w:val="00D73F91"/>
    <w:rsid w:val="00D74019"/>
    <w:rsid w:val="00D74037"/>
    <w:rsid w:val="00D740FB"/>
    <w:rsid w:val="00D741AC"/>
    <w:rsid w:val="00D7420B"/>
    <w:rsid w:val="00D74251"/>
    <w:rsid w:val="00D742F4"/>
    <w:rsid w:val="00D743B2"/>
    <w:rsid w:val="00D74469"/>
    <w:rsid w:val="00D7446A"/>
    <w:rsid w:val="00D74496"/>
    <w:rsid w:val="00D74554"/>
    <w:rsid w:val="00D7455C"/>
    <w:rsid w:val="00D745DD"/>
    <w:rsid w:val="00D745F3"/>
    <w:rsid w:val="00D74645"/>
    <w:rsid w:val="00D746FE"/>
    <w:rsid w:val="00D7475C"/>
    <w:rsid w:val="00D747D7"/>
    <w:rsid w:val="00D748FD"/>
    <w:rsid w:val="00D74ABA"/>
    <w:rsid w:val="00D74B0C"/>
    <w:rsid w:val="00D74B51"/>
    <w:rsid w:val="00D74C14"/>
    <w:rsid w:val="00D74C17"/>
    <w:rsid w:val="00D74D01"/>
    <w:rsid w:val="00D74D0D"/>
    <w:rsid w:val="00D74D22"/>
    <w:rsid w:val="00D74D39"/>
    <w:rsid w:val="00D74E5A"/>
    <w:rsid w:val="00D74E93"/>
    <w:rsid w:val="00D74F29"/>
    <w:rsid w:val="00D74F5B"/>
    <w:rsid w:val="00D74FE5"/>
    <w:rsid w:val="00D75018"/>
    <w:rsid w:val="00D75047"/>
    <w:rsid w:val="00D75332"/>
    <w:rsid w:val="00D75487"/>
    <w:rsid w:val="00D75491"/>
    <w:rsid w:val="00D754F2"/>
    <w:rsid w:val="00D75507"/>
    <w:rsid w:val="00D75523"/>
    <w:rsid w:val="00D75590"/>
    <w:rsid w:val="00D755C1"/>
    <w:rsid w:val="00D75627"/>
    <w:rsid w:val="00D75641"/>
    <w:rsid w:val="00D756B3"/>
    <w:rsid w:val="00D756F3"/>
    <w:rsid w:val="00D7578C"/>
    <w:rsid w:val="00D7585F"/>
    <w:rsid w:val="00D75919"/>
    <w:rsid w:val="00D75948"/>
    <w:rsid w:val="00D75AE3"/>
    <w:rsid w:val="00D75AFA"/>
    <w:rsid w:val="00D75B44"/>
    <w:rsid w:val="00D75B84"/>
    <w:rsid w:val="00D75B8A"/>
    <w:rsid w:val="00D75C11"/>
    <w:rsid w:val="00D75C93"/>
    <w:rsid w:val="00D75C99"/>
    <w:rsid w:val="00D75CFA"/>
    <w:rsid w:val="00D75DC9"/>
    <w:rsid w:val="00D75DD7"/>
    <w:rsid w:val="00D75DF7"/>
    <w:rsid w:val="00D75E41"/>
    <w:rsid w:val="00D75EAD"/>
    <w:rsid w:val="00D75FC7"/>
    <w:rsid w:val="00D75FD3"/>
    <w:rsid w:val="00D760B3"/>
    <w:rsid w:val="00D7610E"/>
    <w:rsid w:val="00D76117"/>
    <w:rsid w:val="00D7618D"/>
    <w:rsid w:val="00D761F7"/>
    <w:rsid w:val="00D7623E"/>
    <w:rsid w:val="00D762E0"/>
    <w:rsid w:val="00D76303"/>
    <w:rsid w:val="00D7633A"/>
    <w:rsid w:val="00D76387"/>
    <w:rsid w:val="00D7646B"/>
    <w:rsid w:val="00D76495"/>
    <w:rsid w:val="00D76496"/>
    <w:rsid w:val="00D76513"/>
    <w:rsid w:val="00D76538"/>
    <w:rsid w:val="00D76583"/>
    <w:rsid w:val="00D76603"/>
    <w:rsid w:val="00D7661E"/>
    <w:rsid w:val="00D76684"/>
    <w:rsid w:val="00D7669D"/>
    <w:rsid w:val="00D766E9"/>
    <w:rsid w:val="00D7671C"/>
    <w:rsid w:val="00D76747"/>
    <w:rsid w:val="00D767E7"/>
    <w:rsid w:val="00D76805"/>
    <w:rsid w:val="00D76863"/>
    <w:rsid w:val="00D76899"/>
    <w:rsid w:val="00D7689D"/>
    <w:rsid w:val="00D7692D"/>
    <w:rsid w:val="00D76A62"/>
    <w:rsid w:val="00D76A65"/>
    <w:rsid w:val="00D76A85"/>
    <w:rsid w:val="00D76A94"/>
    <w:rsid w:val="00D76B82"/>
    <w:rsid w:val="00D76BB5"/>
    <w:rsid w:val="00D76CCC"/>
    <w:rsid w:val="00D76D99"/>
    <w:rsid w:val="00D76E03"/>
    <w:rsid w:val="00D76E2B"/>
    <w:rsid w:val="00D76E8D"/>
    <w:rsid w:val="00D76FC2"/>
    <w:rsid w:val="00D77068"/>
    <w:rsid w:val="00D770A1"/>
    <w:rsid w:val="00D770D4"/>
    <w:rsid w:val="00D7716C"/>
    <w:rsid w:val="00D77172"/>
    <w:rsid w:val="00D7719B"/>
    <w:rsid w:val="00D771FF"/>
    <w:rsid w:val="00D77234"/>
    <w:rsid w:val="00D772E8"/>
    <w:rsid w:val="00D77302"/>
    <w:rsid w:val="00D7731E"/>
    <w:rsid w:val="00D773BA"/>
    <w:rsid w:val="00D7749B"/>
    <w:rsid w:val="00D77535"/>
    <w:rsid w:val="00D77544"/>
    <w:rsid w:val="00D7756A"/>
    <w:rsid w:val="00D775A7"/>
    <w:rsid w:val="00D77635"/>
    <w:rsid w:val="00D7773F"/>
    <w:rsid w:val="00D777FB"/>
    <w:rsid w:val="00D777FF"/>
    <w:rsid w:val="00D77803"/>
    <w:rsid w:val="00D77907"/>
    <w:rsid w:val="00D779BD"/>
    <w:rsid w:val="00D779C8"/>
    <w:rsid w:val="00D77A4D"/>
    <w:rsid w:val="00D77AB0"/>
    <w:rsid w:val="00D77B7F"/>
    <w:rsid w:val="00D77CB0"/>
    <w:rsid w:val="00D77D31"/>
    <w:rsid w:val="00D77D4D"/>
    <w:rsid w:val="00D77E97"/>
    <w:rsid w:val="00D77EC9"/>
    <w:rsid w:val="00D77ED9"/>
    <w:rsid w:val="00D77EE8"/>
    <w:rsid w:val="00D77EF1"/>
    <w:rsid w:val="00D77F77"/>
    <w:rsid w:val="00D80064"/>
    <w:rsid w:val="00D8009E"/>
    <w:rsid w:val="00D800AA"/>
    <w:rsid w:val="00D800D4"/>
    <w:rsid w:val="00D800F4"/>
    <w:rsid w:val="00D801AB"/>
    <w:rsid w:val="00D80262"/>
    <w:rsid w:val="00D8031C"/>
    <w:rsid w:val="00D80328"/>
    <w:rsid w:val="00D80354"/>
    <w:rsid w:val="00D803D8"/>
    <w:rsid w:val="00D803EC"/>
    <w:rsid w:val="00D80418"/>
    <w:rsid w:val="00D8046B"/>
    <w:rsid w:val="00D80580"/>
    <w:rsid w:val="00D8060A"/>
    <w:rsid w:val="00D80794"/>
    <w:rsid w:val="00D807C9"/>
    <w:rsid w:val="00D807E1"/>
    <w:rsid w:val="00D80813"/>
    <w:rsid w:val="00D808A5"/>
    <w:rsid w:val="00D808C3"/>
    <w:rsid w:val="00D8091C"/>
    <w:rsid w:val="00D80938"/>
    <w:rsid w:val="00D809BE"/>
    <w:rsid w:val="00D809D8"/>
    <w:rsid w:val="00D80A4E"/>
    <w:rsid w:val="00D80B0D"/>
    <w:rsid w:val="00D80B7B"/>
    <w:rsid w:val="00D80C6D"/>
    <w:rsid w:val="00D80CB8"/>
    <w:rsid w:val="00D80D26"/>
    <w:rsid w:val="00D80D8E"/>
    <w:rsid w:val="00D80EA0"/>
    <w:rsid w:val="00D80EC7"/>
    <w:rsid w:val="00D80F79"/>
    <w:rsid w:val="00D81018"/>
    <w:rsid w:val="00D81026"/>
    <w:rsid w:val="00D8105C"/>
    <w:rsid w:val="00D810F4"/>
    <w:rsid w:val="00D8111D"/>
    <w:rsid w:val="00D81197"/>
    <w:rsid w:val="00D8139E"/>
    <w:rsid w:val="00D813B1"/>
    <w:rsid w:val="00D813D2"/>
    <w:rsid w:val="00D81412"/>
    <w:rsid w:val="00D8144C"/>
    <w:rsid w:val="00D814BD"/>
    <w:rsid w:val="00D81536"/>
    <w:rsid w:val="00D81592"/>
    <w:rsid w:val="00D815A5"/>
    <w:rsid w:val="00D815B3"/>
    <w:rsid w:val="00D815BB"/>
    <w:rsid w:val="00D815C5"/>
    <w:rsid w:val="00D8166C"/>
    <w:rsid w:val="00D816A7"/>
    <w:rsid w:val="00D8173E"/>
    <w:rsid w:val="00D81762"/>
    <w:rsid w:val="00D81776"/>
    <w:rsid w:val="00D8180D"/>
    <w:rsid w:val="00D81841"/>
    <w:rsid w:val="00D818EA"/>
    <w:rsid w:val="00D8192C"/>
    <w:rsid w:val="00D81955"/>
    <w:rsid w:val="00D81AB7"/>
    <w:rsid w:val="00D81B01"/>
    <w:rsid w:val="00D81B3D"/>
    <w:rsid w:val="00D81B75"/>
    <w:rsid w:val="00D81BB2"/>
    <w:rsid w:val="00D81C10"/>
    <w:rsid w:val="00D81C59"/>
    <w:rsid w:val="00D81C7F"/>
    <w:rsid w:val="00D81C8B"/>
    <w:rsid w:val="00D81CC6"/>
    <w:rsid w:val="00D81D6F"/>
    <w:rsid w:val="00D81D9F"/>
    <w:rsid w:val="00D81E93"/>
    <w:rsid w:val="00D81ED9"/>
    <w:rsid w:val="00D81EE1"/>
    <w:rsid w:val="00D81F7F"/>
    <w:rsid w:val="00D81F88"/>
    <w:rsid w:val="00D81FF5"/>
    <w:rsid w:val="00D820DD"/>
    <w:rsid w:val="00D82121"/>
    <w:rsid w:val="00D821CC"/>
    <w:rsid w:val="00D82276"/>
    <w:rsid w:val="00D82330"/>
    <w:rsid w:val="00D823B4"/>
    <w:rsid w:val="00D823E9"/>
    <w:rsid w:val="00D823EB"/>
    <w:rsid w:val="00D823FF"/>
    <w:rsid w:val="00D82494"/>
    <w:rsid w:val="00D824D5"/>
    <w:rsid w:val="00D8255D"/>
    <w:rsid w:val="00D82570"/>
    <w:rsid w:val="00D82580"/>
    <w:rsid w:val="00D82591"/>
    <w:rsid w:val="00D8259D"/>
    <w:rsid w:val="00D825C7"/>
    <w:rsid w:val="00D82604"/>
    <w:rsid w:val="00D8270C"/>
    <w:rsid w:val="00D82787"/>
    <w:rsid w:val="00D827AF"/>
    <w:rsid w:val="00D827B6"/>
    <w:rsid w:val="00D82827"/>
    <w:rsid w:val="00D8289F"/>
    <w:rsid w:val="00D828F0"/>
    <w:rsid w:val="00D82934"/>
    <w:rsid w:val="00D82978"/>
    <w:rsid w:val="00D829CD"/>
    <w:rsid w:val="00D82A09"/>
    <w:rsid w:val="00D82A1D"/>
    <w:rsid w:val="00D82A8B"/>
    <w:rsid w:val="00D82B19"/>
    <w:rsid w:val="00D82B4A"/>
    <w:rsid w:val="00D82BC4"/>
    <w:rsid w:val="00D82C40"/>
    <w:rsid w:val="00D82C6B"/>
    <w:rsid w:val="00D82D85"/>
    <w:rsid w:val="00D82E54"/>
    <w:rsid w:val="00D82EB4"/>
    <w:rsid w:val="00D82F0A"/>
    <w:rsid w:val="00D8305F"/>
    <w:rsid w:val="00D831AC"/>
    <w:rsid w:val="00D831F2"/>
    <w:rsid w:val="00D832D2"/>
    <w:rsid w:val="00D832F1"/>
    <w:rsid w:val="00D83376"/>
    <w:rsid w:val="00D8348A"/>
    <w:rsid w:val="00D834C7"/>
    <w:rsid w:val="00D834E6"/>
    <w:rsid w:val="00D834F5"/>
    <w:rsid w:val="00D83511"/>
    <w:rsid w:val="00D83512"/>
    <w:rsid w:val="00D835F6"/>
    <w:rsid w:val="00D83687"/>
    <w:rsid w:val="00D836F8"/>
    <w:rsid w:val="00D83787"/>
    <w:rsid w:val="00D8379B"/>
    <w:rsid w:val="00D837CC"/>
    <w:rsid w:val="00D838F6"/>
    <w:rsid w:val="00D83925"/>
    <w:rsid w:val="00D8392C"/>
    <w:rsid w:val="00D83A4D"/>
    <w:rsid w:val="00D83AEA"/>
    <w:rsid w:val="00D83B1A"/>
    <w:rsid w:val="00D83B1B"/>
    <w:rsid w:val="00D83B3F"/>
    <w:rsid w:val="00D83B63"/>
    <w:rsid w:val="00D83B79"/>
    <w:rsid w:val="00D83C04"/>
    <w:rsid w:val="00D83C78"/>
    <w:rsid w:val="00D83D00"/>
    <w:rsid w:val="00D83DCF"/>
    <w:rsid w:val="00D83DE8"/>
    <w:rsid w:val="00D83F69"/>
    <w:rsid w:val="00D84035"/>
    <w:rsid w:val="00D8405C"/>
    <w:rsid w:val="00D84119"/>
    <w:rsid w:val="00D84260"/>
    <w:rsid w:val="00D844BF"/>
    <w:rsid w:val="00D84572"/>
    <w:rsid w:val="00D845BA"/>
    <w:rsid w:val="00D84618"/>
    <w:rsid w:val="00D84683"/>
    <w:rsid w:val="00D846EB"/>
    <w:rsid w:val="00D847B9"/>
    <w:rsid w:val="00D847C7"/>
    <w:rsid w:val="00D847FD"/>
    <w:rsid w:val="00D84879"/>
    <w:rsid w:val="00D84884"/>
    <w:rsid w:val="00D848EF"/>
    <w:rsid w:val="00D8494C"/>
    <w:rsid w:val="00D84955"/>
    <w:rsid w:val="00D84986"/>
    <w:rsid w:val="00D84990"/>
    <w:rsid w:val="00D849F5"/>
    <w:rsid w:val="00D84A9E"/>
    <w:rsid w:val="00D84AFA"/>
    <w:rsid w:val="00D84BDF"/>
    <w:rsid w:val="00D84C41"/>
    <w:rsid w:val="00D84C4D"/>
    <w:rsid w:val="00D84E43"/>
    <w:rsid w:val="00D84EF6"/>
    <w:rsid w:val="00D850F5"/>
    <w:rsid w:val="00D850FA"/>
    <w:rsid w:val="00D8513A"/>
    <w:rsid w:val="00D852B9"/>
    <w:rsid w:val="00D85452"/>
    <w:rsid w:val="00D85555"/>
    <w:rsid w:val="00D855EC"/>
    <w:rsid w:val="00D8564D"/>
    <w:rsid w:val="00D856D2"/>
    <w:rsid w:val="00D856E1"/>
    <w:rsid w:val="00D856FA"/>
    <w:rsid w:val="00D85705"/>
    <w:rsid w:val="00D857B6"/>
    <w:rsid w:val="00D857DA"/>
    <w:rsid w:val="00D8580F"/>
    <w:rsid w:val="00D85955"/>
    <w:rsid w:val="00D859C1"/>
    <w:rsid w:val="00D859D7"/>
    <w:rsid w:val="00D85AC5"/>
    <w:rsid w:val="00D85AC7"/>
    <w:rsid w:val="00D85C19"/>
    <w:rsid w:val="00D85CCF"/>
    <w:rsid w:val="00D85D64"/>
    <w:rsid w:val="00D85F62"/>
    <w:rsid w:val="00D85F8E"/>
    <w:rsid w:val="00D85F99"/>
    <w:rsid w:val="00D85FA6"/>
    <w:rsid w:val="00D85FB9"/>
    <w:rsid w:val="00D86038"/>
    <w:rsid w:val="00D860DA"/>
    <w:rsid w:val="00D860F5"/>
    <w:rsid w:val="00D86205"/>
    <w:rsid w:val="00D86243"/>
    <w:rsid w:val="00D86364"/>
    <w:rsid w:val="00D863BE"/>
    <w:rsid w:val="00D863C2"/>
    <w:rsid w:val="00D864C3"/>
    <w:rsid w:val="00D86542"/>
    <w:rsid w:val="00D865B7"/>
    <w:rsid w:val="00D86774"/>
    <w:rsid w:val="00D867AB"/>
    <w:rsid w:val="00D867D4"/>
    <w:rsid w:val="00D867F7"/>
    <w:rsid w:val="00D868DF"/>
    <w:rsid w:val="00D86925"/>
    <w:rsid w:val="00D86932"/>
    <w:rsid w:val="00D86962"/>
    <w:rsid w:val="00D86990"/>
    <w:rsid w:val="00D86A10"/>
    <w:rsid w:val="00D86B40"/>
    <w:rsid w:val="00D86BBC"/>
    <w:rsid w:val="00D86C5D"/>
    <w:rsid w:val="00D86C94"/>
    <w:rsid w:val="00D86D57"/>
    <w:rsid w:val="00D86D69"/>
    <w:rsid w:val="00D86E21"/>
    <w:rsid w:val="00D86F1F"/>
    <w:rsid w:val="00D86FF7"/>
    <w:rsid w:val="00D87015"/>
    <w:rsid w:val="00D87045"/>
    <w:rsid w:val="00D870CC"/>
    <w:rsid w:val="00D870E7"/>
    <w:rsid w:val="00D8729D"/>
    <w:rsid w:val="00D8734F"/>
    <w:rsid w:val="00D873E5"/>
    <w:rsid w:val="00D873E7"/>
    <w:rsid w:val="00D874D1"/>
    <w:rsid w:val="00D874E0"/>
    <w:rsid w:val="00D87506"/>
    <w:rsid w:val="00D87530"/>
    <w:rsid w:val="00D8753F"/>
    <w:rsid w:val="00D875A1"/>
    <w:rsid w:val="00D87718"/>
    <w:rsid w:val="00D87755"/>
    <w:rsid w:val="00D87782"/>
    <w:rsid w:val="00D87956"/>
    <w:rsid w:val="00D8799C"/>
    <w:rsid w:val="00D87A0E"/>
    <w:rsid w:val="00D87ACB"/>
    <w:rsid w:val="00D87B5D"/>
    <w:rsid w:val="00D87C8A"/>
    <w:rsid w:val="00D87CE0"/>
    <w:rsid w:val="00D87CED"/>
    <w:rsid w:val="00D87FA4"/>
    <w:rsid w:val="00D87FC5"/>
    <w:rsid w:val="00D9004E"/>
    <w:rsid w:val="00D90118"/>
    <w:rsid w:val="00D90121"/>
    <w:rsid w:val="00D9013C"/>
    <w:rsid w:val="00D90150"/>
    <w:rsid w:val="00D90265"/>
    <w:rsid w:val="00D90424"/>
    <w:rsid w:val="00D9045F"/>
    <w:rsid w:val="00D90489"/>
    <w:rsid w:val="00D904A4"/>
    <w:rsid w:val="00D90504"/>
    <w:rsid w:val="00D9054D"/>
    <w:rsid w:val="00D905C6"/>
    <w:rsid w:val="00D905E4"/>
    <w:rsid w:val="00D90619"/>
    <w:rsid w:val="00D90649"/>
    <w:rsid w:val="00D90662"/>
    <w:rsid w:val="00D90973"/>
    <w:rsid w:val="00D909BE"/>
    <w:rsid w:val="00D909CE"/>
    <w:rsid w:val="00D909DB"/>
    <w:rsid w:val="00D90AAD"/>
    <w:rsid w:val="00D90B45"/>
    <w:rsid w:val="00D90B6F"/>
    <w:rsid w:val="00D90B9B"/>
    <w:rsid w:val="00D90BB9"/>
    <w:rsid w:val="00D90C5D"/>
    <w:rsid w:val="00D90CF1"/>
    <w:rsid w:val="00D91005"/>
    <w:rsid w:val="00D91037"/>
    <w:rsid w:val="00D910D0"/>
    <w:rsid w:val="00D91142"/>
    <w:rsid w:val="00D911F8"/>
    <w:rsid w:val="00D91205"/>
    <w:rsid w:val="00D9126F"/>
    <w:rsid w:val="00D9136D"/>
    <w:rsid w:val="00D913B0"/>
    <w:rsid w:val="00D913CE"/>
    <w:rsid w:val="00D914C3"/>
    <w:rsid w:val="00D91534"/>
    <w:rsid w:val="00D91588"/>
    <w:rsid w:val="00D91635"/>
    <w:rsid w:val="00D91738"/>
    <w:rsid w:val="00D91754"/>
    <w:rsid w:val="00D91781"/>
    <w:rsid w:val="00D917F3"/>
    <w:rsid w:val="00D918B8"/>
    <w:rsid w:val="00D918B9"/>
    <w:rsid w:val="00D918E5"/>
    <w:rsid w:val="00D91B3A"/>
    <w:rsid w:val="00D91C2E"/>
    <w:rsid w:val="00D91C37"/>
    <w:rsid w:val="00D91C74"/>
    <w:rsid w:val="00D91DB2"/>
    <w:rsid w:val="00D91E53"/>
    <w:rsid w:val="00D91E6A"/>
    <w:rsid w:val="00D91EB7"/>
    <w:rsid w:val="00D91ECC"/>
    <w:rsid w:val="00D91F54"/>
    <w:rsid w:val="00D91F5F"/>
    <w:rsid w:val="00D91F6B"/>
    <w:rsid w:val="00D91FCB"/>
    <w:rsid w:val="00D92093"/>
    <w:rsid w:val="00D920C7"/>
    <w:rsid w:val="00D920FE"/>
    <w:rsid w:val="00D92117"/>
    <w:rsid w:val="00D92142"/>
    <w:rsid w:val="00D9214E"/>
    <w:rsid w:val="00D9216C"/>
    <w:rsid w:val="00D921A5"/>
    <w:rsid w:val="00D92210"/>
    <w:rsid w:val="00D92223"/>
    <w:rsid w:val="00D922F8"/>
    <w:rsid w:val="00D9231C"/>
    <w:rsid w:val="00D92430"/>
    <w:rsid w:val="00D9246D"/>
    <w:rsid w:val="00D924D7"/>
    <w:rsid w:val="00D924EC"/>
    <w:rsid w:val="00D92531"/>
    <w:rsid w:val="00D925B7"/>
    <w:rsid w:val="00D9263F"/>
    <w:rsid w:val="00D926C3"/>
    <w:rsid w:val="00D926F6"/>
    <w:rsid w:val="00D92711"/>
    <w:rsid w:val="00D9272A"/>
    <w:rsid w:val="00D92756"/>
    <w:rsid w:val="00D928A5"/>
    <w:rsid w:val="00D928AA"/>
    <w:rsid w:val="00D928CB"/>
    <w:rsid w:val="00D92938"/>
    <w:rsid w:val="00D9294E"/>
    <w:rsid w:val="00D929F0"/>
    <w:rsid w:val="00D92A76"/>
    <w:rsid w:val="00D92A83"/>
    <w:rsid w:val="00D92B39"/>
    <w:rsid w:val="00D92B62"/>
    <w:rsid w:val="00D92BCA"/>
    <w:rsid w:val="00D92BCE"/>
    <w:rsid w:val="00D92C05"/>
    <w:rsid w:val="00D92C1F"/>
    <w:rsid w:val="00D92D23"/>
    <w:rsid w:val="00D92D43"/>
    <w:rsid w:val="00D92DA9"/>
    <w:rsid w:val="00D92DB0"/>
    <w:rsid w:val="00D92DCE"/>
    <w:rsid w:val="00D92E8D"/>
    <w:rsid w:val="00D9303C"/>
    <w:rsid w:val="00D9309E"/>
    <w:rsid w:val="00D930B9"/>
    <w:rsid w:val="00D93102"/>
    <w:rsid w:val="00D93125"/>
    <w:rsid w:val="00D9313A"/>
    <w:rsid w:val="00D931B9"/>
    <w:rsid w:val="00D93240"/>
    <w:rsid w:val="00D932D4"/>
    <w:rsid w:val="00D933D6"/>
    <w:rsid w:val="00D93425"/>
    <w:rsid w:val="00D934ED"/>
    <w:rsid w:val="00D9351B"/>
    <w:rsid w:val="00D9354F"/>
    <w:rsid w:val="00D9359B"/>
    <w:rsid w:val="00D935AA"/>
    <w:rsid w:val="00D9368F"/>
    <w:rsid w:val="00D937E1"/>
    <w:rsid w:val="00D93883"/>
    <w:rsid w:val="00D93995"/>
    <w:rsid w:val="00D939D0"/>
    <w:rsid w:val="00D93A44"/>
    <w:rsid w:val="00D93A56"/>
    <w:rsid w:val="00D93A92"/>
    <w:rsid w:val="00D93A99"/>
    <w:rsid w:val="00D93AEC"/>
    <w:rsid w:val="00D93AF1"/>
    <w:rsid w:val="00D93B0B"/>
    <w:rsid w:val="00D93B3A"/>
    <w:rsid w:val="00D93B3D"/>
    <w:rsid w:val="00D93B44"/>
    <w:rsid w:val="00D93C26"/>
    <w:rsid w:val="00D93C2D"/>
    <w:rsid w:val="00D93C94"/>
    <w:rsid w:val="00D93CCB"/>
    <w:rsid w:val="00D93D43"/>
    <w:rsid w:val="00D93D93"/>
    <w:rsid w:val="00D93EC8"/>
    <w:rsid w:val="00D93F06"/>
    <w:rsid w:val="00D93F13"/>
    <w:rsid w:val="00D9405B"/>
    <w:rsid w:val="00D9409F"/>
    <w:rsid w:val="00D940C9"/>
    <w:rsid w:val="00D94128"/>
    <w:rsid w:val="00D941CE"/>
    <w:rsid w:val="00D941D6"/>
    <w:rsid w:val="00D942AE"/>
    <w:rsid w:val="00D942F0"/>
    <w:rsid w:val="00D94307"/>
    <w:rsid w:val="00D9439B"/>
    <w:rsid w:val="00D943A1"/>
    <w:rsid w:val="00D94423"/>
    <w:rsid w:val="00D94426"/>
    <w:rsid w:val="00D94487"/>
    <w:rsid w:val="00D944C9"/>
    <w:rsid w:val="00D944E8"/>
    <w:rsid w:val="00D9450A"/>
    <w:rsid w:val="00D94673"/>
    <w:rsid w:val="00D946E4"/>
    <w:rsid w:val="00D94828"/>
    <w:rsid w:val="00D94874"/>
    <w:rsid w:val="00D9491A"/>
    <w:rsid w:val="00D9494D"/>
    <w:rsid w:val="00D949B3"/>
    <w:rsid w:val="00D949DC"/>
    <w:rsid w:val="00D949E9"/>
    <w:rsid w:val="00D94AA7"/>
    <w:rsid w:val="00D94B51"/>
    <w:rsid w:val="00D94B77"/>
    <w:rsid w:val="00D94B97"/>
    <w:rsid w:val="00D94BC3"/>
    <w:rsid w:val="00D94BDC"/>
    <w:rsid w:val="00D94C34"/>
    <w:rsid w:val="00D94C8D"/>
    <w:rsid w:val="00D94D93"/>
    <w:rsid w:val="00D94E04"/>
    <w:rsid w:val="00D94F50"/>
    <w:rsid w:val="00D94F60"/>
    <w:rsid w:val="00D94F79"/>
    <w:rsid w:val="00D950FA"/>
    <w:rsid w:val="00D95104"/>
    <w:rsid w:val="00D95238"/>
    <w:rsid w:val="00D952A3"/>
    <w:rsid w:val="00D95329"/>
    <w:rsid w:val="00D9544A"/>
    <w:rsid w:val="00D954B1"/>
    <w:rsid w:val="00D954DA"/>
    <w:rsid w:val="00D9554E"/>
    <w:rsid w:val="00D9556D"/>
    <w:rsid w:val="00D9556F"/>
    <w:rsid w:val="00D95579"/>
    <w:rsid w:val="00D955B6"/>
    <w:rsid w:val="00D95601"/>
    <w:rsid w:val="00D95681"/>
    <w:rsid w:val="00D956AD"/>
    <w:rsid w:val="00D9570C"/>
    <w:rsid w:val="00D9573D"/>
    <w:rsid w:val="00D9579E"/>
    <w:rsid w:val="00D95800"/>
    <w:rsid w:val="00D95870"/>
    <w:rsid w:val="00D958B0"/>
    <w:rsid w:val="00D958DE"/>
    <w:rsid w:val="00D95976"/>
    <w:rsid w:val="00D95986"/>
    <w:rsid w:val="00D95B06"/>
    <w:rsid w:val="00D95C2A"/>
    <w:rsid w:val="00D95C45"/>
    <w:rsid w:val="00D95C82"/>
    <w:rsid w:val="00D95C99"/>
    <w:rsid w:val="00D95D4F"/>
    <w:rsid w:val="00D95E16"/>
    <w:rsid w:val="00D95E3E"/>
    <w:rsid w:val="00D95F28"/>
    <w:rsid w:val="00D95F47"/>
    <w:rsid w:val="00D95FC9"/>
    <w:rsid w:val="00D9605C"/>
    <w:rsid w:val="00D96142"/>
    <w:rsid w:val="00D961E7"/>
    <w:rsid w:val="00D9621A"/>
    <w:rsid w:val="00D96254"/>
    <w:rsid w:val="00D96349"/>
    <w:rsid w:val="00D963D8"/>
    <w:rsid w:val="00D96437"/>
    <w:rsid w:val="00D96466"/>
    <w:rsid w:val="00D96538"/>
    <w:rsid w:val="00D96625"/>
    <w:rsid w:val="00D9669E"/>
    <w:rsid w:val="00D966A3"/>
    <w:rsid w:val="00D96758"/>
    <w:rsid w:val="00D9686B"/>
    <w:rsid w:val="00D968C2"/>
    <w:rsid w:val="00D968C4"/>
    <w:rsid w:val="00D96963"/>
    <w:rsid w:val="00D9699D"/>
    <w:rsid w:val="00D96A18"/>
    <w:rsid w:val="00D96A3F"/>
    <w:rsid w:val="00D96A44"/>
    <w:rsid w:val="00D96A54"/>
    <w:rsid w:val="00D96B5B"/>
    <w:rsid w:val="00D96B6F"/>
    <w:rsid w:val="00D96BDB"/>
    <w:rsid w:val="00D96CC7"/>
    <w:rsid w:val="00D96D52"/>
    <w:rsid w:val="00D96D6A"/>
    <w:rsid w:val="00D96D9D"/>
    <w:rsid w:val="00D96DD8"/>
    <w:rsid w:val="00D96F10"/>
    <w:rsid w:val="00D96F88"/>
    <w:rsid w:val="00D96F91"/>
    <w:rsid w:val="00D97298"/>
    <w:rsid w:val="00D97334"/>
    <w:rsid w:val="00D97371"/>
    <w:rsid w:val="00D97452"/>
    <w:rsid w:val="00D974CB"/>
    <w:rsid w:val="00D97542"/>
    <w:rsid w:val="00D975CF"/>
    <w:rsid w:val="00D97608"/>
    <w:rsid w:val="00D9762E"/>
    <w:rsid w:val="00D9764A"/>
    <w:rsid w:val="00D976CA"/>
    <w:rsid w:val="00D97780"/>
    <w:rsid w:val="00D977A3"/>
    <w:rsid w:val="00D97846"/>
    <w:rsid w:val="00D97860"/>
    <w:rsid w:val="00D979A2"/>
    <w:rsid w:val="00D979DA"/>
    <w:rsid w:val="00D97A69"/>
    <w:rsid w:val="00D97ACA"/>
    <w:rsid w:val="00D97AF7"/>
    <w:rsid w:val="00D97B12"/>
    <w:rsid w:val="00D97B93"/>
    <w:rsid w:val="00D97BE0"/>
    <w:rsid w:val="00D97C3E"/>
    <w:rsid w:val="00D97CBA"/>
    <w:rsid w:val="00D97D37"/>
    <w:rsid w:val="00D97DD6"/>
    <w:rsid w:val="00D97E5C"/>
    <w:rsid w:val="00D97F13"/>
    <w:rsid w:val="00DA003A"/>
    <w:rsid w:val="00DA0048"/>
    <w:rsid w:val="00DA0061"/>
    <w:rsid w:val="00DA0069"/>
    <w:rsid w:val="00DA007D"/>
    <w:rsid w:val="00DA00D5"/>
    <w:rsid w:val="00DA0118"/>
    <w:rsid w:val="00DA0177"/>
    <w:rsid w:val="00DA01B5"/>
    <w:rsid w:val="00DA01C5"/>
    <w:rsid w:val="00DA01D4"/>
    <w:rsid w:val="00DA02CB"/>
    <w:rsid w:val="00DA0356"/>
    <w:rsid w:val="00DA03FA"/>
    <w:rsid w:val="00DA0418"/>
    <w:rsid w:val="00DA0472"/>
    <w:rsid w:val="00DA070F"/>
    <w:rsid w:val="00DA08FB"/>
    <w:rsid w:val="00DA091D"/>
    <w:rsid w:val="00DA0959"/>
    <w:rsid w:val="00DA0A1A"/>
    <w:rsid w:val="00DA0A8D"/>
    <w:rsid w:val="00DA0A93"/>
    <w:rsid w:val="00DA0AEC"/>
    <w:rsid w:val="00DA0C0E"/>
    <w:rsid w:val="00DA0D7F"/>
    <w:rsid w:val="00DA0DEE"/>
    <w:rsid w:val="00DA0E0B"/>
    <w:rsid w:val="00DA0F44"/>
    <w:rsid w:val="00DA1067"/>
    <w:rsid w:val="00DA1096"/>
    <w:rsid w:val="00DA10AA"/>
    <w:rsid w:val="00DA114B"/>
    <w:rsid w:val="00DA11F3"/>
    <w:rsid w:val="00DA135F"/>
    <w:rsid w:val="00DA13D1"/>
    <w:rsid w:val="00DA1478"/>
    <w:rsid w:val="00DA1530"/>
    <w:rsid w:val="00DA156D"/>
    <w:rsid w:val="00DA15D8"/>
    <w:rsid w:val="00DA15E1"/>
    <w:rsid w:val="00DA1609"/>
    <w:rsid w:val="00DA168E"/>
    <w:rsid w:val="00DA17B9"/>
    <w:rsid w:val="00DA1927"/>
    <w:rsid w:val="00DA1A21"/>
    <w:rsid w:val="00DA1ACD"/>
    <w:rsid w:val="00DA1ADD"/>
    <w:rsid w:val="00DA1AED"/>
    <w:rsid w:val="00DA1B69"/>
    <w:rsid w:val="00DA1C57"/>
    <w:rsid w:val="00DA1C5B"/>
    <w:rsid w:val="00DA1CED"/>
    <w:rsid w:val="00DA1D52"/>
    <w:rsid w:val="00DA1D62"/>
    <w:rsid w:val="00DA1E62"/>
    <w:rsid w:val="00DA1EDC"/>
    <w:rsid w:val="00DA1FA1"/>
    <w:rsid w:val="00DA207C"/>
    <w:rsid w:val="00DA20A5"/>
    <w:rsid w:val="00DA20A9"/>
    <w:rsid w:val="00DA21EF"/>
    <w:rsid w:val="00DA22C9"/>
    <w:rsid w:val="00DA2394"/>
    <w:rsid w:val="00DA23B3"/>
    <w:rsid w:val="00DA23BD"/>
    <w:rsid w:val="00DA25B6"/>
    <w:rsid w:val="00DA2628"/>
    <w:rsid w:val="00DA2680"/>
    <w:rsid w:val="00DA26D9"/>
    <w:rsid w:val="00DA26FB"/>
    <w:rsid w:val="00DA270E"/>
    <w:rsid w:val="00DA271B"/>
    <w:rsid w:val="00DA271F"/>
    <w:rsid w:val="00DA2881"/>
    <w:rsid w:val="00DA28B6"/>
    <w:rsid w:val="00DA28B8"/>
    <w:rsid w:val="00DA28C4"/>
    <w:rsid w:val="00DA29D3"/>
    <w:rsid w:val="00DA2A55"/>
    <w:rsid w:val="00DA2A97"/>
    <w:rsid w:val="00DA2B88"/>
    <w:rsid w:val="00DA2C61"/>
    <w:rsid w:val="00DA2CBB"/>
    <w:rsid w:val="00DA2CF0"/>
    <w:rsid w:val="00DA2CF7"/>
    <w:rsid w:val="00DA2DDD"/>
    <w:rsid w:val="00DA2E2B"/>
    <w:rsid w:val="00DA2E69"/>
    <w:rsid w:val="00DA2ED3"/>
    <w:rsid w:val="00DA307A"/>
    <w:rsid w:val="00DA312C"/>
    <w:rsid w:val="00DA3144"/>
    <w:rsid w:val="00DA3168"/>
    <w:rsid w:val="00DA31A4"/>
    <w:rsid w:val="00DA31BC"/>
    <w:rsid w:val="00DA31F9"/>
    <w:rsid w:val="00DA3218"/>
    <w:rsid w:val="00DA32CF"/>
    <w:rsid w:val="00DA32EC"/>
    <w:rsid w:val="00DA332A"/>
    <w:rsid w:val="00DA33A6"/>
    <w:rsid w:val="00DA3488"/>
    <w:rsid w:val="00DA3568"/>
    <w:rsid w:val="00DA356E"/>
    <w:rsid w:val="00DA363D"/>
    <w:rsid w:val="00DA3659"/>
    <w:rsid w:val="00DA36AA"/>
    <w:rsid w:val="00DA36B1"/>
    <w:rsid w:val="00DA36F6"/>
    <w:rsid w:val="00DA3768"/>
    <w:rsid w:val="00DA386B"/>
    <w:rsid w:val="00DA3874"/>
    <w:rsid w:val="00DA39E2"/>
    <w:rsid w:val="00DA3A16"/>
    <w:rsid w:val="00DA3A23"/>
    <w:rsid w:val="00DA3AEF"/>
    <w:rsid w:val="00DA3C14"/>
    <w:rsid w:val="00DA3C50"/>
    <w:rsid w:val="00DA3C79"/>
    <w:rsid w:val="00DA3D2B"/>
    <w:rsid w:val="00DA3D67"/>
    <w:rsid w:val="00DA3E5A"/>
    <w:rsid w:val="00DA3E85"/>
    <w:rsid w:val="00DA3EDF"/>
    <w:rsid w:val="00DA3FC8"/>
    <w:rsid w:val="00DA3FC9"/>
    <w:rsid w:val="00DA3FE4"/>
    <w:rsid w:val="00DA403E"/>
    <w:rsid w:val="00DA4042"/>
    <w:rsid w:val="00DA4055"/>
    <w:rsid w:val="00DA4114"/>
    <w:rsid w:val="00DA413B"/>
    <w:rsid w:val="00DA4361"/>
    <w:rsid w:val="00DA437F"/>
    <w:rsid w:val="00DA4399"/>
    <w:rsid w:val="00DA43DA"/>
    <w:rsid w:val="00DA4482"/>
    <w:rsid w:val="00DA45A5"/>
    <w:rsid w:val="00DA45ED"/>
    <w:rsid w:val="00DA466F"/>
    <w:rsid w:val="00DA4739"/>
    <w:rsid w:val="00DA47B5"/>
    <w:rsid w:val="00DA4881"/>
    <w:rsid w:val="00DA48DA"/>
    <w:rsid w:val="00DA48FC"/>
    <w:rsid w:val="00DA491D"/>
    <w:rsid w:val="00DA4931"/>
    <w:rsid w:val="00DA4993"/>
    <w:rsid w:val="00DA4BBA"/>
    <w:rsid w:val="00DA4C3A"/>
    <w:rsid w:val="00DA4C70"/>
    <w:rsid w:val="00DA4CAA"/>
    <w:rsid w:val="00DA4CB5"/>
    <w:rsid w:val="00DA4FB3"/>
    <w:rsid w:val="00DA4FF0"/>
    <w:rsid w:val="00DA4FF4"/>
    <w:rsid w:val="00DA5064"/>
    <w:rsid w:val="00DA5072"/>
    <w:rsid w:val="00DA50DB"/>
    <w:rsid w:val="00DA521B"/>
    <w:rsid w:val="00DA521E"/>
    <w:rsid w:val="00DA523C"/>
    <w:rsid w:val="00DA5257"/>
    <w:rsid w:val="00DA52B5"/>
    <w:rsid w:val="00DA5307"/>
    <w:rsid w:val="00DA541A"/>
    <w:rsid w:val="00DA5440"/>
    <w:rsid w:val="00DA5458"/>
    <w:rsid w:val="00DA55BF"/>
    <w:rsid w:val="00DA55CF"/>
    <w:rsid w:val="00DA55D7"/>
    <w:rsid w:val="00DA5666"/>
    <w:rsid w:val="00DA56A2"/>
    <w:rsid w:val="00DA573C"/>
    <w:rsid w:val="00DA5742"/>
    <w:rsid w:val="00DA5839"/>
    <w:rsid w:val="00DA589C"/>
    <w:rsid w:val="00DA58A2"/>
    <w:rsid w:val="00DA58D8"/>
    <w:rsid w:val="00DA5905"/>
    <w:rsid w:val="00DA5964"/>
    <w:rsid w:val="00DA59C0"/>
    <w:rsid w:val="00DA5A60"/>
    <w:rsid w:val="00DA5AA8"/>
    <w:rsid w:val="00DA5B1F"/>
    <w:rsid w:val="00DA5B89"/>
    <w:rsid w:val="00DA5C1E"/>
    <w:rsid w:val="00DA5C52"/>
    <w:rsid w:val="00DA5C97"/>
    <w:rsid w:val="00DA5DB5"/>
    <w:rsid w:val="00DA5E04"/>
    <w:rsid w:val="00DA5E0A"/>
    <w:rsid w:val="00DA5E80"/>
    <w:rsid w:val="00DA5F4E"/>
    <w:rsid w:val="00DA5FBE"/>
    <w:rsid w:val="00DA60CA"/>
    <w:rsid w:val="00DA61B0"/>
    <w:rsid w:val="00DA61B8"/>
    <w:rsid w:val="00DA61C7"/>
    <w:rsid w:val="00DA620C"/>
    <w:rsid w:val="00DA6223"/>
    <w:rsid w:val="00DA625B"/>
    <w:rsid w:val="00DA625D"/>
    <w:rsid w:val="00DA6310"/>
    <w:rsid w:val="00DA636C"/>
    <w:rsid w:val="00DA63AB"/>
    <w:rsid w:val="00DA6492"/>
    <w:rsid w:val="00DA64F4"/>
    <w:rsid w:val="00DA6515"/>
    <w:rsid w:val="00DA6516"/>
    <w:rsid w:val="00DA651A"/>
    <w:rsid w:val="00DA661A"/>
    <w:rsid w:val="00DA661D"/>
    <w:rsid w:val="00DA6686"/>
    <w:rsid w:val="00DA66F3"/>
    <w:rsid w:val="00DA673E"/>
    <w:rsid w:val="00DA678A"/>
    <w:rsid w:val="00DA67B3"/>
    <w:rsid w:val="00DA67F4"/>
    <w:rsid w:val="00DA68A0"/>
    <w:rsid w:val="00DA6933"/>
    <w:rsid w:val="00DA6942"/>
    <w:rsid w:val="00DA699C"/>
    <w:rsid w:val="00DA6A2C"/>
    <w:rsid w:val="00DA6A78"/>
    <w:rsid w:val="00DA6A7B"/>
    <w:rsid w:val="00DA6B41"/>
    <w:rsid w:val="00DA6D54"/>
    <w:rsid w:val="00DA6D58"/>
    <w:rsid w:val="00DA6ED3"/>
    <w:rsid w:val="00DA7005"/>
    <w:rsid w:val="00DA7008"/>
    <w:rsid w:val="00DA7018"/>
    <w:rsid w:val="00DA706A"/>
    <w:rsid w:val="00DA738F"/>
    <w:rsid w:val="00DA7390"/>
    <w:rsid w:val="00DA73C7"/>
    <w:rsid w:val="00DA74EC"/>
    <w:rsid w:val="00DA756C"/>
    <w:rsid w:val="00DA7586"/>
    <w:rsid w:val="00DA75F9"/>
    <w:rsid w:val="00DA7677"/>
    <w:rsid w:val="00DA776B"/>
    <w:rsid w:val="00DA7789"/>
    <w:rsid w:val="00DA788C"/>
    <w:rsid w:val="00DA797D"/>
    <w:rsid w:val="00DA79C0"/>
    <w:rsid w:val="00DA7A2E"/>
    <w:rsid w:val="00DA7A79"/>
    <w:rsid w:val="00DA7AC5"/>
    <w:rsid w:val="00DA7ACC"/>
    <w:rsid w:val="00DA7B20"/>
    <w:rsid w:val="00DA7BA3"/>
    <w:rsid w:val="00DA7C2A"/>
    <w:rsid w:val="00DA7C99"/>
    <w:rsid w:val="00DA7DF3"/>
    <w:rsid w:val="00DA7EA7"/>
    <w:rsid w:val="00DA7F18"/>
    <w:rsid w:val="00DA7F31"/>
    <w:rsid w:val="00DA7F34"/>
    <w:rsid w:val="00DB0028"/>
    <w:rsid w:val="00DB002A"/>
    <w:rsid w:val="00DB005C"/>
    <w:rsid w:val="00DB007C"/>
    <w:rsid w:val="00DB00E2"/>
    <w:rsid w:val="00DB019C"/>
    <w:rsid w:val="00DB0211"/>
    <w:rsid w:val="00DB0259"/>
    <w:rsid w:val="00DB02E1"/>
    <w:rsid w:val="00DB02EA"/>
    <w:rsid w:val="00DB051F"/>
    <w:rsid w:val="00DB0592"/>
    <w:rsid w:val="00DB05A7"/>
    <w:rsid w:val="00DB05AC"/>
    <w:rsid w:val="00DB064E"/>
    <w:rsid w:val="00DB0678"/>
    <w:rsid w:val="00DB07FF"/>
    <w:rsid w:val="00DB0801"/>
    <w:rsid w:val="00DB0865"/>
    <w:rsid w:val="00DB08D5"/>
    <w:rsid w:val="00DB09C5"/>
    <w:rsid w:val="00DB0A03"/>
    <w:rsid w:val="00DB0A05"/>
    <w:rsid w:val="00DB0A19"/>
    <w:rsid w:val="00DB0A40"/>
    <w:rsid w:val="00DB0A61"/>
    <w:rsid w:val="00DB0B88"/>
    <w:rsid w:val="00DB0BA6"/>
    <w:rsid w:val="00DB0C35"/>
    <w:rsid w:val="00DB0C66"/>
    <w:rsid w:val="00DB0CA0"/>
    <w:rsid w:val="00DB0D43"/>
    <w:rsid w:val="00DB0EAC"/>
    <w:rsid w:val="00DB0EC7"/>
    <w:rsid w:val="00DB0F36"/>
    <w:rsid w:val="00DB0F47"/>
    <w:rsid w:val="00DB0F95"/>
    <w:rsid w:val="00DB0F9F"/>
    <w:rsid w:val="00DB0FF4"/>
    <w:rsid w:val="00DB100C"/>
    <w:rsid w:val="00DB1015"/>
    <w:rsid w:val="00DB1057"/>
    <w:rsid w:val="00DB10AD"/>
    <w:rsid w:val="00DB113D"/>
    <w:rsid w:val="00DB113E"/>
    <w:rsid w:val="00DB116D"/>
    <w:rsid w:val="00DB12C3"/>
    <w:rsid w:val="00DB13B3"/>
    <w:rsid w:val="00DB13FF"/>
    <w:rsid w:val="00DB1467"/>
    <w:rsid w:val="00DB14C0"/>
    <w:rsid w:val="00DB1557"/>
    <w:rsid w:val="00DB1582"/>
    <w:rsid w:val="00DB1698"/>
    <w:rsid w:val="00DB16E3"/>
    <w:rsid w:val="00DB16E9"/>
    <w:rsid w:val="00DB17C6"/>
    <w:rsid w:val="00DB17C8"/>
    <w:rsid w:val="00DB18AD"/>
    <w:rsid w:val="00DB18F0"/>
    <w:rsid w:val="00DB18F4"/>
    <w:rsid w:val="00DB1937"/>
    <w:rsid w:val="00DB1B54"/>
    <w:rsid w:val="00DB1B56"/>
    <w:rsid w:val="00DB1B5D"/>
    <w:rsid w:val="00DB1B80"/>
    <w:rsid w:val="00DB1D37"/>
    <w:rsid w:val="00DB1D51"/>
    <w:rsid w:val="00DB1D93"/>
    <w:rsid w:val="00DB1DFC"/>
    <w:rsid w:val="00DB1EDE"/>
    <w:rsid w:val="00DB1F48"/>
    <w:rsid w:val="00DB1F4B"/>
    <w:rsid w:val="00DB1FB6"/>
    <w:rsid w:val="00DB203E"/>
    <w:rsid w:val="00DB2095"/>
    <w:rsid w:val="00DB2147"/>
    <w:rsid w:val="00DB217D"/>
    <w:rsid w:val="00DB21CA"/>
    <w:rsid w:val="00DB21CF"/>
    <w:rsid w:val="00DB2217"/>
    <w:rsid w:val="00DB22E7"/>
    <w:rsid w:val="00DB24A1"/>
    <w:rsid w:val="00DB24C1"/>
    <w:rsid w:val="00DB24D0"/>
    <w:rsid w:val="00DB267B"/>
    <w:rsid w:val="00DB2685"/>
    <w:rsid w:val="00DB26F3"/>
    <w:rsid w:val="00DB2728"/>
    <w:rsid w:val="00DB2737"/>
    <w:rsid w:val="00DB2738"/>
    <w:rsid w:val="00DB27AE"/>
    <w:rsid w:val="00DB27CA"/>
    <w:rsid w:val="00DB28A5"/>
    <w:rsid w:val="00DB28D7"/>
    <w:rsid w:val="00DB293E"/>
    <w:rsid w:val="00DB297E"/>
    <w:rsid w:val="00DB29EC"/>
    <w:rsid w:val="00DB2A8E"/>
    <w:rsid w:val="00DB2A9C"/>
    <w:rsid w:val="00DB2AA9"/>
    <w:rsid w:val="00DB2B07"/>
    <w:rsid w:val="00DB2B0B"/>
    <w:rsid w:val="00DB2C3F"/>
    <w:rsid w:val="00DB2C58"/>
    <w:rsid w:val="00DB2C89"/>
    <w:rsid w:val="00DB2DF9"/>
    <w:rsid w:val="00DB2E4D"/>
    <w:rsid w:val="00DB2E69"/>
    <w:rsid w:val="00DB2EFF"/>
    <w:rsid w:val="00DB2F16"/>
    <w:rsid w:val="00DB2F59"/>
    <w:rsid w:val="00DB2FBF"/>
    <w:rsid w:val="00DB30A5"/>
    <w:rsid w:val="00DB30E3"/>
    <w:rsid w:val="00DB30F7"/>
    <w:rsid w:val="00DB3103"/>
    <w:rsid w:val="00DB3105"/>
    <w:rsid w:val="00DB3106"/>
    <w:rsid w:val="00DB311B"/>
    <w:rsid w:val="00DB3148"/>
    <w:rsid w:val="00DB3282"/>
    <w:rsid w:val="00DB32D6"/>
    <w:rsid w:val="00DB332E"/>
    <w:rsid w:val="00DB33CC"/>
    <w:rsid w:val="00DB3519"/>
    <w:rsid w:val="00DB357B"/>
    <w:rsid w:val="00DB3590"/>
    <w:rsid w:val="00DB35CD"/>
    <w:rsid w:val="00DB3641"/>
    <w:rsid w:val="00DB3656"/>
    <w:rsid w:val="00DB3680"/>
    <w:rsid w:val="00DB36B9"/>
    <w:rsid w:val="00DB3724"/>
    <w:rsid w:val="00DB37B2"/>
    <w:rsid w:val="00DB387E"/>
    <w:rsid w:val="00DB389C"/>
    <w:rsid w:val="00DB3932"/>
    <w:rsid w:val="00DB39A4"/>
    <w:rsid w:val="00DB39C3"/>
    <w:rsid w:val="00DB39CB"/>
    <w:rsid w:val="00DB3A16"/>
    <w:rsid w:val="00DB3A2E"/>
    <w:rsid w:val="00DB3A60"/>
    <w:rsid w:val="00DB3B8B"/>
    <w:rsid w:val="00DB3D7E"/>
    <w:rsid w:val="00DB3DCD"/>
    <w:rsid w:val="00DB3DD2"/>
    <w:rsid w:val="00DB3DF1"/>
    <w:rsid w:val="00DB3F3E"/>
    <w:rsid w:val="00DB3FFA"/>
    <w:rsid w:val="00DB4017"/>
    <w:rsid w:val="00DB404D"/>
    <w:rsid w:val="00DB4178"/>
    <w:rsid w:val="00DB422C"/>
    <w:rsid w:val="00DB4232"/>
    <w:rsid w:val="00DB4242"/>
    <w:rsid w:val="00DB432A"/>
    <w:rsid w:val="00DB4352"/>
    <w:rsid w:val="00DB4395"/>
    <w:rsid w:val="00DB43A2"/>
    <w:rsid w:val="00DB44CD"/>
    <w:rsid w:val="00DB44E3"/>
    <w:rsid w:val="00DB4549"/>
    <w:rsid w:val="00DB473A"/>
    <w:rsid w:val="00DB477D"/>
    <w:rsid w:val="00DB47AC"/>
    <w:rsid w:val="00DB48CD"/>
    <w:rsid w:val="00DB49F5"/>
    <w:rsid w:val="00DB4A19"/>
    <w:rsid w:val="00DB4A3A"/>
    <w:rsid w:val="00DB4A82"/>
    <w:rsid w:val="00DB4AA1"/>
    <w:rsid w:val="00DB4B9A"/>
    <w:rsid w:val="00DB4C7C"/>
    <w:rsid w:val="00DB4C7F"/>
    <w:rsid w:val="00DB4DB5"/>
    <w:rsid w:val="00DB4E32"/>
    <w:rsid w:val="00DB4EDD"/>
    <w:rsid w:val="00DB4F27"/>
    <w:rsid w:val="00DB4FDA"/>
    <w:rsid w:val="00DB519D"/>
    <w:rsid w:val="00DB523F"/>
    <w:rsid w:val="00DB52D7"/>
    <w:rsid w:val="00DB5363"/>
    <w:rsid w:val="00DB54D8"/>
    <w:rsid w:val="00DB5503"/>
    <w:rsid w:val="00DB550E"/>
    <w:rsid w:val="00DB551E"/>
    <w:rsid w:val="00DB5537"/>
    <w:rsid w:val="00DB55B5"/>
    <w:rsid w:val="00DB560D"/>
    <w:rsid w:val="00DB5646"/>
    <w:rsid w:val="00DB56A6"/>
    <w:rsid w:val="00DB5790"/>
    <w:rsid w:val="00DB5843"/>
    <w:rsid w:val="00DB585E"/>
    <w:rsid w:val="00DB58C8"/>
    <w:rsid w:val="00DB58E4"/>
    <w:rsid w:val="00DB59A6"/>
    <w:rsid w:val="00DB59F2"/>
    <w:rsid w:val="00DB5A09"/>
    <w:rsid w:val="00DB5AAC"/>
    <w:rsid w:val="00DB5AAD"/>
    <w:rsid w:val="00DB5AE1"/>
    <w:rsid w:val="00DB5B68"/>
    <w:rsid w:val="00DB5C54"/>
    <w:rsid w:val="00DB5D49"/>
    <w:rsid w:val="00DB5DB7"/>
    <w:rsid w:val="00DB5DDA"/>
    <w:rsid w:val="00DB5E58"/>
    <w:rsid w:val="00DB5E73"/>
    <w:rsid w:val="00DB5E8F"/>
    <w:rsid w:val="00DB5E9E"/>
    <w:rsid w:val="00DB601C"/>
    <w:rsid w:val="00DB6047"/>
    <w:rsid w:val="00DB6077"/>
    <w:rsid w:val="00DB6122"/>
    <w:rsid w:val="00DB612B"/>
    <w:rsid w:val="00DB6162"/>
    <w:rsid w:val="00DB61BF"/>
    <w:rsid w:val="00DB61E3"/>
    <w:rsid w:val="00DB6333"/>
    <w:rsid w:val="00DB64B9"/>
    <w:rsid w:val="00DB656D"/>
    <w:rsid w:val="00DB656F"/>
    <w:rsid w:val="00DB6570"/>
    <w:rsid w:val="00DB660F"/>
    <w:rsid w:val="00DB663B"/>
    <w:rsid w:val="00DB66EB"/>
    <w:rsid w:val="00DB6785"/>
    <w:rsid w:val="00DB6790"/>
    <w:rsid w:val="00DB67C5"/>
    <w:rsid w:val="00DB681D"/>
    <w:rsid w:val="00DB688B"/>
    <w:rsid w:val="00DB68E3"/>
    <w:rsid w:val="00DB6905"/>
    <w:rsid w:val="00DB695C"/>
    <w:rsid w:val="00DB6B5C"/>
    <w:rsid w:val="00DB6B8D"/>
    <w:rsid w:val="00DB6BBA"/>
    <w:rsid w:val="00DB6C0E"/>
    <w:rsid w:val="00DB6CB9"/>
    <w:rsid w:val="00DB6D06"/>
    <w:rsid w:val="00DB6DB3"/>
    <w:rsid w:val="00DB6DDC"/>
    <w:rsid w:val="00DB6E8B"/>
    <w:rsid w:val="00DB6F04"/>
    <w:rsid w:val="00DB6FF9"/>
    <w:rsid w:val="00DB7007"/>
    <w:rsid w:val="00DB7128"/>
    <w:rsid w:val="00DB7131"/>
    <w:rsid w:val="00DB718B"/>
    <w:rsid w:val="00DB719F"/>
    <w:rsid w:val="00DB71FA"/>
    <w:rsid w:val="00DB7255"/>
    <w:rsid w:val="00DB7269"/>
    <w:rsid w:val="00DB72E8"/>
    <w:rsid w:val="00DB734D"/>
    <w:rsid w:val="00DB7351"/>
    <w:rsid w:val="00DB73AE"/>
    <w:rsid w:val="00DB7408"/>
    <w:rsid w:val="00DB7418"/>
    <w:rsid w:val="00DB753C"/>
    <w:rsid w:val="00DB755B"/>
    <w:rsid w:val="00DB76AA"/>
    <w:rsid w:val="00DB76AD"/>
    <w:rsid w:val="00DB76C2"/>
    <w:rsid w:val="00DB76EF"/>
    <w:rsid w:val="00DB7778"/>
    <w:rsid w:val="00DB778D"/>
    <w:rsid w:val="00DB77B3"/>
    <w:rsid w:val="00DB77BE"/>
    <w:rsid w:val="00DB7802"/>
    <w:rsid w:val="00DB7815"/>
    <w:rsid w:val="00DB787E"/>
    <w:rsid w:val="00DB7882"/>
    <w:rsid w:val="00DB7974"/>
    <w:rsid w:val="00DB798E"/>
    <w:rsid w:val="00DB7BE3"/>
    <w:rsid w:val="00DB7C19"/>
    <w:rsid w:val="00DB7C40"/>
    <w:rsid w:val="00DB7CBB"/>
    <w:rsid w:val="00DB7D06"/>
    <w:rsid w:val="00DB7D32"/>
    <w:rsid w:val="00DB7D6A"/>
    <w:rsid w:val="00DB7D7D"/>
    <w:rsid w:val="00DB7D97"/>
    <w:rsid w:val="00DB7DCB"/>
    <w:rsid w:val="00DB7E29"/>
    <w:rsid w:val="00DB7E54"/>
    <w:rsid w:val="00DB7EB6"/>
    <w:rsid w:val="00DB7EE8"/>
    <w:rsid w:val="00DB7F45"/>
    <w:rsid w:val="00DC00F2"/>
    <w:rsid w:val="00DC0113"/>
    <w:rsid w:val="00DC0173"/>
    <w:rsid w:val="00DC024F"/>
    <w:rsid w:val="00DC027F"/>
    <w:rsid w:val="00DC02B3"/>
    <w:rsid w:val="00DC0354"/>
    <w:rsid w:val="00DC041A"/>
    <w:rsid w:val="00DC042D"/>
    <w:rsid w:val="00DC0454"/>
    <w:rsid w:val="00DC0518"/>
    <w:rsid w:val="00DC0688"/>
    <w:rsid w:val="00DC0756"/>
    <w:rsid w:val="00DC0885"/>
    <w:rsid w:val="00DC08DA"/>
    <w:rsid w:val="00DC09AE"/>
    <w:rsid w:val="00DC0A3A"/>
    <w:rsid w:val="00DC0A3E"/>
    <w:rsid w:val="00DC0A44"/>
    <w:rsid w:val="00DC0A50"/>
    <w:rsid w:val="00DC0A92"/>
    <w:rsid w:val="00DC0BAF"/>
    <w:rsid w:val="00DC0BC5"/>
    <w:rsid w:val="00DC0BD9"/>
    <w:rsid w:val="00DC0C14"/>
    <w:rsid w:val="00DC0DE9"/>
    <w:rsid w:val="00DC0DEA"/>
    <w:rsid w:val="00DC0DF6"/>
    <w:rsid w:val="00DC0FCB"/>
    <w:rsid w:val="00DC1074"/>
    <w:rsid w:val="00DC1100"/>
    <w:rsid w:val="00DC1111"/>
    <w:rsid w:val="00DC11BB"/>
    <w:rsid w:val="00DC11EE"/>
    <w:rsid w:val="00DC11F0"/>
    <w:rsid w:val="00DC11F8"/>
    <w:rsid w:val="00DC1266"/>
    <w:rsid w:val="00DC1299"/>
    <w:rsid w:val="00DC12DE"/>
    <w:rsid w:val="00DC1301"/>
    <w:rsid w:val="00DC132B"/>
    <w:rsid w:val="00DC143B"/>
    <w:rsid w:val="00DC148C"/>
    <w:rsid w:val="00DC1528"/>
    <w:rsid w:val="00DC153B"/>
    <w:rsid w:val="00DC158D"/>
    <w:rsid w:val="00DC16EB"/>
    <w:rsid w:val="00DC16EF"/>
    <w:rsid w:val="00DC17F7"/>
    <w:rsid w:val="00DC190E"/>
    <w:rsid w:val="00DC1914"/>
    <w:rsid w:val="00DC195A"/>
    <w:rsid w:val="00DC1AB6"/>
    <w:rsid w:val="00DC1B6E"/>
    <w:rsid w:val="00DC1BD1"/>
    <w:rsid w:val="00DC1C48"/>
    <w:rsid w:val="00DC1C94"/>
    <w:rsid w:val="00DC1D99"/>
    <w:rsid w:val="00DC1E8F"/>
    <w:rsid w:val="00DC1E9B"/>
    <w:rsid w:val="00DC1E9F"/>
    <w:rsid w:val="00DC1EEF"/>
    <w:rsid w:val="00DC1F81"/>
    <w:rsid w:val="00DC1FC4"/>
    <w:rsid w:val="00DC2026"/>
    <w:rsid w:val="00DC20D0"/>
    <w:rsid w:val="00DC20DE"/>
    <w:rsid w:val="00DC20F0"/>
    <w:rsid w:val="00DC2130"/>
    <w:rsid w:val="00DC2149"/>
    <w:rsid w:val="00DC215D"/>
    <w:rsid w:val="00DC21BE"/>
    <w:rsid w:val="00DC21E7"/>
    <w:rsid w:val="00DC21FE"/>
    <w:rsid w:val="00DC2211"/>
    <w:rsid w:val="00DC22AA"/>
    <w:rsid w:val="00DC22CE"/>
    <w:rsid w:val="00DC22E2"/>
    <w:rsid w:val="00DC22E7"/>
    <w:rsid w:val="00DC237C"/>
    <w:rsid w:val="00DC23A2"/>
    <w:rsid w:val="00DC2479"/>
    <w:rsid w:val="00DC2482"/>
    <w:rsid w:val="00DC249A"/>
    <w:rsid w:val="00DC24C0"/>
    <w:rsid w:val="00DC2521"/>
    <w:rsid w:val="00DC258A"/>
    <w:rsid w:val="00DC25E6"/>
    <w:rsid w:val="00DC2675"/>
    <w:rsid w:val="00DC271F"/>
    <w:rsid w:val="00DC2743"/>
    <w:rsid w:val="00DC277E"/>
    <w:rsid w:val="00DC278B"/>
    <w:rsid w:val="00DC280D"/>
    <w:rsid w:val="00DC2810"/>
    <w:rsid w:val="00DC281D"/>
    <w:rsid w:val="00DC2835"/>
    <w:rsid w:val="00DC28F2"/>
    <w:rsid w:val="00DC2905"/>
    <w:rsid w:val="00DC29A4"/>
    <w:rsid w:val="00DC2A36"/>
    <w:rsid w:val="00DC2AAF"/>
    <w:rsid w:val="00DC2B48"/>
    <w:rsid w:val="00DC2B49"/>
    <w:rsid w:val="00DC2C30"/>
    <w:rsid w:val="00DC2C97"/>
    <w:rsid w:val="00DC2CDA"/>
    <w:rsid w:val="00DC2D9B"/>
    <w:rsid w:val="00DC2DD7"/>
    <w:rsid w:val="00DC2E26"/>
    <w:rsid w:val="00DC2EFC"/>
    <w:rsid w:val="00DC2FDD"/>
    <w:rsid w:val="00DC3042"/>
    <w:rsid w:val="00DC30A0"/>
    <w:rsid w:val="00DC30F0"/>
    <w:rsid w:val="00DC3106"/>
    <w:rsid w:val="00DC3156"/>
    <w:rsid w:val="00DC3238"/>
    <w:rsid w:val="00DC323F"/>
    <w:rsid w:val="00DC3273"/>
    <w:rsid w:val="00DC3288"/>
    <w:rsid w:val="00DC3293"/>
    <w:rsid w:val="00DC3296"/>
    <w:rsid w:val="00DC32CE"/>
    <w:rsid w:val="00DC3378"/>
    <w:rsid w:val="00DC3391"/>
    <w:rsid w:val="00DC33FF"/>
    <w:rsid w:val="00DC35B0"/>
    <w:rsid w:val="00DC35D5"/>
    <w:rsid w:val="00DC35ED"/>
    <w:rsid w:val="00DC36B1"/>
    <w:rsid w:val="00DC36C5"/>
    <w:rsid w:val="00DC3758"/>
    <w:rsid w:val="00DC387C"/>
    <w:rsid w:val="00DC38F2"/>
    <w:rsid w:val="00DC3962"/>
    <w:rsid w:val="00DC39AF"/>
    <w:rsid w:val="00DC3A28"/>
    <w:rsid w:val="00DC3A51"/>
    <w:rsid w:val="00DC3B30"/>
    <w:rsid w:val="00DC3B7D"/>
    <w:rsid w:val="00DC3BB2"/>
    <w:rsid w:val="00DC3BBD"/>
    <w:rsid w:val="00DC3BE4"/>
    <w:rsid w:val="00DC3C21"/>
    <w:rsid w:val="00DC3CF4"/>
    <w:rsid w:val="00DC3DCA"/>
    <w:rsid w:val="00DC3E7C"/>
    <w:rsid w:val="00DC4078"/>
    <w:rsid w:val="00DC419B"/>
    <w:rsid w:val="00DC4215"/>
    <w:rsid w:val="00DC428B"/>
    <w:rsid w:val="00DC42B0"/>
    <w:rsid w:val="00DC42D6"/>
    <w:rsid w:val="00DC4420"/>
    <w:rsid w:val="00DC445E"/>
    <w:rsid w:val="00DC4470"/>
    <w:rsid w:val="00DC44E1"/>
    <w:rsid w:val="00DC44F3"/>
    <w:rsid w:val="00DC4580"/>
    <w:rsid w:val="00DC45BF"/>
    <w:rsid w:val="00DC4630"/>
    <w:rsid w:val="00DC4651"/>
    <w:rsid w:val="00DC46C0"/>
    <w:rsid w:val="00DC473A"/>
    <w:rsid w:val="00DC47C8"/>
    <w:rsid w:val="00DC4859"/>
    <w:rsid w:val="00DC48C4"/>
    <w:rsid w:val="00DC48E1"/>
    <w:rsid w:val="00DC4976"/>
    <w:rsid w:val="00DC49D1"/>
    <w:rsid w:val="00DC4A50"/>
    <w:rsid w:val="00DC4A7D"/>
    <w:rsid w:val="00DC4AA1"/>
    <w:rsid w:val="00DC4AD3"/>
    <w:rsid w:val="00DC4AEB"/>
    <w:rsid w:val="00DC4B5A"/>
    <w:rsid w:val="00DC4B7B"/>
    <w:rsid w:val="00DC4BBE"/>
    <w:rsid w:val="00DC4BC4"/>
    <w:rsid w:val="00DC4BE1"/>
    <w:rsid w:val="00DC4C1B"/>
    <w:rsid w:val="00DC4C63"/>
    <w:rsid w:val="00DC4CF1"/>
    <w:rsid w:val="00DC4D06"/>
    <w:rsid w:val="00DC4D68"/>
    <w:rsid w:val="00DC4DD6"/>
    <w:rsid w:val="00DC4E56"/>
    <w:rsid w:val="00DC4EE9"/>
    <w:rsid w:val="00DC4FC5"/>
    <w:rsid w:val="00DC5032"/>
    <w:rsid w:val="00DC5056"/>
    <w:rsid w:val="00DC50B7"/>
    <w:rsid w:val="00DC50E0"/>
    <w:rsid w:val="00DC50E7"/>
    <w:rsid w:val="00DC511E"/>
    <w:rsid w:val="00DC5267"/>
    <w:rsid w:val="00DC52E6"/>
    <w:rsid w:val="00DC531C"/>
    <w:rsid w:val="00DC53DC"/>
    <w:rsid w:val="00DC54F7"/>
    <w:rsid w:val="00DC5522"/>
    <w:rsid w:val="00DC56AD"/>
    <w:rsid w:val="00DC56D4"/>
    <w:rsid w:val="00DC5753"/>
    <w:rsid w:val="00DC578E"/>
    <w:rsid w:val="00DC57C3"/>
    <w:rsid w:val="00DC581E"/>
    <w:rsid w:val="00DC5866"/>
    <w:rsid w:val="00DC5868"/>
    <w:rsid w:val="00DC58D0"/>
    <w:rsid w:val="00DC58D2"/>
    <w:rsid w:val="00DC5919"/>
    <w:rsid w:val="00DC5954"/>
    <w:rsid w:val="00DC59F6"/>
    <w:rsid w:val="00DC5A5B"/>
    <w:rsid w:val="00DC5A68"/>
    <w:rsid w:val="00DC5A6F"/>
    <w:rsid w:val="00DC5AAD"/>
    <w:rsid w:val="00DC5B58"/>
    <w:rsid w:val="00DC5C16"/>
    <w:rsid w:val="00DC5C42"/>
    <w:rsid w:val="00DC5CC3"/>
    <w:rsid w:val="00DC5CCF"/>
    <w:rsid w:val="00DC5D10"/>
    <w:rsid w:val="00DC5D3B"/>
    <w:rsid w:val="00DC5DED"/>
    <w:rsid w:val="00DC5DF7"/>
    <w:rsid w:val="00DC5DFC"/>
    <w:rsid w:val="00DC5E1C"/>
    <w:rsid w:val="00DC5E56"/>
    <w:rsid w:val="00DC5ED7"/>
    <w:rsid w:val="00DC6030"/>
    <w:rsid w:val="00DC6110"/>
    <w:rsid w:val="00DC6114"/>
    <w:rsid w:val="00DC61B9"/>
    <w:rsid w:val="00DC61D8"/>
    <w:rsid w:val="00DC625A"/>
    <w:rsid w:val="00DC6337"/>
    <w:rsid w:val="00DC637D"/>
    <w:rsid w:val="00DC65ED"/>
    <w:rsid w:val="00DC6602"/>
    <w:rsid w:val="00DC674C"/>
    <w:rsid w:val="00DC6789"/>
    <w:rsid w:val="00DC679B"/>
    <w:rsid w:val="00DC6856"/>
    <w:rsid w:val="00DC688D"/>
    <w:rsid w:val="00DC69D5"/>
    <w:rsid w:val="00DC6A1F"/>
    <w:rsid w:val="00DC6AB0"/>
    <w:rsid w:val="00DC6B1B"/>
    <w:rsid w:val="00DC6BA4"/>
    <w:rsid w:val="00DC6CC1"/>
    <w:rsid w:val="00DC6D32"/>
    <w:rsid w:val="00DC6D4E"/>
    <w:rsid w:val="00DC6D68"/>
    <w:rsid w:val="00DC6D70"/>
    <w:rsid w:val="00DC6D7B"/>
    <w:rsid w:val="00DC6D93"/>
    <w:rsid w:val="00DC6DD8"/>
    <w:rsid w:val="00DC6E1F"/>
    <w:rsid w:val="00DC6E82"/>
    <w:rsid w:val="00DC7039"/>
    <w:rsid w:val="00DC70E1"/>
    <w:rsid w:val="00DC70F3"/>
    <w:rsid w:val="00DC7117"/>
    <w:rsid w:val="00DC7257"/>
    <w:rsid w:val="00DC732F"/>
    <w:rsid w:val="00DC7365"/>
    <w:rsid w:val="00DC74B4"/>
    <w:rsid w:val="00DC753A"/>
    <w:rsid w:val="00DC75B0"/>
    <w:rsid w:val="00DC7627"/>
    <w:rsid w:val="00DC7660"/>
    <w:rsid w:val="00DC7816"/>
    <w:rsid w:val="00DC7841"/>
    <w:rsid w:val="00DC79B2"/>
    <w:rsid w:val="00DC79ED"/>
    <w:rsid w:val="00DC7AA3"/>
    <w:rsid w:val="00DC7B57"/>
    <w:rsid w:val="00DC7C2F"/>
    <w:rsid w:val="00DC7D0A"/>
    <w:rsid w:val="00DC7D58"/>
    <w:rsid w:val="00DC7DC7"/>
    <w:rsid w:val="00DC7DD1"/>
    <w:rsid w:val="00DC7DF3"/>
    <w:rsid w:val="00DD007B"/>
    <w:rsid w:val="00DD00F2"/>
    <w:rsid w:val="00DD01FF"/>
    <w:rsid w:val="00DD0202"/>
    <w:rsid w:val="00DD020A"/>
    <w:rsid w:val="00DD0306"/>
    <w:rsid w:val="00DD0361"/>
    <w:rsid w:val="00DD0443"/>
    <w:rsid w:val="00DD0464"/>
    <w:rsid w:val="00DD0470"/>
    <w:rsid w:val="00DD04ED"/>
    <w:rsid w:val="00DD058F"/>
    <w:rsid w:val="00DD05C3"/>
    <w:rsid w:val="00DD05CE"/>
    <w:rsid w:val="00DD05D3"/>
    <w:rsid w:val="00DD061B"/>
    <w:rsid w:val="00DD0682"/>
    <w:rsid w:val="00DD069E"/>
    <w:rsid w:val="00DD071F"/>
    <w:rsid w:val="00DD07C8"/>
    <w:rsid w:val="00DD086C"/>
    <w:rsid w:val="00DD089E"/>
    <w:rsid w:val="00DD08C5"/>
    <w:rsid w:val="00DD0A0C"/>
    <w:rsid w:val="00DD0A24"/>
    <w:rsid w:val="00DD0A67"/>
    <w:rsid w:val="00DD0B0B"/>
    <w:rsid w:val="00DD0B89"/>
    <w:rsid w:val="00DD0BCA"/>
    <w:rsid w:val="00DD0C24"/>
    <w:rsid w:val="00DD0E1D"/>
    <w:rsid w:val="00DD0E42"/>
    <w:rsid w:val="00DD0E66"/>
    <w:rsid w:val="00DD0EB8"/>
    <w:rsid w:val="00DD1079"/>
    <w:rsid w:val="00DD10BA"/>
    <w:rsid w:val="00DD11A2"/>
    <w:rsid w:val="00DD11EA"/>
    <w:rsid w:val="00DD1292"/>
    <w:rsid w:val="00DD129E"/>
    <w:rsid w:val="00DD12C0"/>
    <w:rsid w:val="00DD12DA"/>
    <w:rsid w:val="00DD1456"/>
    <w:rsid w:val="00DD147C"/>
    <w:rsid w:val="00DD157D"/>
    <w:rsid w:val="00DD1592"/>
    <w:rsid w:val="00DD15EF"/>
    <w:rsid w:val="00DD1604"/>
    <w:rsid w:val="00DD163D"/>
    <w:rsid w:val="00DD1656"/>
    <w:rsid w:val="00DD1697"/>
    <w:rsid w:val="00DD16A4"/>
    <w:rsid w:val="00DD1754"/>
    <w:rsid w:val="00DD177B"/>
    <w:rsid w:val="00DD1883"/>
    <w:rsid w:val="00DD18EB"/>
    <w:rsid w:val="00DD1961"/>
    <w:rsid w:val="00DD196B"/>
    <w:rsid w:val="00DD1997"/>
    <w:rsid w:val="00DD1A4D"/>
    <w:rsid w:val="00DD1A7B"/>
    <w:rsid w:val="00DD1ACE"/>
    <w:rsid w:val="00DD1CEA"/>
    <w:rsid w:val="00DD1D8F"/>
    <w:rsid w:val="00DD1D92"/>
    <w:rsid w:val="00DD1DA0"/>
    <w:rsid w:val="00DD1DA6"/>
    <w:rsid w:val="00DD1DD1"/>
    <w:rsid w:val="00DD204F"/>
    <w:rsid w:val="00DD20A0"/>
    <w:rsid w:val="00DD2100"/>
    <w:rsid w:val="00DD2124"/>
    <w:rsid w:val="00DD2130"/>
    <w:rsid w:val="00DD2156"/>
    <w:rsid w:val="00DD216A"/>
    <w:rsid w:val="00DD21A0"/>
    <w:rsid w:val="00DD221A"/>
    <w:rsid w:val="00DD224C"/>
    <w:rsid w:val="00DD2286"/>
    <w:rsid w:val="00DD228F"/>
    <w:rsid w:val="00DD22A5"/>
    <w:rsid w:val="00DD22D0"/>
    <w:rsid w:val="00DD245C"/>
    <w:rsid w:val="00DD249C"/>
    <w:rsid w:val="00DD24CB"/>
    <w:rsid w:val="00DD24CD"/>
    <w:rsid w:val="00DD251F"/>
    <w:rsid w:val="00DD252C"/>
    <w:rsid w:val="00DD261A"/>
    <w:rsid w:val="00DD27D3"/>
    <w:rsid w:val="00DD282E"/>
    <w:rsid w:val="00DD284B"/>
    <w:rsid w:val="00DD2906"/>
    <w:rsid w:val="00DD297C"/>
    <w:rsid w:val="00DD2A79"/>
    <w:rsid w:val="00DD2BBC"/>
    <w:rsid w:val="00DD2BEE"/>
    <w:rsid w:val="00DD2C3E"/>
    <w:rsid w:val="00DD2D1E"/>
    <w:rsid w:val="00DD2D70"/>
    <w:rsid w:val="00DD2DE4"/>
    <w:rsid w:val="00DD2DF8"/>
    <w:rsid w:val="00DD2E64"/>
    <w:rsid w:val="00DD2FA1"/>
    <w:rsid w:val="00DD2FA3"/>
    <w:rsid w:val="00DD2FDB"/>
    <w:rsid w:val="00DD3020"/>
    <w:rsid w:val="00DD3081"/>
    <w:rsid w:val="00DD3270"/>
    <w:rsid w:val="00DD3390"/>
    <w:rsid w:val="00DD33A4"/>
    <w:rsid w:val="00DD33A5"/>
    <w:rsid w:val="00DD33C2"/>
    <w:rsid w:val="00DD3550"/>
    <w:rsid w:val="00DD35BD"/>
    <w:rsid w:val="00DD3738"/>
    <w:rsid w:val="00DD374E"/>
    <w:rsid w:val="00DD3969"/>
    <w:rsid w:val="00DD39BB"/>
    <w:rsid w:val="00DD3B3B"/>
    <w:rsid w:val="00DD3B9D"/>
    <w:rsid w:val="00DD3BA6"/>
    <w:rsid w:val="00DD3E19"/>
    <w:rsid w:val="00DD3E7D"/>
    <w:rsid w:val="00DD3EEC"/>
    <w:rsid w:val="00DD3F90"/>
    <w:rsid w:val="00DD3FA7"/>
    <w:rsid w:val="00DD4010"/>
    <w:rsid w:val="00DD4258"/>
    <w:rsid w:val="00DD42C6"/>
    <w:rsid w:val="00DD430B"/>
    <w:rsid w:val="00DD4337"/>
    <w:rsid w:val="00DD4405"/>
    <w:rsid w:val="00DD441E"/>
    <w:rsid w:val="00DD4441"/>
    <w:rsid w:val="00DD44D5"/>
    <w:rsid w:val="00DD44D7"/>
    <w:rsid w:val="00DD4678"/>
    <w:rsid w:val="00DD46D3"/>
    <w:rsid w:val="00DD47CD"/>
    <w:rsid w:val="00DD483B"/>
    <w:rsid w:val="00DD485B"/>
    <w:rsid w:val="00DD4875"/>
    <w:rsid w:val="00DD49C7"/>
    <w:rsid w:val="00DD4A04"/>
    <w:rsid w:val="00DD4A8C"/>
    <w:rsid w:val="00DD4ADB"/>
    <w:rsid w:val="00DD4B2A"/>
    <w:rsid w:val="00DD4BB3"/>
    <w:rsid w:val="00DD4C5E"/>
    <w:rsid w:val="00DD4C84"/>
    <w:rsid w:val="00DD4CEF"/>
    <w:rsid w:val="00DD4D96"/>
    <w:rsid w:val="00DD4DDE"/>
    <w:rsid w:val="00DD4DF1"/>
    <w:rsid w:val="00DD4E3D"/>
    <w:rsid w:val="00DD4EAB"/>
    <w:rsid w:val="00DD4EAF"/>
    <w:rsid w:val="00DD4F0C"/>
    <w:rsid w:val="00DD4F14"/>
    <w:rsid w:val="00DD4F6E"/>
    <w:rsid w:val="00DD4FE9"/>
    <w:rsid w:val="00DD5011"/>
    <w:rsid w:val="00DD506E"/>
    <w:rsid w:val="00DD50E4"/>
    <w:rsid w:val="00DD50F2"/>
    <w:rsid w:val="00DD5226"/>
    <w:rsid w:val="00DD5295"/>
    <w:rsid w:val="00DD535F"/>
    <w:rsid w:val="00DD538A"/>
    <w:rsid w:val="00DD5401"/>
    <w:rsid w:val="00DD548E"/>
    <w:rsid w:val="00DD552F"/>
    <w:rsid w:val="00DD5542"/>
    <w:rsid w:val="00DD556D"/>
    <w:rsid w:val="00DD5700"/>
    <w:rsid w:val="00DD5705"/>
    <w:rsid w:val="00DD5755"/>
    <w:rsid w:val="00DD58B3"/>
    <w:rsid w:val="00DD58DF"/>
    <w:rsid w:val="00DD58FC"/>
    <w:rsid w:val="00DD591D"/>
    <w:rsid w:val="00DD5931"/>
    <w:rsid w:val="00DD596D"/>
    <w:rsid w:val="00DD5983"/>
    <w:rsid w:val="00DD59C6"/>
    <w:rsid w:val="00DD59D1"/>
    <w:rsid w:val="00DD5AB6"/>
    <w:rsid w:val="00DD5B9C"/>
    <w:rsid w:val="00DD5BB2"/>
    <w:rsid w:val="00DD5C71"/>
    <w:rsid w:val="00DD5CF6"/>
    <w:rsid w:val="00DD5D76"/>
    <w:rsid w:val="00DD5DA3"/>
    <w:rsid w:val="00DD5DE0"/>
    <w:rsid w:val="00DD5E98"/>
    <w:rsid w:val="00DD5F2E"/>
    <w:rsid w:val="00DD5FBF"/>
    <w:rsid w:val="00DD6066"/>
    <w:rsid w:val="00DD60E2"/>
    <w:rsid w:val="00DD6158"/>
    <w:rsid w:val="00DD6161"/>
    <w:rsid w:val="00DD61F3"/>
    <w:rsid w:val="00DD6246"/>
    <w:rsid w:val="00DD6318"/>
    <w:rsid w:val="00DD6465"/>
    <w:rsid w:val="00DD64CE"/>
    <w:rsid w:val="00DD659A"/>
    <w:rsid w:val="00DD65F9"/>
    <w:rsid w:val="00DD6656"/>
    <w:rsid w:val="00DD673B"/>
    <w:rsid w:val="00DD6798"/>
    <w:rsid w:val="00DD6815"/>
    <w:rsid w:val="00DD68C5"/>
    <w:rsid w:val="00DD695A"/>
    <w:rsid w:val="00DD6975"/>
    <w:rsid w:val="00DD6A12"/>
    <w:rsid w:val="00DD6A37"/>
    <w:rsid w:val="00DD6B1F"/>
    <w:rsid w:val="00DD6B81"/>
    <w:rsid w:val="00DD6C10"/>
    <w:rsid w:val="00DD6D4F"/>
    <w:rsid w:val="00DD6ED4"/>
    <w:rsid w:val="00DD6F15"/>
    <w:rsid w:val="00DD6FA7"/>
    <w:rsid w:val="00DD6FB7"/>
    <w:rsid w:val="00DD6FF0"/>
    <w:rsid w:val="00DD700F"/>
    <w:rsid w:val="00DD70D9"/>
    <w:rsid w:val="00DD718E"/>
    <w:rsid w:val="00DD71F3"/>
    <w:rsid w:val="00DD7270"/>
    <w:rsid w:val="00DD7399"/>
    <w:rsid w:val="00DD73CA"/>
    <w:rsid w:val="00DD7504"/>
    <w:rsid w:val="00DD75EA"/>
    <w:rsid w:val="00DD76C0"/>
    <w:rsid w:val="00DD76D8"/>
    <w:rsid w:val="00DD7760"/>
    <w:rsid w:val="00DD7812"/>
    <w:rsid w:val="00DD7821"/>
    <w:rsid w:val="00DD7903"/>
    <w:rsid w:val="00DD7A0B"/>
    <w:rsid w:val="00DD7A34"/>
    <w:rsid w:val="00DD7A3E"/>
    <w:rsid w:val="00DD7AB2"/>
    <w:rsid w:val="00DD7B30"/>
    <w:rsid w:val="00DD7B66"/>
    <w:rsid w:val="00DD7C3B"/>
    <w:rsid w:val="00DD7DA4"/>
    <w:rsid w:val="00DD7E04"/>
    <w:rsid w:val="00DD7E30"/>
    <w:rsid w:val="00DD7E9B"/>
    <w:rsid w:val="00DD7EC5"/>
    <w:rsid w:val="00DD7EF2"/>
    <w:rsid w:val="00DD7F26"/>
    <w:rsid w:val="00DD7F50"/>
    <w:rsid w:val="00DD7F61"/>
    <w:rsid w:val="00DD7FD4"/>
    <w:rsid w:val="00DE00D1"/>
    <w:rsid w:val="00DE0212"/>
    <w:rsid w:val="00DE025D"/>
    <w:rsid w:val="00DE032F"/>
    <w:rsid w:val="00DE0330"/>
    <w:rsid w:val="00DE0391"/>
    <w:rsid w:val="00DE03D2"/>
    <w:rsid w:val="00DE03E2"/>
    <w:rsid w:val="00DE0420"/>
    <w:rsid w:val="00DE0469"/>
    <w:rsid w:val="00DE051B"/>
    <w:rsid w:val="00DE05CA"/>
    <w:rsid w:val="00DE0676"/>
    <w:rsid w:val="00DE0752"/>
    <w:rsid w:val="00DE0798"/>
    <w:rsid w:val="00DE082B"/>
    <w:rsid w:val="00DE08FA"/>
    <w:rsid w:val="00DE08FE"/>
    <w:rsid w:val="00DE0958"/>
    <w:rsid w:val="00DE0A6F"/>
    <w:rsid w:val="00DE0A91"/>
    <w:rsid w:val="00DE0B09"/>
    <w:rsid w:val="00DE0B1C"/>
    <w:rsid w:val="00DE0B3D"/>
    <w:rsid w:val="00DE0B97"/>
    <w:rsid w:val="00DE0C63"/>
    <w:rsid w:val="00DE0CFD"/>
    <w:rsid w:val="00DE0E70"/>
    <w:rsid w:val="00DE0E83"/>
    <w:rsid w:val="00DE0E88"/>
    <w:rsid w:val="00DE0F44"/>
    <w:rsid w:val="00DE0FED"/>
    <w:rsid w:val="00DE1080"/>
    <w:rsid w:val="00DE1089"/>
    <w:rsid w:val="00DE10B7"/>
    <w:rsid w:val="00DE10F6"/>
    <w:rsid w:val="00DE1261"/>
    <w:rsid w:val="00DE12C4"/>
    <w:rsid w:val="00DE12D5"/>
    <w:rsid w:val="00DE1309"/>
    <w:rsid w:val="00DE136F"/>
    <w:rsid w:val="00DE1437"/>
    <w:rsid w:val="00DE144A"/>
    <w:rsid w:val="00DE1452"/>
    <w:rsid w:val="00DE14AE"/>
    <w:rsid w:val="00DE14ED"/>
    <w:rsid w:val="00DE14FD"/>
    <w:rsid w:val="00DE151D"/>
    <w:rsid w:val="00DE1527"/>
    <w:rsid w:val="00DE16E5"/>
    <w:rsid w:val="00DE1718"/>
    <w:rsid w:val="00DE1737"/>
    <w:rsid w:val="00DE1833"/>
    <w:rsid w:val="00DE185E"/>
    <w:rsid w:val="00DE18A7"/>
    <w:rsid w:val="00DE18D2"/>
    <w:rsid w:val="00DE1909"/>
    <w:rsid w:val="00DE1981"/>
    <w:rsid w:val="00DE19CE"/>
    <w:rsid w:val="00DE1A03"/>
    <w:rsid w:val="00DE1AD2"/>
    <w:rsid w:val="00DE1AD7"/>
    <w:rsid w:val="00DE1AF6"/>
    <w:rsid w:val="00DE1B27"/>
    <w:rsid w:val="00DE1C08"/>
    <w:rsid w:val="00DE1D01"/>
    <w:rsid w:val="00DE1D1F"/>
    <w:rsid w:val="00DE1DF9"/>
    <w:rsid w:val="00DE1ECE"/>
    <w:rsid w:val="00DE1F74"/>
    <w:rsid w:val="00DE1FA6"/>
    <w:rsid w:val="00DE20DA"/>
    <w:rsid w:val="00DE2160"/>
    <w:rsid w:val="00DE21A2"/>
    <w:rsid w:val="00DE21ED"/>
    <w:rsid w:val="00DE2291"/>
    <w:rsid w:val="00DE233C"/>
    <w:rsid w:val="00DE237E"/>
    <w:rsid w:val="00DE2462"/>
    <w:rsid w:val="00DE2476"/>
    <w:rsid w:val="00DE24B1"/>
    <w:rsid w:val="00DE2605"/>
    <w:rsid w:val="00DE284D"/>
    <w:rsid w:val="00DE29D9"/>
    <w:rsid w:val="00DE2A3B"/>
    <w:rsid w:val="00DE2B29"/>
    <w:rsid w:val="00DE2BE5"/>
    <w:rsid w:val="00DE2C0D"/>
    <w:rsid w:val="00DE2C8E"/>
    <w:rsid w:val="00DE2D0B"/>
    <w:rsid w:val="00DE2D24"/>
    <w:rsid w:val="00DE2F20"/>
    <w:rsid w:val="00DE3026"/>
    <w:rsid w:val="00DE3087"/>
    <w:rsid w:val="00DE311B"/>
    <w:rsid w:val="00DE31C3"/>
    <w:rsid w:val="00DE31C7"/>
    <w:rsid w:val="00DE32A1"/>
    <w:rsid w:val="00DE336A"/>
    <w:rsid w:val="00DE3432"/>
    <w:rsid w:val="00DE3479"/>
    <w:rsid w:val="00DE3483"/>
    <w:rsid w:val="00DE3589"/>
    <w:rsid w:val="00DE35EE"/>
    <w:rsid w:val="00DE360E"/>
    <w:rsid w:val="00DE3656"/>
    <w:rsid w:val="00DE369F"/>
    <w:rsid w:val="00DE36D4"/>
    <w:rsid w:val="00DE373E"/>
    <w:rsid w:val="00DE3776"/>
    <w:rsid w:val="00DE3790"/>
    <w:rsid w:val="00DE3880"/>
    <w:rsid w:val="00DE398C"/>
    <w:rsid w:val="00DE3B04"/>
    <w:rsid w:val="00DE3B89"/>
    <w:rsid w:val="00DE3C1D"/>
    <w:rsid w:val="00DE3C22"/>
    <w:rsid w:val="00DE3D0C"/>
    <w:rsid w:val="00DE3D37"/>
    <w:rsid w:val="00DE3D45"/>
    <w:rsid w:val="00DE3D9E"/>
    <w:rsid w:val="00DE3E16"/>
    <w:rsid w:val="00DE3EE4"/>
    <w:rsid w:val="00DE3EFC"/>
    <w:rsid w:val="00DE3F90"/>
    <w:rsid w:val="00DE4015"/>
    <w:rsid w:val="00DE4066"/>
    <w:rsid w:val="00DE40EF"/>
    <w:rsid w:val="00DE40FE"/>
    <w:rsid w:val="00DE4132"/>
    <w:rsid w:val="00DE4183"/>
    <w:rsid w:val="00DE4242"/>
    <w:rsid w:val="00DE4252"/>
    <w:rsid w:val="00DE4259"/>
    <w:rsid w:val="00DE42B3"/>
    <w:rsid w:val="00DE43B7"/>
    <w:rsid w:val="00DE43DB"/>
    <w:rsid w:val="00DE4414"/>
    <w:rsid w:val="00DE45AB"/>
    <w:rsid w:val="00DE45FF"/>
    <w:rsid w:val="00DE46A7"/>
    <w:rsid w:val="00DE46E1"/>
    <w:rsid w:val="00DE46FD"/>
    <w:rsid w:val="00DE4729"/>
    <w:rsid w:val="00DE47F0"/>
    <w:rsid w:val="00DE4823"/>
    <w:rsid w:val="00DE488C"/>
    <w:rsid w:val="00DE48A4"/>
    <w:rsid w:val="00DE49FD"/>
    <w:rsid w:val="00DE4BD6"/>
    <w:rsid w:val="00DE4C0D"/>
    <w:rsid w:val="00DE4CB0"/>
    <w:rsid w:val="00DE4CB5"/>
    <w:rsid w:val="00DE4DF3"/>
    <w:rsid w:val="00DE4E45"/>
    <w:rsid w:val="00DE4E74"/>
    <w:rsid w:val="00DE4E85"/>
    <w:rsid w:val="00DE4EB5"/>
    <w:rsid w:val="00DE4F60"/>
    <w:rsid w:val="00DE5091"/>
    <w:rsid w:val="00DE50AE"/>
    <w:rsid w:val="00DE50C8"/>
    <w:rsid w:val="00DE50F6"/>
    <w:rsid w:val="00DE51A1"/>
    <w:rsid w:val="00DE5256"/>
    <w:rsid w:val="00DE52C8"/>
    <w:rsid w:val="00DE54ED"/>
    <w:rsid w:val="00DE55B6"/>
    <w:rsid w:val="00DE55F5"/>
    <w:rsid w:val="00DE56EB"/>
    <w:rsid w:val="00DE5702"/>
    <w:rsid w:val="00DE5728"/>
    <w:rsid w:val="00DE574C"/>
    <w:rsid w:val="00DE577D"/>
    <w:rsid w:val="00DE5787"/>
    <w:rsid w:val="00DE57F3"/>
    <w:rsid w:val="00DE59B9"/>
    <w:rsid w:val="00DE5A15"/>
    <w:rsid w:val="00DE5A49"/>
    <w:rsid w:val="00DE5AA9"/>
    <w:rsid w:val="00DE5ADA"/>
    <w:rsid w:val="00DE5AF6"/>
    <w:rsid w:val="00DE5B66"/>
    <w:rsid w:val="00DE5BB7"/>
    <w:rsid w:val="00DE5CAF"/>
    <w:rsid w:val="00DE5DBE"/>
    <w:rsid w:val="00DE5DCE"/>
    <w:rsid w:val="00DE5E3C"/>
    <w:rsid w:val="00DE5E57"/>
    <w:rsid w:val="00DE5E76"/>
    <w:rsid w:val="00DE5E88"/>
    <w:rsid w:val="00DE5EBD"/>
    <w:rsid w:val="00DE5EF4"/>
    <w:rsid w:val="00DE5F45"/>
    <w:rsid w:val="00DE5F83"/>
    <w:rsid w:val="00DE609E"/>
    <w:rsid w:val="00DE60A0"/>
    <w:rsid w:val="00DE610C"/>
    <w:rsid w:val="00DE612B"/>
    <w:rsid w:val="00DE6162"/>
    <w:rsid w:val="00DE6273"/>
    <w:rsid w:val="00DE62A4"/>
    <w:rsid w:val="00DE62B6"/>
    <w:rsid w:val="00DE634B"/>
    <w:rsid w:val="00DE6364"/>
    <w:rsid w:val="00DE638F"/>
    <w:rsid w:val="00DE63A5"/>
    <w:rsid w:val="00DE63AB"/>
    <w:rsid w:val="00DE63C6"/>
    <w:rsid w:val="00DE642A"/>
    <w:rsid w:val="00DE657F"/>
    <w:rsid w:val="00DE65B4"/>
    <w:rsid w:val="00DE660B"/>
    <w:rsid w:val="00DE66F2"/>
    <w:rsid w:val="00DE67BF"/>
    <w:rsid w:val="00DE67C2"/>
    <w:rsid w:val="00DE68D2"/>
    <w:rsid w:val="00DE68F8"/>
    <w:rsid w:val="00DE6915"/>
    <w:rsid w:val="00DE69EC"/>
    <w:rsid w:val="00DE6A3D"/>
    <w:rsid w:val="00DE6A72"/>
    <w:rsid w:val="00DE6A7D"/>
    <w:rsid w:val="00DE6B5B"/>
    <w:rsid w:val="00DE6BF7"/>
    <w:rsid w:val="00DE6C09"/>
    <w:rsid w:val="00DE6D3A"/>
    <w:rsid w:val="00DE6DE5"/>
    <w:rsid w:val="00DE6EDD"/>
    <w:rsid w:val="00DE6F0F"/>
    <w:rsid w:val="00DE6F69"/>
    <w:rsid w:val="00DE706F"/>
    <w:rsid w:val="00DE707B"/>
    <w:rsid w:val="00DE7109"/>
    <w:rsid w:val="00DE714C"/>
    <w:rsid w:val="00DE7150"/>
    <w:rsid w:val="00DE7283"/>
    <w:rsid w:val="00DE73A6"/>
    <w:rsid w:val="00DE745C"/>
    <w:rsid w:val="00DE74D3"/>
    <w:rsid w:val="00DE74DB"/>
    <w:rsid w:val="00DE751F"/>
    <w:rsid w:val="00DE7586"/>
    <w:rsid w:val="00DE75CA"/>
    <w:rsid w:val="00DE75E5"/>
    <w:rsid w:val="00DE75EE"/>
    <w:rsid w:val="00DE761A"/>
    <w:rsid w:val="00DE7674"/>
    <w:rsid w:val="00DE76DE"/>
    <w:rsid w:val="00DE78AC"/>
    <w:rsid w:val="00DE78CB"/>
    <w:rsid w:val="00DE7999"/>
    <w:rsid w:val="00DE79C8"/>
    <w:rsid w:val="00DE7A88"/>
    <w:rsid w:val="00DE7AAC"/>
    <w:rsid w:val="00DE7B57"/>
    <w:rsid w:val="00DE7B93"/>
    <w:rsid w:val="00DE7C02"/>
    <w:rsid w:val="00DE7C6A"/>
    <w:rsid w:val="00DE7C70"/>
    <w:rsid w:val="00DE7C79"/>
    <w:rsid w:val="00DE7D01"/>
    <w:rsid w:val="00DE7E8E"/>
    <w:rsid w:val="00DE7F1E"/>
    <w:rsid w:val="00DF002B"/>
    <w:rsid w:val="00DF0079"/>
    <w:rsid w:val="00DF00D9"/>
    <w:rsid w:val="00DF00E9"/>
    <w:rsid w:val="00DF00F6"/>
    <w:rsid w:val="00DF0194"/>
    <w:rsid w:val="00DF0212"/>
    <w:rsid w:val="00DF024C"/>
    <w:rsid w:val="00DF026A"/>
    <w:rsid w:val="00DF0319"/>
    <w:rsid w:val="00DF0488"/>
    <w:rsid w:val="00DF04BB"/>
    <w:rsid w:val="00DF05CD"/>
    <w:rsid w:val="00DF05D5"/>
    <w:rsid w:val="00DF06A2"/>
    <w:rsid w:val="00DF079D"/>
    <w:rsid w:val="00DF080A"/>
    <w:rsid w:val="00DF089C"/>
    <w:rsid w:val="00DF08AB"/>
    <w:rsid w:val="00DF08C1"/>
    <w:rsid w:val="00DF08C2"/>
    <w:rsid w:val="00DF090A"/>
    <w:rsid w:val="00DF0916"/>
    <w:rsid w:val="00DF095E"/>
    <w:rsid w:val="00DF09C3"/>
    <w:rsid w:val="00DF0A33"/>
    <w:rsid w:val="00DF0A46"/>
    <w:rsid w:val="00DF0ACE"/>
    <w:rsid w:val="00DF0AE8"/>
    <w:rsid w:val="00DF0B02"/>
    <w:rsid w:val="00DF0B7C"/>
    <w:rsid w:val="00DF0C02"/>
    <w:rsid w:val="00DF0D13"/>
    <w:rsid w:val="00DF0D33"/>
    <w:rsid w:val="00DF0D56"/>
    <w:rsid w:val="00DF0D8B"/>
    <w:rsid w:val="00DF0E55"/>
    <w:rsid w:val="00DF0F38"/>
    <w:rsid w:val="00DF0FBC"/>
    <w:rsid w:val="00DF0FE0"/>
    <w:rsid w:val="00DF1110"/>
    <w:rsid w:val="00DF1256"/>
    <w:rsid w:val="00DF1295"/>
    <w:rsid w:val="00DF137A"/>
    <w:rsid w:val="00DF13C0"/>
    <w:rsid w:val="00DF1414"/>
    <w:rsid w:val="00DF1467"/>
    <w:rsid w:val="00DF14BE"/>
    <w:rsid w:val="00DF14F6"/>
    <w:rsid w:val="00DF160B"/>
    <w:rsid w:val="00DF1720"/>
    <w:rsid w:val="00DF179E"/>
    <w:rsid w:val="00DF17DB"/>
    <w:rsid w:val="00DF1811"/>
    <w:rsid w:val="00DF183D"/>
    <w:rsid w:val="00DF1875"/>
    <w:rsid w:val="00DF191E"/>
    <w:rsid w:val="00DF19AF"/>
    <w:rsid w:val="00DF1A81"/>
    <w:rsid w:val="00DF1AA5"/>
    <w:rsid w:val="00DF1AB1"/>
    <w:rsid w:val="00DF1BAB"/>
    <w:rsid w:val="00DF1DD3"/>
    <w:rsid w:val="00DF1E32"/>
    <w:rsid w:val="00DF1E62"/>
    <w:rsid w:val="00DF1F3E"/>
    <w:rsid w:val="00DF1F52"/>
    <w:rsid w:val="00DF1F59"/>
    <w:rsid w:val="00DF2046"/>
    <w:rsid w:val="00DF206A"/>
    <w:rsid w:val="00DF20D7"/>
    <w:rsid w:val="00DF216A"/>
    <w:rsid w:val="00DF2240"/>
    <w:rsid w:val="00DF228E"/>
    <w:rsid w:val="00DF22B3"/>
    <w:rsid w:val="00DF22FD"/>
    <w:rsid w:val="00DF2354"/>
    <w:rsid w:val="00DF2468"/>
    <w:rsid w:val="00DF24FE"/>
    <w:rsid w:val="00DF253F"/>
    <w:rsid w:val="00DF25C6"/>
    <w:rsid w:val="00DF26C5"/>
    <w:rsid w:val="00DF2779"/>
    <w:rsid w:val="00DF280E"/>
    <w:rsid w:val="00DF2907"/>
    <w:rsid w:val="00DF2973"/>
    <w:rsid w:val="00DF2974"/>
    <w:rsid w:val="00DF297B"/>
    <w:rsid w:val="00DF29FA"/>
    <w:rsid w:val="00DF2B3A"/>
    <w:rsid w:val="00DF2C6A"/>
    <w:rsid w:val="00DF2D99"/>
    <w:rsid w:val="00DF2E4A"/>
    <w:rsid w:val="00DF2EE8"/>
    <w:rsid w:val="00DF2F38"/>
    <w:rsid w:val="00DF2FD7"/>
    <w:rsid w:val="00DF3010"/>
    <w:rsid w:val="00DF3013"/>
    <w:rsid w:val="00DF304F"/>
    <w:rsid w:val="00DF3084"/>
    <w:rsid w:val="00DF30B1"/>
    <w:rsid w:val="00DF314A"/>
    <w:rsid w:val="00DF31C3"/>
    <w:rsid w:val="00DF324D"/>
    <w:rsid w:val="00DF327E"/>
    <w:rsid w:val="00DF32BD"/>
    <w:rsid w:val="00DF340B"/>
    <w:rsid w:val="00DF357C"/>
    <w:rsid w:val="00DF3724"/>
    <w:rsid w:val="00DF3756"/>
    <w:rsid w:val="00DF37D5"/>
    <w:rsid w:val="00DF3898"/>
    <w:rsid w:val="00DF391C"/>
    <w:rsid w:val="00DF392A"/>
    <w:rsid w:val="00DF39B4"/>
    <w:rsid w:val="00DF39B6"/>
    <w:rsid w:val="00DF39C0"/>
    <w:rsid w:val="00DF3A1D"/>
    <w:rsid w:val="00DF3A38"/>
    <w:rsid w:val="00DF3B26"/>
    <w:rsid w:val="00DF3BEA"/>
    <w:rsid w:val="00DF3C43"/>
    <w:rsid w:val="00DF3C8B"/>
    <w:rsid w:val="00DF3CDD"/>
    <w:rsid w:val="00DF3CE9"/>
    <w:rsid w:val="00DF3D1F"/>
    <w:rsid w:val="00DF3D83"/>
    <w:rsid w:val="00DF3E6F"/>
    <w:rsid w:val="00DF3F11"/>
    <w:rsid w:val="00DF3F52"/>
    <w:rsid w:val="00DF3F71"/>
    <w:rsid w:val="00DF3F89"/>
    <w:rsid w:val="00DF3FCF"/>
    <w:rsid w:val="00DF4041"/>
    <w:rsid w:val="00DF409A"/>
    <w:rsid w:val="00DF40D2"/>
    <w:rsid w:val="00DF41CA"/>
    <w:rsid w:val="00DF41EF"/>
    <w:rsid w:val="00DF41F1"/>
    <w:rsid w:val="00DF4213"/>
    <w:rsid w:val="00DF4272"/>
    <w:rsid w:val="00DF4296"/>
    <w:rsid w:val="00DF42BF"/>
    <w:rsid w:val="00DF42DF"/>
    <w:rsid w:val="00DF4300"/>
    <w:rsid w:val="00DF4336"/>
    <w:rsid w:val="00DF433A"/>
    <w:rsid w:val="00DF4369"/>
    <w:rsid w:val="00DF4388"/>
    <w:rsid w:val="00DF4391"/>
    <w:rsid w:val="00DF43C5"/>
    <w:rsid w:val="00DF444E"/>
    <w:rsid w:val="00DF448B"/>
    <w:rsid w:val="00DF45A9"/>
    <w:rsid w:val="00DF4648"/>
    <w:rsid w:val="00DF47AD"/>
    <w:rsid w:val="00DF4837"/>
    <w:rsid w:val="00DF48B0"/>
    <w:rsid w:val="00DF48D4"/>
    <w:rsid w:val="00DF48E3"/>
    <w:rsid w:val="00DF48EB"/>
    <w:rsid w:val="00DF496D"/>
    <w:rsid w:val="00DF49CD"/>
    <w:rsid w:val="00DF4B16"/>
    <w:rsid w:val="00DF4B74"/>
    <w:rsid w:val="00DF4B9B"/>
    <w:rsid w:val="00DF4C56"/>
    <w:rsid w:val="00DF4C72"/>
    <w:rsid w:val="00DF4CE3"/>
    <w:rsid w:val="00DF4D05"/>
    <w:rsid w:val="00DF4D07"/>
    <w:rsid w:val="00DF4D3F"/>
    <w:rsid w:val="00DF4D76"/>
    <w:rsid w:val="00DF4DA3"/>
    <w:rsid w:val="00DF4E26"/>
    <w:rsid w:val="00DF4E59"/>
    <w:rsid w:val="00DF4E5F"/>
    <w:rsid w:val="00DF4E6D"/>
    <w:rsid w:val="00DF4E96"/>
    <w:rsid w:val="00DF5090"/>
    <w:rsid w:val="00DF5127"/>
    <w:rsid w:val="00DF5135"/>
    <w:rsid w:val="00DF5157"/>
    <w:rsid w:val="00DF51B1"/>
    <w:rsid w:val="00DF51F8"/>
    <w:rsid w:val="00DF522A"/>
    <w:rsid w:val="00DF5284"/>
    <w:rsid w:val="00DF52D7"/>
    <w:rsid w:val="00DF532C"/>
    <w:rsid w:val="00DF54A8"/>
    <w:rsid w:val="00DF56D3"/>
    <w:rsid w:val="00DF5705"/>
    <w:rsid w:val="00DF57E5"/>
    <w:rsid w:val="00DF59F5"/>
    <w:rsid w:val="00DF5AEF"/>
    <w:rsid w:val="00DF5B0A"/>
    <w:rsid w:val="00DF5BB5"/>
    <w:rsid w:val="00DF5C9F"/>
    <w:rsid w:val="00DF5CB1"/>
    <w:rsid w:val="00DF5D0E"/>
    <w:rsid w:val="00DF5D8B"/>
    <w:rsid w:val="00DF5E3B"/>
    <w:rsid w:val="00DF5E69"/>
    <w:rsid w:val="00DF5E87"/>
    <w:rsid w:val="00DF5EC1"/>
    <w:rsid w:val="00DF5ED8"/>
    <w:rsid w:val="00DF6068"/>
    <w:rsid w:val="00DF60BA"/>
    <w:rsid w:val="00DF618B"/>
    <w:rsid w:val="00DF61A5"/>
    <w:rsid w:val="00DF625D"/>
    <w:rsid w:val="00DF62C0"/>
    <w:rsid w:val="00DF6327"/>
    <w:rsid w:val="00DF6331"/>
    <w:rsid w:val="00DF6421"/>
    <w:rsid w:val="00DF660D"/>
    <w:rsid w:val="00DF666A"/>
    <w:rsid w:val="00DF669B"/>
    <w:rsid w:val="00DF66A7"/>
    <w:rsid w:val="00DF6738"/>
    <w:rsid w:val="00DF6780"/>
    <w:rsid w:val="00DF6801"/>
    <w:rsid w:val="00DF696E"/>
    <w:rsid w:val="00DF6A46"/>
    <w:rsid w:val="00DF6A60"/>
    <w:rsid w:val="00DF6A65"/>
    <w:rsid w:val="00DF6AAF"/>
    <w:rsid w:val="00DF6AEB"/>
    <w:rsid w:val="00DF6B89"/>
    <w:rsid w:val="00DF6BB3"/>
    <w:rsid w:val="00DF6BCB"/>
    <w:rsid w:val="00DF6CA9"/>
    <w:rsid w:val="00DF6CFA"/>
    <w:rsid w:val="00DF6D2D"/>
    <w:rsid w:val="00DF6EAC"/>
    <w:rsid w:val="00DF6EFF"/>
    <w:rsid w:val="00DF707F"/>
    <w:rsid w:val="00DF7081"/>
    <w:rsid w:val="00DF7108"/>
    <w:rsid w:val="00DF712D"/>
    <w:rsid w:val="00DF7175"/>
    <w:rsid w:val="00DF717E"/>
    <w:rsid w:val="00DF7181"/>
    <w:rsid w:val="00DF71FB"/>
    <w:rsid w:val="00DF71FC"/>
    <w:rsid w:val="00DF7277"/>
    <w:rsid w:val="00DF72A3"/>
    <w:rsid w:val="00DF72B8"/>
    <w:rsid w:val="00DF7309"/>
    <w:rsid w:val="00DF730C"/>
    <w:rsid w:val="00DF747E"/>
    <w:rsid w:val="00DF7498"/>
    <w:rsid w:val="00DF7556"/>
    <w:rsid w:val="00DF759A"/>
    <w:rsid w:val="00DF75BF"/>
    <w:rsid w:val="00DF7626"/>
    <w:rsid w:val="00DF762C"/>
    <w:rsid w:val="00DF7635"/>
    <w:rsid w:val="00DF763B"/>
    <w:rsid w:val="00DF767E"/>
    <w:rsid w:val="00DF76E4"/>
    <w:rsid w:val="00DF772D"/>
    <w:rsid w:val="00DF77B2"/>
    <w:rsid w:val="00DF77EB"/>
    <w:rsid w:val="00DF782A"/>
    <w:rsid w:val="00DF785A"/>
    <w:rsid w:val="00DF78D7"/>
    <w:rsid w:val="00DF7984"/>
    <w:rsid w:val="00DF7994"/>
    <w:rsid w:val="00DF7A85"/>
    <w:rsid w:val="00DF7AD0"/>
    <w:rsid w:val="00DF7AEE"/>
    <w:rsid w:val="00DF7B33"/>
    <w:rsid w:val="00DF7B82"/>
    <w:rsid w:val="00DF7B90"/>
    <w:rsid w:val="00DF7C41"/>
    <w:rsid w:val="00DF7D2D"/>
    <w:rsid w:val="00DF7D63"/>
    <w:rsid w:val="00DF7E19"/>
    <w:rsid w:val="00DF7EE7"/>
    <w:rsid w:val="00DF7F8D"/>
    <w:rsid w:val="00E0006E"/>
    <w:rsid w:val="00E00074"/>
    <w:rsid w:val="00E0007B"/>
    <w:rsid w:val="00E001B5"/>
    <w:rsid w:val="00E00221"/>
    <w:rsid w:val="00E00289"/>
    <w:rsid w:val="00E00335"/>
    <w:rsid w:val="00E00351"/>
    <w:rsid w:val="00E003FD"/>
    <w:rsid w:val="00E0052E"/>
    <w:rsid w:val="00E00566"/>
    <w:rsid w:val="00E005AA"/>
    <w:rsid w:val="00E005C2"/>
    <w:rsid w:val="00E00720"/>
    <w:rsid w:val="00E00731"/>
    <w:rsid w:val="00E007D8"/>
    <w:rsid w:val="00E007FB"/>
    <w:rsid w:val="00E0087B"/>
    <w:rsid w:val="00E0089F"/>
    <w:rsid w:val="00E008DB"/>
    <w:rsid w:val="00E0097C"/>
    <w:rsid w:val="00E009ED"/>
    <w:rsid w:val="00E009F2"/>
    <w:rsid w:val="00E00A2D"/>
    <w:rsid w:val="00E00B07"/>
    <w:rsid w:val="00E00B14"/>
    <w:rsid w:val="00E00B70"/>
    <w:rsid w:val="00E00B77"/>
    <w:rsid w:val="00E00BAE"/>
    <w:rsid w:val="00E00C42"/>
    <w:rsid w:val="00E00CC1"/>
    <w:rsid w:val="00E00D29"/>
    <w:rsid w:val="00E00D3A"/>
    <w:rsid w:val="00E00D5C"/>
    <w:rsid w:val="00E00D74"/>
    <w:rsid w:val="00E00DB8"/>
    <w:rsid w:val="00E00EAF"/>
    <w:rsid w:val="00E00ED4"/>
    <w:rsid w:val="00E00EFF"/>
    <w:rsid w:val="00E01080"/>
    <w:rsid w:val="00E010E9"/>
    <w:rsid w:val="00E01199"/>
    <w:rsid w:val="00E0119C"/>
    <w:rsid w:val="00E01248"/>
    <w:rsid w:val="00E01274"/>
    <w:rsid w:val="00E01286"/>
    <w:rsid w:val="00E012B0"/>
    <w:rsid w:val="00E01339"/>
    <w:rsid w:val="00E013F4"/>
    <w:rsid w:val="00E015B3"/>
    <w:rsid w:val="00E015D5"/>
    <w:rsid w:val="00E015F4"/>
    <w:rsid w:val="00E015FE"/>
    <w:rsid w:val="00E016A7"/>
    <w:rsid w:val="00E01797"/>
    <w:rsid w:val="00E018B8"/>
    <w:rsid w:val="00E019A4"/>
    <w:rsid w:val="00E019EA"/>
    <w:rsid w:val="00E01A86"/>
    <w:rsid w:val="00E01BD5"/>
    <w:rsid w:val="00E01BF4"/>
    <w:rsid w:val="00E01D42"/>
    <w:rsid w:val="00E01EAF"/>
    <w:rsid w:val="00E01EE3"/>
    <w:rsid w:val="00E01F14"/>
    <w:rsid w:val="00E01F24"/>
    <w:rsid w:val="00E01F4D"/>
    <w:rsid w:val="00E01F5F"/>
    <w:rsid w:val="00E01F9A"/>
    <w:rsid w:val="00E01FCB"/>
    <w:rsid w:val="00E02059"/>
    <w:rsid w:val="00E0217D"/>
    <w:rsid w:val="00E02247"/>
    <w:rsid w:val="00E02285"/>
    <w:rsid w:val="00E02326"/>
    <w:rsid w:val="00E023AB"/>
    <w:rsid w:val="00E02401"/>
    <w:rsid w:val="00E0244D"/>
    <w:rsid w:val="00E02519"/>
    <w:rsid w:val="00E0253E"/>
    <w:rsid w:val="00E0257E"/>
    <w:rsid w:val="00E0267F"/>
    <w:rsid w:val="00E026AF"/>
    <w:rsid w:val="00E026E6"/>
    <w:rsid w:val="00E02778"/>
    <w:rsid w:val="00E0288A"/>
    <w:rsid w:val="00E0297F"/>
    <w:rsid w:val="00E02A1D"/>
    <w:rsid w:val="00E02A4C"/>
    <w:rsid w:val="00E02A56"/>
    <w:rsid w:val="00E02A59"/>
    <w:rsid w:val="00E02A6B"/>
    <w:rsid w:val="00E02AA4"/>
    <w:rsid w:val="00E02B05"/>
    <w:rsid w:val="00E02B3F"/>
    <w:rsid w:val="00E02B53"/>
    <w:rsid w:val="00E02BAF"/>
    <w:rsid w:val="00E02C39"/>
    <w:rsid w:val="00E02CA6"/>
    <w:rsid w:val="00E02CCB"/>
    <w:rsid w:val="00E02D83"/>
    <w:rsid w:val="00E02DD5"/>
    <w:rsid w:val="00E02E42"/>
    <w:rsid w:val="00E02E5E"/>
    <w:rsid w:val="00E02EBB"/>
    <w:rsid w:val="00E02EEB"/>
    <w:rsid w:val="00E02F54"/>
    <w:rsid w:val="00E02F8C"/>
    <w:rsid w:val="00E02FBF"/>
    <w:rsid w:val="00E030BD"/>
    <w:rsid w:val="00E03298"/>
    <w:rsid w:val="00E03322"/>
    <w:rsid w:val="00E03336"/>
    <w:rsid w:val="00E03375"/>
    <w:rsid w:val="00E03475"/>
    <w:rsid w:val="00E03487"/>
    <w:rsid w:val="00E034D2"/>
    <w:rsid w:val="00E034E5"/>
    <w:rsid w:val="00E03577"/>
    <w:rsid w:val="00E035CF"/>
    <w:rsid w:val="00E035D2"/>
    <w:rsid w:val="00E03674"/>
    <w:rsid w:val="00E03691"/>
    <w:rsid w:val="00E03804"/>
    <w:rsid w:val="00E038A8"/>
    <w:rsid w:val="00E038CC"/>
    <w:rsid w:val="00E0391A"/>
    <w:rsid w:val="00E039D1"/>
    <w:rsid w:val="00E03AC6"/>
    <w:rsid w:val="00E03B10"/>
    <w:rsid w:val="00E03B5E"/>
    <w:rsid w:val="00E03B69"/>
    <w:rsid w:val="00E03B9D"/>
    <w:rsid w:val="00E03BA5"/>
    <w:rsid w:val="00E03CEB"/>
    <w:rsid w:val="00E03DD3"/>
    <w:rsid w:val="00E03DFD"/>
    <w:rsid w:val="00E03E29"/>
    <w:rsid w:val="00E03F0A"/>
    <w:rsid w:val="00E03F1A"/>
    <w:rsid w:val="00E03F24"/>
    <w:rsid w:val="00E03F87"/>
    <w:rsid w:val="00E03FE2"/>
    <w:rsid w:val="00E0400E"/>
    <w:rsid w:val="00E04012"/>
    <w:rsid w:val="00E040E3"/>
    <w:rsid w:val="00E04101"/>
    <w:rsid w:val="00E04227"/>
    <w:rsid w:val="00E0425F"/>
    <w:rsid w:val="00E04286"/>
    <w:rsid w:val="00E042C7"/>
    <w:rsid w:val="00E04321"/>
    <w:rsid w:val="00E04351"/>
    <w:rsid w:val="00E04624"/>
    <w:rsid w:val="00E0465C"/>
    <w:rsid w:val="00E04722"/>
    <w:rsid w:val="00E0478C"/>
    <w:rsid w:val="00E047B5"/>
    <w:rsid w:val="00E047B7"/>
    <w:rsid w:val="00E04892"/>
    <w:rsid w:val="00E048A2"/>
    <w:rsid w:val="00E04963"/>
    <w:rsid w:val="00E04A10"/>
    <w:rsid w:val="00E04A8A"/>
    <w:rsid w:val="00E04B14"/>
    <w:rsid w:val="00E04C34"/>
    <w:rsid w:val="00E04C4C"/>
    <w:rsid w:val="00E04CDC"/>
    <w:rsid w:val="00E04D9B"/>
    <w:rsid w:val="00E04E3D"/>
    <w:rsid w:val="00E04E86"/>
    <w:rsid w:val="00E04F0C"/>
    <w:rsid w:val="00E04FC6"/>
    <w:rsid w:val="00E04FF3"/>
    <w:rsid w:val="00E0503B"/>
    <w:rsid w:val="00E050AA"/>
    <w:rsid w:val="00E051A4"/>
    <w:rsid w:val="00E05279"/>
    <w:rsid w:val="00E05356"/>
    <w:rsid w:val="00E053B8"/>
    <w:rsid w:val="00E053BF"/>
    <w:rsid w:val="00E05454"/>
    <w:rsid w:val="00E05513"/>
    <w:rsid w:val="00E0555F"/>
    <w:rsid w:val="00E055B3"/>
    <w:rsid w:val="00E05671"/>
    <w:rsid w:val="00E05706"/>
    <w:rsid w:val="00E05926"/>
    <w:rsid w:val="00E05989"/>
    <w:rsid w:val="00E059BE"/>
    <w:rsid w:val="00E05A8A"/>
    <w:rsid w:val="00E05A9E"/>
    <w:rsid w:val="00E05B14"/>
    <w:rsid w:val="00E05C02"/>
    <w:rsid w:val="00E05C17"/>
    <w:rsid w:val="00E05C34"/>
    <w:rsid w:val="00E05C43"/>
    <w:rsid w:val="00E05D0F"/>
    <w:rsid w:val="00E05D4E"/>
    <w:rsid w:val="00E05DB9"/>
    <w:rsid w:val="00E05DC7"/>
    <w:rsid w:val="00E05E32"/>
    <w:rsid w:val="00E05E76"/>
    <w:rsid w:val="00E05E82"/>
    <w:rsid w:val="00E05F64"/>
    <w:rsid w:val="00E06116"/>
    <w:rsid w:val="00E06220"/>
    <w:rsid w:val="00E06241"/>
    <w:rsid w:val="00E0625A"/>
    <w:rsid w:val="00E06263"/>
    <w:rsid w:val="00E062A1"/>
    <w:rsid w:val="00E062BD"/>
    <w:rsid w:val="00E06469"/>
    <w:rsid w:val="00E064E7"/>
    <w:rsid w:val="00E0654A"/>
    <w:rsid w:val="00E066A1"/>
    <w:rsid w:val="00E066D8"/>
    <w:rsid w:val="00E066F6"/>
    <w:rsid w:val="00E06A57"/>
    <w:rsid w:val="00E06A77"/>
    <w:rsid w:val="00E06B62"/>
    <w:rsid w:val="00E06B74"/>
    <w:rsid w:val="00E06B7F"/>
    <w:rsid w:val="00E06B95"/>
    <w:rsid w:val="00E06C13"/>
    <w:rsid w:val="00E06C48"/>
    <w:rsid w:val="00E06C98"/>
    <w:rsid w:val="00E06CD7"/>
    <w:rsid w:val="00E06D3D"/>
    <w:rsid w:val="00E06D5B"/>
    <w:rsid w:val="00E06D5E"/>
    <w:rsid w:val="00E06EBE"/>
    <w:rsid w:val="00E06F15"/>
    <w:rsid w:val="00E07002"/>
    <w:rsid w:val="00E0704C"/>
    <w:rsid w:val="00E07078"/>
    <w:rsid w:val="00E07113"/>
    <w:rsid w:val="00E07201"/>
    <w:rsid w:val="00E0722E"/>
    <w:rsid w:val="00E0724C"/>
    <w:rsid w:val="00E072D8"/>
    <w:rsid w:val="00E0732B"/>
    <w:rsid w:val="00E07375"/>
    <w:rsid w:val="00E073AE"/>
    <w:rsid w:val="00E073B3"/>
    <w:rsid w:val="00E073CB"/>
    <w:rsid w:val="00E073F5"/>
    <w:rsid w:val="00E0742A"/>
    <w:rsid w:val="00E0750D"/>
    <w:rsid w:val="00E075D9"/>
    <w:rsid w:val="00E075F2"/>
    <w:rsid w:val="00E07669"/>
    <w:rsid w:val="00E0767E"/>
    <w:rsid w:val="00E077B5"/>
    <w:rsid w:val="00E077ED"/>
    <w:rsid w:val="00E07803"/>
    <w:rsid w:val="00E0791A"/>
    <w:rsid w:val="00E079F2"/>
    <w:rsid w:val="00E07A1C"/>
    <w:rsid w:val="00E07A2B"/>
    <w:rsid w:val="00E07A82"/>
    <w:rsid w:val="00E07AA1"/>
    <w:rsid w:val="00E07B2C"/>
    <w:rsid w:val="00E07B38"/>
    <w:rsid w:val="00E07C00"/>
    <w:rsid w:val="00E07C94"/>
    <w:rsid w:val="00E07D40"/>
    <w:rsid w:val="00E07D84"/>
    <w:rsid w:val="00E07DDE"/>
    <w:rsid w:val="00E07EF8"/>
    <w:rsid w:val="00E07F17"/>
    <w:rsid w:val="00E07FD5"/>
    <w:rsid w:val="00E07FDA"/>
    <w:rsid w:val="00E10033"/>
    <w:rsid w:val="00E100DC"/>
    <w:rsid w:val="00E10139"/>
    <w:rsid w:val="00E10448"/>
    <w:rsid w:val="00E1047A"/>
    <w:rsid w:val="00E1048A"/>
    <w:rsid w:val="00E104BF"/>
    <w:rsid w:val="00E1050D"/>
    <w:rsid w:val="00E1052F"/>
    <w:rsid w:val="00E10592"/>
    <w:rsid w:val="00E10609"/>
    <w:rsid w:val="00E10864"/>
    <w:rsid w:val="00E108A2"/>
    <w:rsid w:val="00E108C3"/>
    <w:rsid w:val="00E10A02"/>
    <w:rsid w:val="00E10ABA"/>
    <w:rsid w:val="00E10B31"/>
    <w:rsid w:val="00E10BC1"/>
    <w:rsid w:val="00E10BCE"/>
    <w:rsid w:val="00E10C54"/>
    <w:rsid w:val="00E10C6F"/>
    <w:rsid w:val="00E10C85"/>
    <w:rsid w:val="00E10E07"/>
    <w:rsid w:val="00E10E12"/>
    <w:rsid w:val="00E10F97"/>
    <w:rsid w:val="00E1101E"/>
    <w:rsid w:val="00E1106C"/>
    <w:rsid w:val="00E11100"/>
    <w:rsid w:val="00E111DA"/>
    <w:rsid w:val="00E111E2"/>
    <w:rsid w:val="00E11275"/>
    <w:rsid w:val="00E112A0"/>
    <w:rsid w:val="00E112AF"/>
    <w:rsid w:val="00E112B2"/>
    <w:rsid w:val="00E112CB"/>
    <w:rsid w:val="00E1143F"/>
    <w:rsid w:val="00E1150B"/>
    <w:rsid w:val="00E1154E"/>
    <w:rsid w:val="00E11588"/>
    <w:rsid w:val="00E1164B"/>
    <w:rsid w:val="00E116ED"/>
    <w:rsid w:val="00E11852"/>
    <w:rsid w:val="00E11873"/>
    <w:rsid w:val="00E1196E"/>
    <w:rsid w:val="00E11A1A"/>
    <w:rsid w:val="00E11A27"/>
    <w:rsid w:val="00E11A4C"/>
    <w:rsid w:val="00E11A5B"/>
    <w:rsid w:val="00E11A63"/>
    <w:rsid w:val="00E11C8D"/>
    <w:rsid w:val="00E11CE0"/>
    <w:rsid w:val="00E11CF5"/>
    <w:rsid w:val="00E11D15"/>
    <w:rsid w:val="00E11D4C"/>
    <w:rsid w:val="00E11D77"/>
    <w:rsid w:val="00E11DE0"/>
    <w:rsid w:val="00E11DE4"/>
    <w:rsid w:val="00E11E0E"/>
    <w:rsid w:val="00E11F8F"/>
    <w:rsid w:val="00E1207D"/>
    <w:rsid w:val="00E1209D"/>
    <w:rsid w:val="00E1212E"/>
    <w:rsid w:val="00E122A8"/>
    <w:rsid w:val="00E122BB"/>
    <w:rsid w:val="00E12344"/>
    <w:rsid w:val="00E123AF"/>
    <w:rsid w:val="00E1240D"/>
    <w:rsid w:val="00E124EB"/>
    <w:rsid w:val="00E1251A"/>
    <w:rsid w:val="00E125AE"/>
    <w:rsid w:val="00E125B9"/>
    <w:rsid w:val="00E12633"/>
    <w:rsid w:val="00E1277E"/>
    <w:rsid w:val="00E127F8"/>
    <w:rsid w:val="00E127FD"/>
    <w:rsid w:val="00E12977"/>
    <w:rsid w:val="00E129F0"/>
    <w:rsid w:val="00E12A55"/>
    <w:rsid w:val="00E12A97"/>
    <w:rsid w:val="00E12AEF"/>
    <w:rsid w:val="00E12B39"/>
    <w:rsid w:val="00E12B68"/>
    <w:rsid w:val="00E12CD8"/>
    <w:rsid w:val="00E12D23"/>
    <w:rsid w:val="00E12D2F"/>
    <w:rsid w:val="00E12D30"/>
    <w:rsid w:val="00E12D41"/>
    <w:rsid w:val="00E12D52"/>
    <w:rsid w:val="00E12D54"/>
    <w:rsid w:val="00E12DE2"/>
    <w:rsid w:val="00E13008"/>
    <w:rsid w:val="00E13044"/>
    <w:rsid w:val="00E13096"/>
    <w:rsid w:val="00E130FB"/>
    <w:rsid w:val="00E1319C"/>
    <w:rsid w:val="00E1323A"/>
    <w:rsid w:val="00E1327D"/>
    <w:rsid w:val="00E13298"/>
    <w:rsid w:val="00E1329C"/>
    <w:rsid w:val="00E132D8"/>
    <w:rsid w:val="00E1339C"/>
    <w:rsid w:val="00E134A0"/>
    <w:rsid w:val="00E134D1"/>
    <w:rsid w:val="00E13541"/>
    <w:rsid w:val="00E1354F"/>
    <w:rsid w:val="00E13688"/>
    <w:rsid w:val="00E13712"/>
    <w:rsid w:val="00E137B7"/>
    <w:rsid w:val="00E137DB"/>
    <w:rsid w:val="00E1383B"/>
    <w:rsid w:val="00E138C5"/>
    <w:rsid w:val="00E139AE"/>
    <w:rsid w:val="00E139DF"/>
    <w:rsid w:val="00E13AEB"/>
    <w:rsid w:val="00E13B5B"/>
    <w:rsid w:val="00E13CC1"/>
    <w:rsid w:val="00E13E58"/>
    <w:rsid w:val="00E13E9E"/>
    <w:rsid w:val="00E13EBF"/>
    <w:rsid w:val="00E13EE8"/>
    <w:rsid w:val="00E14053"/>
    <w:rsid w:val="00E1411F"/>
    <w:rsid w:val="00E14163"/>
    <w:rsid w:val="00E14274"/>
    <w:rsid w:val="00E142C5"/>
    <w:rsid w:val="00E142D3"/>
    <w:rsid w:val="00E14313"/>
    <w:rsid w:val="00E14318"/>
    <w:rsid w:val="00E1431F"/>
    <w:rsid w:val="00E1435C"/>
    <w:rsid w:val="00E143CB"/>
    <w:rsid w:val="00E1441F"/>
    <w:rsid w:val="00E14424"/>
    <w:rsid w:val="00E1443E"/>
    <w:rsid w:val="00E14476"/>
    <w:rsid w:val="00E144FC"/>
    <w:rsid w:val="00E14539"/>
    <w:rsid w:val="00E14547"/>
    <w:rsid w:val="00E146D2"/>
    <w:rsid w:val="00E1472F"/>
    <w:rsid w:val="00E14768"/>
    <w:rsid w:val="00E14786"/>
    <w:rsid w:val="00E147AE"/>
    <w:rsid w:val="00E14828"/>
    <w:rsid w:val="00E1483D"/>
    <w:rsid w:val="00E149B1"/>
    <w:rsid w:val="00E149F1"/>
    <w:rsid w:val="00E14A75"/>
    <w:rsid w:val="00E14A92"/>
    <w:rsid w:val="00E14B4E"/>
    <w:rsid w:val="00E14C00"/>
    <w:rsid w:val="00E14C0D"/>
    <w:rsid w:val="00E14C98"/>
    <w:rsid w:val="00E14CEE"/>
    <w:rsid w:val="00E14D3C"/>
    <w:rsid w:val="00E14DB7"/>
    <w:rsid w:val="00E14E0A"/>
    <w:rsid w:val="00E14E44"/>
    <w:rsid w:val="00E14E67"/>
    <w:rsid w:val="00E14ED1"/>
    <w:rsid w:val="00E15020"/>
    <w:rsid w:val="00E151AA"/>
    <w:rsid w:val="00E151DF"/>
    <w:rsid w:val="00E1526C"/>
    <w:rsid w:val="00E15469"/>
    <w:rsid w:val="00E155C6"/>
    <w:rsid w:val="00E15610"/>
    <w:rsid w:val="00E1561D"/>
    <w:rsid w:val="00E15623"/>
    <w:rsid w:val="00E1562A"/>
    <w:rsid w:val="00E15661"/>
    <w:rsid w:val="00E156CB"/>
    <w:rsid w:val="00E1574B"/>
    <w:rsid w:val="00E1580A"/>
    <w:rsid w:val="00E158AF"/>
    <w:rsid w:val="00E158C9"/>
    <w:rsid w:val="00E158D9"/>
    <w:rsid w:val="00E158E6"/>
    <w:rsid w:val="00E15909"/>
    <w:rsid w:val="00E15A4A"/>
    <w:rsid w:val="00E15A67"/>
    <w:rsid w:val="00E15B36"/>
    <w:rsid w:val="00E15C7C"/>
    <w:rsid w:val="00E15CB5"/>
    <w:rsid w:val="00E15CE3"/>
    <w:rsid w:val="00E15D42"/>
    <w:rsid w:val="00E15D6E"/>
    <w:rsid w:val="00E15E13"/>
    <w:rsid w:val="00E15EB2"/>
    <w:rsid w:val="00E15F3A"/>
    <w:rsid w:val="00E15F9B"/>
    <w:rsid w:val="00E15FB5"/>
    <w:rsid w:val="00E16029"/>
    <w:rsid w:val="00E16033"/>
    <w:rsid w:val="00E16037"/>
    <w:rsid w:val="00E16077"/>
    <w:rsid w:val="00E160D4"/>
    <w:rsid w:val="00E160E6"/>
    <w:rsid w:val="00E16139"/>
    <w:rsid w:val="00E161B9"/>
    <w:rsid w:val="00E162BE"/>
    <w:rsid w:val="00E16339"/>
    <w:rsid w:val="00E16357"/>
    <w:rsid w:val="00E163D5"/>
    <w:rsid w:val="00E16453"/>
    <w:rsid w:val="00E16559"/>
    <w:rsid w:val="00E1655A"/>
    <w:rsid w:val="00E165D3"/>
    <w:rsid w:val="00E165EF"/>
    <w:rsid w:val="00E165F8"/>
    <w:rsid w:val="00E16661"/>
    <w:rsid w:val="00E1675A"/>
    <w:rsid w:val="00E16795"/>
    <w:rsid w:val="00E167C5"/>
    <w:rsid w:val="00E16828"/>
    <w:rsid w:val="00E16865"/>
    <w:rsid w:val="00E168FF"/>
    <w:rsid w:val="00E1693E"/>
    <w:rsid w:val="00E1699D"/>
    <w:rsid w:val="00E169A9"/>
    <w:rsid w:val="00E169FE"/>
    <w:rsid w:val="00E16AA3"/>
    <w:rsid w:val="00E16ADF"/>
    <w:rsid w:val="00E16AF4"/>
    <w:rsid w:val="00E16B60"/>
    <w:rsid w:val="00E16B94"/>
    <w:rsid w:val="00E16C81"/>
    <w:rsid w:val="00E16C93"/>
    <w:rsid w:val="00E16D13"/>
    <w:rsid w:val="00E16D45"/>
    <w:rsid w:val="00E16DAD"/>
    <w:rsid w:val="00E16DD2"/>
    <w:rsid w:val="00E16F67"/>
    <w:rsid w:val="00E16F7E"/>
    <w:rsid w:val="00E17023"/>
    <w:rsid w:val="00E1707C"/>
    <w:rsid w:val="00E170F7"/>
    <w:rsid w:val="00E1718D"/>
    <w:rsid w:val="00E171B9"/>
    <w:rsid w:val="00E172B4"/>
    <w:rsid w:val="00E17305"/>
    <w:rsid w:val="00E17323"/>
    <w:rsid w:val="00E1738D"/>
    <w:rsid w:val="00E173A9"/>
    <w:rsid w:val="00E173E2"/>
    <w:rsid w:val="00E17564"/>
    <w:rsid w:val="00E175DA"/>
    <w:rsid w:val="00E175DE"/>
    <w:rsid w:val="00E17658"/>
    <w:rsid w:val="00E176E3"/>
    <w:rsid w:val="00E176F1"/>
    <w:rsid w:val="00E17709"/>
    <w:rsid w:val="00E17741"/>
    <w:rsid w:val="00E177E7"/>
    <w:rsid w:val="00E17878"/>
    <w:rsid w:val="00E1789F"/>
    <w:rsid w:val="00E1791B"/>
    <w:rsid w:val="00E1797B"/>
    <w:rsid w:val="00E1799C"/>
    <w:rsid w:val="00E179D5"/>
    <w:rsid w:val="00E179F0"/>
    <w:rsid w:val="00E17A99"/>
    <w:rsid w:val="00E17B2B"/>
    <w:rsid w:val="00E17BDA"/>
    <w:rsid w:val="00E17C3D"/>
    <w:rsid w:val="00E17D12"/>
    <w:rsid w:val="00E17D1B"/>
    <w:rsid w:val="00E17DFC"/>
    <w:rsid w:val="00E17EA5"/>
    <w:rsid w:val="00E17F0B"/>
    <w:rsid w:val="00E17F29"/>
    <w:rsid w:val="00E17FFC"/>
    <w:rsid w:val="00E2001B"/>
    <w:rsid w:val="00E200F9"/>
    <w:rsid w:val="00E2013A"/>
    <w:rsid w:val="00E20180"/>
    <w:rsid w:val="00E20198"/>
    <w:rsid w:val="00E201C0"/>
    <w:rsid w:val="00E20276"/>
    <w:rsid w:val="00E2032A"/>
    <w:rsid w:val="00E20338"/>
    <w:rsid w:val="00E2034C"/>
    <w:rsid w:val="00E2035E"/>
    <w:rsid w:val="00E203E9"/>
    <w:rsid w:val="00E203FE"/>
    <w:rsid w:val="00E2055D"/>
    <w:rsid w:val="00E20607"/>
    <w:rsid w:val="00E20617"/>
    <w:rsid w:val="00E2068B"/>
    <w:rsid w:val="00E20713"/>
    <w:rsid w:val="00E20776"/>
    <w:rsid w:val="00E207B3"/>
    <w:rsid w:val="00E2095A"/>
    <w:rsid w:val="00E20999"/>
    <w:rsid w:val="00E209C7"/>
    <w:rsid w:val="00E20A96"/>
    <w:rsid w:val="00E20AA2"/>
    <w:rsid w:val="00E20ACB"/>
    <w:rsid w:val="00E20BBC"/>
    <w:rsid w:val="00E20C47"/>
    <w:rsid w:val="00E20D86"/>
    <w:rsid w:val="00E20E2E"/>
    <w:rsid w:val="00E20E45"/>
    <w:rsid w:val="00E20E6C"/>
    <w:rsid w:val="00E20E74"/>
    <w:rsid w:val="00E20EA8"/>
    <w:rsid w:val="00E20F53"/>
    <w:rsid w:val="00E20F8C"/>
    <w:rsid w:val="00E20FEB"/>
    <w:rsid w:val="00E21229"/>
    <w:rsid w:val="00E21279"/>
    <w:rsid w:val="00E212FC"/>
    <w:rsid w:val="00E21419"/>
    <w:rsid w:val="00E2141F"/>
    <w:rsid w:val="00E214F0"/>
    <w:rsid w:val="00E21554"/>
    <w:rsid w:val="00E2162D"/>
    <w:rsid w:val="00E21681"/>
    <w:rsid w:val="00E21824"/>
    <w:rsid w:val="00E21828"/>
    <w:rsid w:val="00E21852"/>
    <w:rsid w:val="00E2185A"/>
    <w:rsid w:val="00E218F1"/>
    <w:rsid w:val="00E21901"/>
    <w:rsid w:val="00E21927"/>
    <w:rsid w:val="00E21A53"/>
    <w:rsid w:val="00E21ACC"/>
    <w:rsid w:val="00E21B51"/>
    <w:rsid w:val="00E21C2E"/>
    <w:rsid w:val="00E21C68"/>
    <w:rsid w:val="00E21C73"/>
    <w:rsid w:val="00E21D10"/>
    <w:rsid w:val="00E21D81"/>
    <w:rsid w:val="00E21E7D"/>
    <w:rsid w:val="00E21E84"/>
    <w:rsid w:val="00E21ED5"/>
    <w:rsid w:val="00E21FBB"/>
    <w:rsid w:val="00E21FC6"/>
    <w:rsid w:val="00E22039"/>
    <w:rsid w:val="00E22121"/>
    <w:rsid w:val="00E221DA"/>
    <w:rsid w:val="00E2227D"/>
    <w:rsid w:val="00E22289"/>
    <w:rsid w:val="00E222B3"/>
    <w:rsid w:val="00E222FF"/>
    <w:rsid w:val="00E22367"/>
    <w:rsid w:val="00E223ED"/>
    <w:rsid w:val="00E22400"/>
    <w:rsid w:val="00E22498"/>
    <w:rsid w:val="00E22643"/>
    <w:rsid w:val="00E226FC"/>
    <w:rsid w:val="00E2278E"/>
    <w:rsid w:val="00E227F3"/>
    <w:rsid w:val="00E228F3"/>
    <w:rsid w:val="00E229A2"/>
    <w:rsid w:val="00E229ED"/>
    <w:rsid w:val="00E22A05"/>
    <w:rsid w:val="00E22BA7"/>
    <w:rsid w:val="00E22CCA"/>
    <w:rsid w:val="00E22CD6"/>
    <w:rsid w:val="00E22CD9"/>
    <w:rsid w:val="00E22D7B"/>
    <w:rsid w:val="00E22D9B"/>
    <w:rsid w:val="00E22E50"/>
    <w:rsid w:val="00E22E75"/>
    <w:rsid w:val="00E22E7A"/>
    <w:rsid w:val="00E22E8F"/>
    <w:rsid w:val="00E22EC8"/>
    <w:rsid w:val="00E22F59"/>
    <w:rsid w:val="00E22FAA"/>
    <w:rsid w:val="00E22FCB"/>
    <w:rsid w:val="00E23111"/>
    <w:rsid w:val="00E23213"/>
    <w:rsid w:val="00E2328E"/>
    <w:rsid w:val="00E23395"/>
    <w:rsid w:val="00E2365C"/>
    <w:rsid w:val="00E23689"/>
    <w:rsid w:val="00E23765"/>
    <w:rsid w:val="00E2378A"/>
    <w:rsid w:val="00E238CE"/>
    <w:rsid w:val="00E238EC"/>
    <w:rsid w:val="00E23976"/>
    <w:rsid w:val="00E23AB7"/>
    <w:rsid w:val="00E23BBC"/>
    <w:rsid w:val="00E23BE3"/>
    <w:rsid w:val="00E23BEF"/>
    <w:rsid w:val="00E23C47"/>
    <w:rsid w:val="00E23C7B"/>
    <w:rsid w:val="00E23EDA"/>
    <w:rsid w:val="00E23EF4"/>
    <w:rsid w:val="00E23F95"/>
    <w:rsid w:val="00E23F96"/>
    <w:rsid w:val="00E23FF5"/>
    <w:rsid w:val="00E23FF7"/>
    <w:rsid w:val="00E24063"/>
    <w:rsid w:val="00E240BB"/>
    <w:rsid w:val="00E241C0"/>
    <w:rsid w:val="00E241FE"/>
    <w:rsid w:val="00E24212"/>
    <w:rsid w:val="00E2425C"/>
    <w:rsid w:val="00E242F1"/>
    <w:rsid w:val="00E24335"/>
    <w:rsid w:val="00E24372"/>
    <w:rsid w:val="00E2438B"/>
    <w:rsid w:val="00E2445E"/>
    <w:rsid w:val="00E244A3"/>
    <w:rsid w:val="00E244DA"/>
    <w:rsid w:val="00E2458E"/>
    <w:rsid w:val="00E245BD"/>
    <w:rsid w:val="00E2461D"/>
    <w:rsid w:val="00E246A1"/>
    <w:rsid w:val="00E246FA"/>
    <w:rsid w:val="00E247D5"/>
    <w:rsid w:val="00E247EA"/>
    <w:rsid w:val="00E24815"/>
    <w:rsid w:val="00E2486D"/>
    <w:rsid w:val="00E249E7"/>
    <w:rsid w:val="00E24A50"/>
    <w:rsid w:val="00E24A8B"/>
    <w:rsid w:val="00E24A92"/>
    <w:rsid w:val="00E24B9C"/>
    <w:rsid w:val="00E24BEF"/>
    <w:rsid w:val="00E24CA2"/>
    <w:rsid w:val="00E24D1C"/>
    <w:rsid w:val="00E24DC0"/>
    <w:rsid w:val="00E24E97"/>
    <w:rsid w:val="00E24EF5"/>
    <w:rsid w:val="00E24F17"/>
    <w:rsid w:val="00E24F82"/>
    <w:rsid w:val="00E25036"/>
    <w:rsid w:val="00E2508C"/>
    <w:rsid w:val="00E25177"/>
    <w:rsid w:val="00E251B8"/>
    <w:rsid w:val="00E25214"/>
    <w:rsid w:val="00E2533A"/>
    <w:rsid w:val="00E25356"/>
    <w:rsid w:val="00E25375"/>
    <w:rsid w:val="00E253FB"/>
    <w:rsid w:val="00E254A6"/>
    <w:rsid w:val="00E254BF"/>
    <w:rsid w:val="00E254DA"/>
    <w:rsid w:val="00E25670"/>
    <w:rsid w:val="00E25674"/>
    <w:rsid w:val="00E256A3"/>
    <w:rsid w:val="00E2579A"/>
    <w:rsid w:val="00E257AA"/>
    <w:rsid w:val="00E257F3"/>
    <w:rsid w:val="00E25860"/>
    <w:rsid w:val="00E258A4"/>
    <w:rsid w:val="00E258A9"/>
    <w:rsid w:val="00E258FE"/>
    <w:rsid w:val="00E259BD"/>
    <w:rsid w:val="00E25B3F"/>
    <w:rsid w:val="00E25B7F"/>
    <w:rsid w:val="00E25BF3"/>
    <w:rsid w:val="00E25C87"/>
    <w:rsid w:val="00E25D0B"/>
    <w:rsid w:val="00E25D53"/>
    <w:rsid w:val="00E25EBE"/>
    <w:rsid w:val="00E25EC1"/>
    <w:rsid w:val="00E25FBA"/>
    <w:rsid w:val="00E25FCB"/>
    <w:rsid w:val="00E25FEA"/>
    <w:rsid w:val="00E26038"/>
    <w:rsid w:val="00E261BF"/>
    <w:rsid w:val="00E262A2"/>
    <w:rsid w:val="00E262F3"/>
    <w:rsid w:val="00E2650C"/>
    <w:rsid w:val="00E2650E"/>
    <w:rsid w:val="00E26510"/>
    <w:rsid w:val="00E26541"/>
    <w:rsid w:val="00E26551"/>
    <w:rsid w:val="00E2656C"/>
    <w:rsid w:val="00E26599"/>
    <w:rsid w:val="00E265A9"/>
    <w:rsid w:val="00E26616"/>
    <w:rsid w:val="00E26626"/>
    <w:rsid w:val="00E26635"/>
    <w:rsid w:val="00E26651"/>
    <w:rsid w:val="00E266B6"/>
    <w:rsid w:val="00E267D1"/>
    <w:rsid w:val="00E268B0"/>
    <w:rsid w:val="00E26923"/>
    <w:rsid w:val="00E26967"/>
    <w:rsid w:val="00E269A9"/>
    <w:rsid w:val="00E26AF2"/>
    <w:rsid w:val="00E26B60"/>
    <w:rsid w:val="00E26B97"/>
    <w:rsid w:val="00E26C42"/>
    <w:rsid w:val="00E26C56"/>
    <w:rsid w:val="00E26D07"/>
    <w:rsid w:val="00E26EAF"/>
    <w:rsid w:val="00E26ED0"/>
    <w:rsid w:val="00E26EE4"/>
    <w:rsid w:val="00E26FBB"/>
    <w:rsid w:val="00E26FE4"/>
    <w:rsid w:val="00E26FFE"/>
    <w:rsid w:val="00E2705F"/>
    <w:rsid w:val="00E2711A"/>
    <w:rsid w:val="00E27166"/>
    <w:rsid w:val="00E27185"/>
    <w:rsid w:val="00E271B7"/>
    <w:rsid w:val="00E272C6"/>
    <w:rsid w:val="00E27405"/>
    <w:rsid w:val="00E2747F"/>
    <w:rsid w:val="00E27485"/>
    <w:rsid w:val="00E274B5"/>
    <w:rsid w:val="00E274CA"/>
    <w:rsid w:val="00E2750D"/>
    <w:rsid w:val="00E2752A"/>
    <w:rsid w:val="00E2752F"/>
    <w:rsid w:val="00E27624"/>
    <w:rsid w:val="00E27703"/>
    <w:rsid w:val="00E27718"/>
    <w:rsid w:val="00E2783E"/>
    <w:rsid w:val="00E2787D"/>
    <w:rsid w:val="00E27ADA"/>
    <w:rsid w:val="00E27AF2"/>
    <w:rsid w:val="00E27B27"/>
    <w:rsid w:val="00E27B3D"/>
    <w:rsid w:val="00E27B4B"/>
    <w:rsid w:val="00E27BA3"/>
    <w:rsid w:val="00E27BA4"/>
    <w:rsid w:val="00E27BB2"/>
    <w:rsid w:val="00E27BCC"/>
    <w:rsid w:val="00E27BFB"/>
    <w:rsid w:val="00E27C20"/>
    <w:rsid w:val="00E27C3F"/>
    <w:rsid w:val="00E27E31"/>
    <w:rsid w:val="00E27F25"/>
    <w:rsid w:val="00E27F4C"/>
    <w:rsid w:val="00E300DC"/>
    <w:rsid w:val="00E3021C"/>
    <w:rsid w:val="00E3025D"/>
    <w:rsid w:val="00E30266"/>
    <w:rsid w:val="00E30291"/>
    <w:rsid w:val="00E302D5"/>
    <w:rsid w:val="00E30349"/>
    <w:rsid w:val="00E30451"/>
    <w:rsid w:val="00E3046D"/>
    <w:rsid w:val="00E30486"/>
    <w:rsid w:val="00E30497"/>
    <w:rsid w:val="00E30529"/>
    <w:rsid w:val="00E30540"/>
    <w:rsid w:val="00E30555"/>
    <w:rsid w:val="00E30671"/>
    <w:rsid w:val="00E30696"/>
    <w:rsid w:val="00E306FB"/>
    <w:rsid w:val="00E3073D"/>
    <w:rsid w:val="00E30795"/>
    <w:rsid w:val="00E308F2"/>
    <w:rsid w:val="00E3096A"/>
    <w:rsid w:val="00E309FD"/>
    <w:rsid w:val="00E30ADB"/>
    <w:rsid w:val="00E30B2B"/>
    <w:rsid w:val="00E30B5C"/>
    <w:rsid w:val="00E30B96"/>
    <w:rsid w:val="00E30BB6"/>
    <w:rsid w:val="00E30CEB"/>
    <w:rsid w:val="00E30DFE"/>
    <w:rsid w:val="00E30E0B"/>
    <w:rsid w:val="00E30E60"/>
    <w:rsid w:val="00E30F0C"/>
    <w:rsid w:val="00E30FDA"/>
    <w:rsid w:val="00E31008"/>
    <w:rsid w:val="00E3105E"/>
    <w:rsid w:val="00E310EA"/>
    <w:rsid w:val="00E310EC"/>
    <w:rsid w:val="00E31238"/>
    <w:rsid w:val="00E31265"/>
    <w:rsid w:val="00E312A1"/>
    <w:rsid w:val="00E312A4"/>
    <w:rsid w:val="00E31344"/>
    <w:rsid w:val="00E31369"/>
    <w:rsid w:val="00E313C7"/>
    <w:rsid w:val="00E313E0"/>
    <w:rsid w:val="00E313E6"/>
    <w:rsid w:val="00E31434"/>
    <w:rsid w:val="00E31509"/>
    <w:rsid w:val="00E3158A"/>
    <w:rsid w:val="00E31694"/>
    <w:rsid w:val="00E317A3"/>
    <w:rsid w:val="00E31859"/>
    <w:rsid w:val="00E3188C"/>
    <w:rsid w:val="00E3192F"/>
    <w:rsid w:val="00E31A37"/>
    <w:rsid w:val="00E31A98"/>
    <w:rsid w:val="00E31B01"/>
    <w:rsid w:val="00E31B0E"/>
    <w:rsid w:val="00E31B50"/>
    <w:rsid w:val="00E31B68"/>
    <w:rsid w:val="00E31BA8"/>
    <w:rsid w:val="00E31C49"/>
    <w:rsid w:val="00E31D48"/>
    <w:rsid w:val="00E31D50"/>
    <w:rsid w:val="00E31D79"/>
    <w:rsid w:val="00E31DAD"/>
    <w:rsid w:val="00E31E65"/>
    <w:rsid w:val="00E31E6B"/>
    <w:rsid w:val="00E31EEA"/>
    <w:rsid w:val="00E31F22"/>
    <w:rsid w:val="00E31FE8"/>
    <w:rsid w:val="00E320BF"/>
    <w:rsid w:val="00E32125"/>
    <w:rsid w:val="00E321BF"/>
    <w:rsid w:val="00E32203"/>
    <w:rsid w:val="00E3220D"/>
    <w:rsid w:val="00E32235"/>
    <w:rsid w:val="00E32255"/>
    <w:rsid w:val="00E322D5"/>
    <w:rsid w:val="00E322E2"/>
    <w:rsid w:val="00E32321"/>
    <w:rsid w:val="00E32550"/>
    <w:rsid w:val="00E32567"/>
    <w:rsid w:val="00E32575"/>
    <w:rsid w:val="00E32576"/>
    <w:rsid w:val="00E32656"/>
    <w:rsid w:val="00E3265C"/>
    <w:rsid w:val="00E3266A"/>
    <w:rsid w:val="00E326C4"/>
    <w:rsid w:val="00E32743"/>
    <w:rsid w:val="00E3275C"/>
    <w:rsid w:val="00E328FB"/>
    <w:rsid w:val="00E3291F"/>
    <w:rsid w:val="00E32951"/>
    <w:rsid w:val="00E32997"/>
    <w:rsid w:val="00E32A17"/>
    <w:rsid w:val="00E32A8E"/>
    <w:rsid w:val="00E32ACA"/>
    <w:rsid w:val="00E32B1F"/>
    <w:rsid w:val="00E32B66"/>
    <w:rsid w:val="00E32BEB"/>
    <w:rsid w:val="00E32C1E"/>
    <w:rsid w:val="00E32DEF"/>
    <w:rsid w:val="00E32E1D"/>
    <w:rsid w:val="00E32E8A"/>
    <w:rsid w:val="00E32ED1"/>
    <w:rsid w:val="00E32EE1"/>
    <w:rsid w:val="00E3300A"/>
    <w:rsid w:val="00E3305E"/>
    <w:rsid w:val="00E33101"/>
    <w:rsid w:val="00E33129"/>
    <w:rsid w:val="00E3323E"/>
    <w:rsid w:val="00E332F2"/>
    <w:rsid w:val="00E33328"/>
    <w:rsid w:val="00E33570"/>
    <w:rsid w:val="00E335BD"/>
    <w:rsid w:val="00E335C7"/>
    <w:rsid w:val="00E335E6"/>
    <w:rsid w:val="00E3362B"/>
    <w:rsid w:val="00E3363E"/>
    <w:rsid w:val="00E336F2"/>
    <w:rsid w:val="00E3374A"/>
    <w:rsid w:val="00E33941"/>
    <w:rsid w:val="00E339CC"/>
    <w:rsid w:val="00E339D4"/>
    <w:rsid w:val="00E33A4C"/>
    <w:rsid w:val="00E33B59"/>
    <w:rsid w:val="00E33B95"/>
    <w:rsid w:val="00E33BB4"/>
    <w:rsid w:val="00E33BF2"/>
    <w:rsid w:val="00E33C4B"/>
    <w:rsid w:val="00E33C98"/>
    <w:rsid w:val="00E33CC0"/>
    <w:rsid w:val="00E33CF3"/>
    <w:rsid w:val="00E33D02"/>
    <w:rsid w:val="00E33E08"/>
    <w:rsid w:val="00E33E28"/>
    <w:rsid w:val="00E33F66"/>
    <w:rsid w:val="00E3406D"/>
    <w:rsid w:val="00E34072"/>
    <w:rsid w:val="00E3418C"/>
    <w:rsid w:val="00E3426D"/>
    <w:rsid w:val="00E3426F"/>
    <w:rsid w:val="00E34352"/>
    <w:rsid w:val="00E34363"/>
    <w:rsid w:val="00E343F0"/>
    <w:rsid w:val="00E3440F"/>
    <w:rsid w:val="00E34474"/>
    <w:rsid w:val="00E344DE"/>
    <w:rsid w:val="00E344FB"/>
    <w:rsid w:val="00E3457C"/>
    <w:rsid w:val="00E3459C"/>
    <w:rsid w:val="00E345FC"/>
    <w:rsid w:val="00E34657"/>
    <w:rsid w:val="00E34730"/>
    <w:rsid w:val="00E3474D"/>
    <w:rsid w:val="00E34867"/>
    <w:rsid w:val="00E348E3"/>
    <w:rsid w:val="00E348FE"/>
    <w:rsid w:val="00E34931"/>
    <w:rsid w:val="00E34968"/>
    <w:rsid w:val="00E3498C"/>
    <w:rsid w:val="00E34A9E"/>
    <w:rsid w:val="00E34AC0"/>
    <w:rsid w:val="00E34B5E"/>
    <w:rsid w:val="00E34BAF"/>
    <w:rsid w:val="00E34BED"/>
    <w:rsid w:val="00E34C22"/>
    <w:rsid w:val="00E34C6A"/>
    <w:rsid w:val="00E34E65"/>
    <w:rsid w:val="00E34EA2"/>
    <w:rsid w:val="00E34F19"/>
    <w:rsid w:val="00E34FCA"/>
    <w:rsid w:val="00E350F6"/>
    <w:rsid w:val="00E35113"/>
    <w:rsid w:val="00E35191"/>
    <w:rsid w:val="00E351E8"/>
    <w:rsid w:val="00E35212"/>
    <w:rsid w:val="00E3522E"/>
    <w:rsid w:val="00E3523A"/>
    <w:rsid w:val="00E352A0"/>
    <w:rsid w:val="00E352EA"/>
    <w:rsid w:val="00E35340"/>
    <w:rsid w:val="00E35359"/>
    <w:rsid w:val="00E353FF"/>
    <w:rsid w:val="00E35435"/>
    <w:rsid w:val="00E35471"/>
    <w:rsid w:val="00E35483"/>
    <w:rsid w:val="00E354D2"/>
    <w:rsid w:val="00E35540"/>
    <w:rsid w:val="00E35549"/>
    <w:rsid w:val="00E355D0"/>
    <w:rsid w:val="00E355E8"/>
    <w:rsid w:val="00E355E9"/>
    <w:rsid w:val="00E35630"/>
    <w:rsid w:val="00E356D1"/>
    <w:rsid w:val="00E356D6"/>
    <w:rsid w:val="00E356D9"/>
    <w:rsid w:val="00E357B2"/>
    <w:rsid w:val="00E357D3"/>
    <w:rsid w:val="00E357D9"/>
    <w:rsid w:val="00E35866"/>
    <w:rsid w:val="00E35944"/>
    <w:rsid w:val="00E359AC"/>
    <w:rsid w:val="00E359ED"/>
    <w:rsid w:val="00E359F3"/>
    <w:rsid w:val="00E35A69"/>
    <w:rsid w:val="00E35A7F"/>
    <w:rsid w:val="00E35A89"/>
    <w:rsid w:val="00E35AD7"/>
    <w:rsid w:val="00E35B05"/>
    <w:rsid w:val="00E35B89"/>
    <w:rsid w:val="00E35BB1"/>
    <w:rsid w:val="00E35BC4"/>
    <w:rsid w:val="00E35C25"/>
    <w:rsid w:val="00E35C46"/>
    <w:rsid w:val="00E35C68"/>
    <w:rsid w:val="00E35C9B"/>
    <w:rsid w:val="00E35D2B"/>
    <w:rsid w:val="00E35E7D"/>
    <w:rsid w:val="00E35F55"/>
    <w:rsid w:val="00E36081"/>
    <w:rsid w:val="00E360D1"/>
    <w:rsid w:val="00E360DB"/>
    <w:rsid w:val="00E360E9"/>
    <w:rsid w:val="00E3622F"/>
    <w:rsid w:val="00E362B5"/>
    <w:rsid w:val="00E362BD"/>
    <w:rsid w:val="00E36314"/>
    <w:rsid w:val="00E36387"/>
    <w:rsid w:val="00E36410"/>
    <w:rsid w:val="00E36435"/>
    <w:rsid w:val="00E36441"/>
    <w:rsid w:val="00E364E0"/>
    <w:rsid w:val="00E36559"/>
    <w:rsid w:val="00E36599"/>
    <w:rsid w:val="00E365CA"/>
    <w:rsid w:val="00E3667B"/>
    <w:rsid w:val="00E366B6"/>
    <w:rsid w:val="00E3672F"/>
    <w:rsid w:val="00E36764"/>
    <w:rsid w:val="00E367CE"/>
    <w:rsid w:val="00E368B2"/>
    <w:rsid w:val="00E36A38"/>
    <w:rsid w:val="00E36B11"/>
    <w:rsid w:val="00E36B4C"/>
    <w:rsid w:val="00E36BBE"/>
    <w:rsid w:val="00E36C88"/>
    <w:rsid w:val="00E36CB8"/>
    <w:rsid w:val="00E36CC5"/>
    <w:rsid w:val="00E36CD5"/>
    <w:rsid w:val="00E36CF3"/>
    <w:rsid w:val="00E36D5E"/>
    <w:rsid w:val="00E36E66"/>
    <w:rsid w:val="00E36ED9"/>
    <w:rsid w:val="00E36F19"/>
    <w:rsid w:val="00E36FF6"/>
    <w:rsid w:val="00E370C1"/>
    <w:rsid w:val="00E37113"/>
    <w:rsid w:val="00E37146"/>
    <w:rsid w:val="00E3714E"/>
    <w:rsid w:val="00E3716E"/>
    <w:rsid w:val="00E3722D"/>
    <w:rsid w:val="00E374A1"/>
    <w:rsid w:val="00E37527"/>
    <w:rsid w:val="00E375B5"/>
    <w:rsid w:val="00E375E6"/>
    <w:rsid w:val="00E37624"/>
    <w:rsid w:val="00E376C2"/>
    <w:rsid w:val="00E37790"/>
    <w:rsid w:val="00E377B7"/>
    <w:rsid w:val="00E377BE"/>
    <w:rsid w:val="00E377DA"/>
    <w:rsid w:val="00E378CB"/>
    <w:rsid w:val="00E379A7"/>
    <w:rsid w:val="00E37AC1"/>
    <w:rsid w:val="00E37ACB"/>
    <w:rsid w:val="00E37AEA"/>
    <w:rsid w:val="00E37BCA"/>
    <w:rsid w:val="00E37DCA"/>
    <w:rsid w:val="00E37E15"/>
    <w:rsid w:val="00E37FA4"/>
    <w:rsid w:val="00E37FB3"/>
    <w:rsid w:val="00E40090"/>
    <w:rsid w:val="00E400E5"/>
    <w:rsid w:val="00E401E0"/>
    <w:rsid w:val="00E401EE"/>
    <w:rsid w:val="00E4021B"/>
    <w:rsid w:val="00E4022F"/>
    <w:rsid w:val="00E40309"/>
    <w:rsid w:val="00E403A7"/>
    <w:rsid w:val="00E40459"/>
    <w:rsid w:val="00E40476"/>
    <w:rsid w:val="00E404D8"/>
    <w:rsid w:val="00E405D6"/>
    <w:rsid w:val="00E405F1"/>
    <w:rsid w:val="00E405FF"/>
    <w:rsid w:val="00E4072D"/>
    <w:rsid w:val="00E40748"/>
    <w:rsid w:val="00E4075A"/>
    <w:rsid w:val="00E4077A"/>
    <w:rsid w:val="00E40799"/>
    <w:rsid w:val="00E407AF"/>
    <w:rsid w:val="00E4084E"/>
    <w:rsid w:val="00E408D5"/>
    <w:rsid w:val="00E40945"/>
    <w:rsid w:val="00E40A6D"/>
    <w:rsid w:val="00E40B1B"/>
    <w:rsid w:val="00E40BFD"/>
    <w:rsid w:val="00E40C39"/>
    <w:rsid w:val="00E40C92"/>
    <w:rsid w:val="00E40CCE"/>
    <w:rsid w:val="00E40D84"/>
    <w:rsid w:val="00E40D91"/>
    <w:rsid w:val="00E40DDF"/>
    <w:rsid w:val="00E40F0A"/>
    <w:rsid w:val="00E40F1D"/>
    <w:rsid w:val="00E40FC0"/>
    <w:rsid w:val="00E4103A"/>
    <w:rsid w:val="00E4109B"/>
    <w:rsid w:val="00E410A0"/>
    <w:rsid w:val="00E41133"/>
    <w:rsid w:val="00E41167"/>
    <w:rsid w:val="00E411BA"/>
    <w:rsid w:val="00E412A5"/>
    <w:rsid w:val="00E41326"/>
    <w:rsid w:val="00E4133A"/>
    <w:rsid w:val="00E41362"/>
    <w:rsid w:val="00E4138A"/>
    <w:rsid w:val="00E4138B"/>
    <w:rsid w:val="00E413F1"/>
    <w:rsid w:val="00E413F8"/>
    <w:rsid w:val="00E41477"/>
    <w:rsid w:val="00E41576"/>
    <w:rsid w:val="00E41593"/>
    <w:rsid w:val="00E41611"/>
    <w:rsid w:val="00E4168B"/>
    <w:rsid w:val="00E41779"/>
    <w:rsid w:val="00E4182C"/>
    <w:rsid w:val="00E41837"/>
    <w:rsid w:val="00E4197B"/>
    <w:rsid w:val="00E4199B"/>
    <w:rsid w:val="00E41A3C"/>
    <w:rsid w:val="00E41AF0"/>
    <w:rsid w:val="00E41B2E"/>
    <w:rsid w:val="00E41C7D"/>
    <w:rsid w:val="00E41CDA"/>
    <w:rsid w:val="00E41CED"/>
    <w:rsid w:val="00E41D3D"/>
    <w:rsid w:val="00E41D57"/>
    <w:rsid w:val="00E41D8F"/>
    <w:rsid w:val="00E41DD7"/>
    <w:rsid w:val="00E41DDD"/>
    <w:rsid w:val="00E41DED"/>
    <w:rsid w:val="00E41EBF"/>
    <w:rsid w:val="00E4213B"/>
    <w:rsid w:val="00E421EB"/>
    <w:rsid w:val="00E424A3"/>
    <w:rsid w:val="00E4257C"/>
    <w:rsid w:val="00E4257E"/>
    <w:rsid w:val="00E42637"/>
    <w:rsid w:val="00E42692"/>
    <w:rsid w:val="00E427D2"/>
    <w:rsid w:val="00E4282C"/>
    <w:rsid w:val="00E42855"/>
    <w:rsid w:val="00E429A4"/>
    <w:rsid w:val="00E42A20"/>
    <w:rsid w:val="00E42AD6"/>
    <w:rsid w:val="00E42BC1"/>
    <w:rsid w:val="00E42C1E"/>
    <w:rsid w:val="00E42C2D"/>
    <w:rsid w:val="00E42C4C"/>
    <w:rsid w:val="00E42C52"/>
    <w:rsid w:val="00E42C82"/>
    <w:rsid w:val="00E42C8D"/>
    <w:rsid w:val="00E42DEA"/>
    <w:rsid w:val="00E42DF2"/>
    <w:rsid w:val="00E42E14"/>
    <w:rsid w:val="00E42EA9"/>
    <w:rsid w:val="00E42ED3"/>
    <w:rsid w:val="00E42FCB"/>
    <w:rsid w:val="00E42FF5"/>
    <w:rsid w:val="00E430E3"/>
    <w:rsid w:val="00E43191"/>
    <w:rsid w:val="00E432ED"/>
    <w:rsid w:val="00E43302"/>
    <w:rsid w:val="00E4335F"/>
    <w:rsid w:val="00E43374"/>
    <w:rsid w:val="00E433C5"/>
    <w:rsid w:val="00E43414"/>
    <w:rsid w:val="00E4341A"/>
    <w:rsid w:val="00E434C1"/>
    <w:rsid w:val="00E434EE"/>
    <w:rsid w:val="00E4352F"/>
    <w:rsid w:val="00E4356D"/>
    <w:rsid w:val="00E43581"/>
    <w:rsid w:val="00E4361D"/>
    <w:rsid w:val="00E43628"/>
    <w:rsid w:val="00E437B3"/>
    <w:rsid w:val="00E438CB"/>
    <w:rsid w:val="00E4395B"/>
    <w:rsid w:val="00E43976"/>
    <w:rsid w:val="00E43A70"/>
    <w:rsid w:val="00E43ABD"/>
    <w:rsid w:val="00E43AC0"/>
    <w:rsid w:val="00E43ADB"/>
    <w:rsid w:val="00E43C5A"/>
    <w:rsid w:val="00E43C83"/>
    <w:rsid w:val="00E43CB6"/>
    <w:rsid w:val="00E43D38"/>
    <w:rsid w:val="00E43D46"/>
    <w:rsid w:val="00E43DFC"/>
    <w:rsid w:val="00E43EC9"/>
    <w:rsid w:val="00E43F74"/>
    <w:rsid w:val="00E4407B"/>
    <w:rsid w:val="00E440D1"/>
    <w:rsid w:val="00E44102"/>
    <w:rsid w:val="00E44112"/>
    <w:rsid w:val="00E44190"/>
    <w:rsid w:val="00E441EF"/>
    <w:rsid w:val="00E44293"/>
    <w:rsid w:val="00E442DF"/>
    <w:rsid w:val="00E4430F"/>
    <w:rsid w:val="00E44317"/>
    <w:rsid w:val="00E44501"/>
    <w:rsid w:val="00E446DC"/>
    <w:rsid w:val="00E44767"/>
    <w:rsid w:val="00E44787"/>
    <w:rsid w:val="00E44789"/>
    <w:rsid w:val="00E44805"/>
    <w:rsid w:val="00E4482D"/>
    <w:rsid w:val="00E44873"/>
    <w:rsid w:val="00E44901"/>
    <w:rsid w:val="00E44951"/>
    <w:rsid w:val="00E44960"/>
    <w:rsid w:val="00E44976"/>
    <w:rsid w:val="00E4499C"/>
    <w:rsid w:val="00E449A5"/>
    <w:rsid w:val="00E44A34"/>
    <w:rsid w:val="00E44A4B"/>
    <w:rsid w:val="00E44A76"/>
    <w:rsid w:val="00E44B24"/>
    <w:rsid w:val="00E44C36"/>
    <w:rsid w:val="00E44C7E"/>
    <w:rsid w:val="00E44C7F"/>
    <w:rsid w:val="00E44C80"/>
    <w:rsid w:val="00E44CCE"/>
    <w:rsid w:val="00E44D66"/>
    <w:rsid w:val="00E44D77"/>
    <w:rsid w:val="00E44E25"/>
    <w:rsid w:val="00E44EBC"/>
    <w:rsid w:val="00E44F43"/>
    <w:rsid w:val="00E45042"/>
    <w:rsid w:val="00E4509D"/>
    <w:rsid w:val="00E450DB"/>
    <w:rsid w:val="00E45155"/>
    <w:rsid w:val="00E4516E"/>
    <w:rsid w:val="00E45209"/>
    <w:rsid w:val="00E4521E"/>
    <w:rsid w:val="00E45253"/>
    <w:rsid w:val="00E4527E"/>
    <w:rsid w:val="00E452C3"/>
    <w:rsid w:val="00E452CE"/>
    <w:rsid w:val="00E45355"/>
    <w:rsid w:val="00E45369"/>
    <w:rsid w:val="00E453AE"/>
    <w:rsid w:val="00E45476"/>
    <w:rsid w:val="00E4547E"/>
    <w:rsid w:val="00E4569A"/>
    <w:rsid w:val="00E456BC"/>
    <w:rsid w:val="00E45793"/>
    <w:rsid w:val="00E4582A"/>
    <w:rsid w:val="00E45894"/>
    <w:rsid w:val="00E458C2"/>
    <w:rsid w:val="00E458FD"/>
    <w:rsid w:val="00E4590C"/>
    <w:rsid w:val="00E459A4"/>
    <w:rsid w:val="00E45A03"/>
    <w:rsid w:val="00E45A3B"/>
    <w:rsid w:val="00E45AA8"/>
    <w:rsid w:val="00E45AEF"/>
    <w:rsid w:val="00E45B19"/>
    <w:rsid w:val="00E45B2F"/>
    <w:rsid w:val="00E45B3D"/>
    <w:rsid w:val="00E45C0E"/>
    <w:rsid w:val="00E45C72"/>
    <w:rsid w:val="00E45CA9"/>
    <w:rsid w:val="00E45D30"/>
    <w:rsid w:val="00E45D55"/>
    <w:rsid w:val="00E45D74"/>
    <w:rsid w:val="00E45DA4"/>
    <w:rsid w:val="00E45E30"/>
    <w:rsid w:val="00E45E78"/>
    <w:rsid w:val="00E45E9B"/>
    <w:rsid w:val="00E45EC9"/>
    <w:rsid w:val="00E45EFE"/>
    <w:rsid w:val="00E45FA0"/>
    <w:rsid w:val="00E46127"/>
    <w:rsid w:val="00E46145"/>
    <w:rsid w:val="00E4615C"/>
    <w:rsid w:val="00E461A6"/>
    <w:rsid w:val="00E46283"/>
    <w:rsid w:val="00E46366"/>
    <w:rsid w:val="00E463B0"/>
    <w:rsid w:val="00E463DE"/>
    <w:rsid w:val="00E464D8"/>
    <w:rsid w:val="00E464DA"/>
    <w:rsid w:val="00E46506"/>
    <w:rsid w:val="00E4651B"/>
    <w:rsid w:val="00E4656B"/>
    <w:rsid w:val="00E465DA"/>
    <w:rsid w:val="00E46674"/>
    <w:rsid w:val="00E46690"/>
    <w:rsid w:val="00E467B3"/>
    <w:rsid w:val="00E46835"/>
    <w:rsid w:val="00E468FE"/>
    <w:rsid w:val="00E46904"/>
    <w:rsid w:val="00E46923"/>
    <w:rsid w:val="00E469AF"/>
    <w:rsid w:val="00E469B3"/>
    <w:rsid w:val="00E469E6"/>
    <w:rsid w:val="00E46A3A"/>
    <w:rsid w:val="00E46A53"/>
    <w:rsid w:val="00E46ACA"/>
    <w:rsid w:val="00E46B56"/>
    <w:rsid w:val="00E46CB7"/>
    <w:rsid w:val="00E46CC2"/>
    <w:rsid w:val="00E46CCC"/>
    <w:rsid w:val="00E46D53"/>
    <w:rsid w:val="00E46D5B"/>
    <w:rsid w:val="00E46D68"/>
    <w:rsid w:val="00E46D8B"/>
    <w:rsid w:val="00E46DA7"/>
    <w:rsid w:val="00E46DBA"/>
    <w:rsid w:val="00E46DDF"/>
    <w:rsid w:val="00E46DE2"/>
    <w:rsid w:val="00E46E50"/>
    <w:rsid w:val="00E46E9B"/>
    <w:rsid w:val="00E46F02"/>
    <w:rsid w:val="00E46F86"/>
    <w:rsid w:val="00E46F93"/>
    <w:rsid w:val="00E46FD6"/>
    <w:rsid w:val="00E47020"/>
    <w:rsid w:val="00E470E8"/>
    <w:rsid w:val="00E47129"/>
    <w:rsid w:val="00E471BD"/>
    <w:rsid w:val="00E47267"/>
    <w:rsid w:val="00E4726A"/>
    <w:rsid w:val="00E472DF"/>
    <w:rsid w:val="00E472FD"/>
    <w:rsid w:val="00E473D3"/>
    <w:rsid w:val="00E4747D"/>
    <w:rsid w:val="00E475F7"/>
    <w:rsid w:val="00E476B6"/>
    <w:rsid w:val="00E477AF"/>
    <w:rsid w:val="00E47873"/>
    <w:rsid w:val="00E4789C"/>
    <w:rsid w:val="00E478FE"/>
    <w:rsid w:val="00E4794B"/>
    <w:rsid w:val="00E4795C"/>
    <w:rsid w:val="00E47A06"/>
    <w:rsid w:val="00E47A40"/>
    <w:rsid w:val="00E47A74"/>
    <w:rsid w:val="00E47AAC"/>
    <w:rsid w:val="00E47AB0"/>
    <w:rsid w:val="00E47ACC"/>
    <w:rsid w:val="00E47AF3"/>
    <w:rsid w:val="00E47BAB"/>
    <w:rsid w:val="00E47BC5"/>
    <w:rsid w:val="00E47BEC"/>
    <w:rsid w:val="00E47C04"/>
    <w:rsid w:val="00E47C08"/>
    <w:rsid w:val="00E47C4A"/>
    <w:rsid w:val="00E47DB3"/>
    <w:rsid w:val="00E47EF7"/>
    <w:rsid w:val="00E47F85"/>
    <w:rsid w:val="00E5005F"/>
    <w:rsid w:val="00E500DC"/>
    <w:rsid w:val="00E500E1"/>
    <w:rsid w:val="00E5013D"/>
    <w:rsid w:val="00E50181"/>
    <w:rsid w:val="00E501B4"/>
    <w:rsid w:val="00E501FE"/>
    <w:rsid w:val="00E5025E"/>
    <w:rsid w:val="00E502CF"/>
    <w:rsid w:val="00E502F4"/>
    <w:rsid w:val="00E50339"/>
    <w:rsid w:val="00E5041E"/>
    <w:rsid w:val="00E50471"/>
    <w:rsid w:val="00E50487"/>
    <w:rsid w:val="00E50529"/>
    <w:rsid w:val="00E50559"/>
    <w:rsid w:val="00E5056E"/>
    <w:rsid w:val="00E505C1"/>
    <w:rsid w:val="00E50650"/>
    <w:rsid w:val="00E50659"/>
    <w:rsid w:val="00E50675"/>
    <w:rsid w:val="00E506A9"/>
    <w:rsid w:val="00E506E1"/>
    <w:rsid w:val="00E506E3"/>
    <w:rsid w:val="00E5076D"/>
    <w:rsid w:val="00E507BE"/>
    <w:rsid w:val="00E507C1"/>
    <w:rsid w:val="00E507C9"/>
    <w:rsid w:val="00E50913"/>
    <w:rsid w:val="00E509B7"/>
    <w:rsid w:val="00E50A32"/>
    <w:rsid w:val="00E50A4D"/>
    <w:rsid w:val="00E50B0F"/>
    <w:rsid w:val="00E50B14"/>
    <w:rsid w:val="00E50B17"/>
    <w:rsid w:val="00E50B31"/>
    <w:rsid w:val="00E50C89"/>
    <w:rsid w:val="00E50C8B"/>
    <w:rsid w:val="00E50CC7"/>
    <w:rsid w:val="00E50D06"/>
    <w:rsid w:val="00E50D81"/>
    <w:rsid w:val="00E50D91"/>
    <w:rsid w:val="00E50DD7"/>
    <w:rsid w:val="00E50E00"/>
    <w:rsid w:val="00E50E3E"/>
    <w:rsid w:val="00E50ED3"/>
    <w:rsid w:val="00E50EF3"/>
    <w:rsid w:val="00E50F65"/>
    <w:rsid w:val="00E50FD3"/>
    <w:rsid w:val="00E50FE6"/>
    <w:rsid w:val="00E51077"/>
    <w:rsid w:val="00E510CA"/>
    <w:rsid w:val="00E51172"/>
    <w:rsid w:val="00E51187"/>
    <w:rsid w:val="00E51241"/>
    <w:rsid w:val="00E51264"/>
    <w:rsid w:val="00E5129F"/>
    <w:rsid w:val="00E513F6"/>
    <w:rsid w:val="00E51482"/>
    <w:rsid w:val="00E514C3"/>
    <w:rsid w:val="00E514E7"/>
    <w:rsid w:val="00E51537"/>
    <w:rsid w:val="00E51549"/>
    <w:rsid w:val="00E5157C"/>
    <w:rsid w:val="00E51690"/>
    <w:rsid w:val="00E516FA"/>
    <w:rsid w:val="00E51752"/>
    <w:rsid w:val="00E51979"/>
    <w:rsid w:val="00E51A1A"/>
    <w:rsid w:val="00E51A7F"/>
    <w:rsid w:val="00E51A8E"/>
    <w:rsid w:val="00E51A9D"/>
    <w:rsid w:val="00E51AAA"/>
    <w:rsid w:val="00E51AD7"/>
    <w:rsid w:val="00E51B55"/>
    <w:rsid w:val="00E51B81"/>
    <w:rsid w:val="00E51C72"/>
    <w:rsid w:val="00E51CA2"/>
    <w:rsid w:val="00E51DCD"/>
    <w:rsid w:val="00E51E2D"/>
    <w:rsid w:val="00E51E9C"/>
    <w:rsid w:val="00E51E9E"/>
    <w:rsid w:val="00E51ECB"/>
    <w:rsid w:val="00E51F11"/>
    <w:rsid w:val="00E51F6C"/>
    <w:rsid w:val="00E51F86"/>
    <w:rsid w:val="00E520FF"/>
    <w:rsid w:val="00E52136"/>
    <w:rsid w:val="00E5214A"/>
    <w:rsid w:val="00E5223C"/>
    <w:rsid w:val="00E522E2"/>
    <w:rsid w:val="00E52380"/>
    <w:rsid w:val="00E523C3"/>
    <w:rsid w:val="00E523D2"/>
    <w:rsid w:val="00E523F7"/>
    <w:rsid w:val="00E5242E"/>
    <w:rsid w:val="00E52479"/>
    <w:rsid w:val="00E525FE"/>
    <w:rsid w:val="00E5281A"/>
    <w:rsid w:val="00E52843"/>
    <w:rsid w:val="00E5290F"/>
    <w:rsid w:val="00E52913"/>
    <w:rsid w:val="00E52936"/>
    <w:rsid w:val="00E5299B"/>
    <w:rsid w:val="00E52A26"/>
    <w:rsid w:val="00E52A7F"/>
    <w:rsid w:val="00E52AA1"/>
    <w:rsid w:val="00E52B55"/>
    <w:rsid w:val="00E52B72"/>
    <w:rsid w:val="00E52BE3"/>
    <w:rsid w:val="00E52D32"/>
    <w:rsid w:val="00E52D51"/>
    <w:rsid w:val="00E52DA5"/>
    <w:rsid w:val="00E52F09"/>
    <w:rsid w:val="00E53044"/>
    <w:rsid w:val="00E5309F"/>
    <w:rsid w:val="00E5315C"/>
    <w:rsid w:val="00E53174"/>
    <w:rsid w:val="00E53203"/>
    <w:rsid w:val="00E5328E"/>
    <w:rsid w:val="00E5329E"/>
    <w:rsid w:val="00E532B6"/>
    <w:rsid w:val="00E532BA"/>
    <w:rsid w:val="00E532F7"/>
    <w:rsid w:val="00E5334B"/>
    <w:rsid w:val="00E534E2"/>
    <w:rsid w:val="00E53574"/>
    <w:rsid w:val="00E535B2"/>
    <w:rsid w:val="00E53604"/>
    <w:rsid w:val="00E5364E"/>
    <w:rsid w:val="00E537C3"/>
    <w:rsid w:val="00E53891"/>
    <w:rsid w:val="00E53988"/>
    <w:rsid w:val="00E53A02"/>
    <w:rsid w:val="00E53A6C"/>
    <w:rsid w:val="00E53A79"/>
    <w:rsid w:val="00E53AA4"/>
    <w:rsid w:val="00E53B06"/>
    <w:rsid w:val="00E53B63"/>
    <w:rsid w:val="00E53CF5"/>
    <w:rsid w:val="00E53D11"/>
    <w:rsid w:val="00E53D50"/>
    <w:rsid w:val="00E53E06"/>
    <w:rsid w:val="00E53ED3"/>
    <w:rsid w:val="00E53F58"/>
    <w:rsid w:val="00E53F61"/>
    <w:rsid w:val="00E53F72"/>
    <w:rsid w:val="00E54136"/>
    <w:rsid w:val="00E541DD"/>
    <w:rsid w:val="00E54208"/>
    <w:rsid w:val="00E54229"/>
    <w:rsid w:val="00E5425C"/>
    <w:rsid w:val="00E54294"/>
    <w:rsid w:val="00E542B5"/>
    <w:rsid w:val="00E54328"/>
    <w:rsid w:val="00E543FF"/>
    <w:rsid w:val="00E54419"/>
    <w:rsid w:val="00E54453"/>
    <w:rsid w:val="00E54522"/>
    <w:rsid w:val="00E54555"/>
    <w:rsid w:val="00E54558"/>
    <w:rsid w:val="00E5458E"/>
    <w:rsid w:val="00E545AE"/>
    <w:rsid w:val="00E545BC"/>
    <w:rsid w:val="00E5467C"/>
    <w:rsid w:val="00E5474C"/>
    <w:rsid w:val="00E5476F"/>
    <w:rsid w:val="00E547EC"/>
    <w:rsid w:val="00E5483E"/>
    <w:rsid w:val="00E54909"/>
    <w:rsid w:val="00E54A18"/>
    <w:rsid w:val="00E54A35"/>
    <w:rsid w:val="00E54AA6"/>
    <w:rsid w:val="00E54ABA"/>
    <w:rsid w:val="00E54AC6"/>
    <w:rsid w:val="00E54B43"/>
    <w:rsid w:val="00E54B69"/>
    <w:rsid w:val="00E54BF6"/>
    <w:rsid w:val="00E54CCC"/>
    <w:rsid w:val="00E54D69"/>
    <w:rsid w:val="00E54E16"/>
    <w:rsid w:val="00E54E81"/>
    <w:rsid w:val="00E54F0D"/>
    <w:rsid w:val="00E54F98"/>
    <w:rsid w:val="00E54F9B"/>
    <w:rsid w:val="00E55049"/>
    <w:rsid w:val="00E550A7"/>
    <w:rsid w:val="00E550E3"/>
    <w:rsid w:val="00E55136"/>
    <w:rsid w:val="00E5513E"/>
    <w:rsid w:val="00E55189"/>
    <w:rsid w:val="00E5519A"/>
    <w:rsid w:val="00E55220"/>
    <w:rsid w:val="00E553E4"/>
    <w:rsid w:val="00E5540B"/>
    <w:rsid w:val="00E55471"/>
    <w:rsid w:val="00E5547F"/>
    <w:rsid w:val="00E5561C"/>
    <w:rsid w:val="00E557EA"/>
    <w:rsid w:val="00E558D8"/>
    <w:rsid w:val="00E55969"/>
    <w:rsid w:val="00E55A08"/>
    <w:rsid w:val="00E55A57"/>
    <w:rsid w:val="00E55ABD"/>
    <w:rsid w:val="00E55B33"/>
    <w:rsid w:val="00E55C96"/>
    <w:rsid w:val="00E55DEE"/>
    <w:rsid w:val="00E55E12"/>
    <w:rsid w:val="00E55F09"/>
    <w:rsid w:val="00E55F0F"/>
    <w:rsid w:val="00E55F1F"/>
    <w:rsid w:val="00E560C4"/>
    <w:rsid w:val="00E560C5"/>
    <w:rsid w:val="00E56229"/>
    <w:rsid w:val="00E5622B"/>
    <w:rsid w:val="00E56372"/>
    <w:rsid w:val="00E56408"/>
    <w:rsid w:val="00E56433"/>
    <w:rsid w:val="00E565B6"/>
    <w:rsid w:val="00E565C8"/>
    <w:rsid w:val="00E565E1"/>
    <w:rsid w:val="00E566BB"/>
    <w:rsid w:val="00E566E9"/>
    <w:rsid w:val="00E56875"/>
    <w:rsid w:val="00E56938"/>
    <w:rsid w:val="00E56A05"/>
    <w:rsid w:val="00E56A4B"/>
    <w:rsid w:val="00E56AC4"/>
    <w:rsid w:val="00E56AC7"/>
    <w:rsid w:val="00E56BFF"/>
    <w:rsid w:val="00E56D0F"/>
    <w:rsid w:val="00E56D54"/>
    <w:rsid w:val="00E56D8E"/>
    <w:rsid w:val="00E56DD9"/>
    <w:rsid w:val="00E56DFA"/>
    <w:rsid w:val="00E56E24"/>
    <w:rsid w:val="00E56F34"/>
    <w:rsid w:val="00E56F43"/>
    <w:rsid w:val="00E56F5F"/>
    <w:rsid w:val="00E56F64"/>
    <w:rsid w:val="00E5708A"/>
    <w:rsid w:val="00E5710A"/>
    <w:rsid w:val="00E571E6"/>
    <w:rsid w:val="00E571EE"/>
    <w:rsid w:val="00E57281"/>
    <w:rsid w:val="00E57283"/>
    <w:rsid w:val="00E57341"/>
    <w:rsid w:val="00E57390"/>
    <w:rsid w:val="00E57416"/>
    <w:rsid w:val="00E5757E"/>
    <w:rsid w:val="00E575C7"/>
    <w:rsid w:val="00E57624"/>
    <w:rsid w:val="00E57640"/>
    <w:rsid w:val="00E576A6"/>
    <w:rsid w:val="00E576E0"/>
    <w:rsid w:val="00E577A5"/>
    <w:rsid w:val="00E577B8"/>
    <w:rsid w:val="00E578EB"/>
    <w:rsid w:val="00E579CA"/>
    <w:rsid w:val="00E57A0D"/>
    <w:rsid w:val="00E57A78"/>
    <w:rsid w:val="00E57AB5"/>
    <w:rsid w:val="00E57B08"/>
    <w:rsid w:val="00E57B84"/>
    <w:rsid w:val="00E57C3A"/>
    <w:rsid w:val="00E57D04"/>
    <w:rsid w:val="00E57D19"/>
    <w:rsid w:val="00E57D4E"/>
    <w:rsid w:val="00E57DAA"/>
    <w:rsid w:val="00E57EA1"/>
    <w:rsid w:val="00E57F09"/>
    <w:rsid w:val="00E57F22"/>
    <w:rsid w:val="00E60003"/>
    <w:rsid w:val="00E60053"/>
    <w:rsid w:val="00E60054"/>
    <w:rsid w:val="00E600AE"/>
    <w:rsid w:val="00E600B9"/>
    <w:rsid w:val="00E601DA"/>
    <w:rsid w:val="00E602B7"/>
    <w:rsid w:val="00E602DF"/>
    <w:rsid w:val="00E60376"/>
    <w:rsid w:val="00E603A8"/>
    <w:rsid w:val="00E60489"/>
    <w:rsid w:val="00E60541"/>
    <w:rsid w:val="00E605C2"/>
    <w:rsid w:val="00E605E2"/>
    <w:rsid w:val="00E60799"/>
    <w:rsid w:val="00E60867"/>
    <w:rsid w:val="00E6087D"/>
    <w:rsid w:val="00E6089C"/>
    <w:rsid w:val="00E608A4"/>
    <w:rsid w:val="00E608B1"/>
    <w:rsid w:val="00E608C4"/>
    <w:rsid w:val="00E608F1"/>
    <w:rsid w:val="00E608F8"/>
    <w:rsid w:val="00E60933"/>
    <w:rsid w:val="00E609B4"/>
    <w:rsid w:val="00E609D3"/>
    <w:rsid w:val="00E609DA"/>
    <w:rsid w:val="00E609E0"/>
    <w:rsid w:val="00E60B21"/>
    <w:rsid w:val="00E60B86"/>
    <w:rsid w:val="00E60B8B"/>
    <w:rsid w:val="00E60BA1"/>
    <w:rsid w:val="00E60BB2"/>
    <w:rsid w:val="00E60BC5"/>
    <w:rsid w:val="00E60BCD"/>
    <w:rsid w:val="00E60C4E"/>
    <w:rsid w:val="00E60DCD"/>
    <w:rsid w:val="00E60E3E"/>
    <w:rsid w:val="00E60E6C"/>
    <w:rsid w:val="00E60E76"/>
    <w:rsid w:val="00E60F22"/>
    <w:rsid w:val="00E60F37"/>
    <w:rsid w:val="00E60F49"/>
    <w:rsid w:val="00E60F8B"/>
    <w:rsid w:val="00E60F8D"/>
    <w:rsid w:val="00E6105C"/>
    <w:rsid w:val="00E61077"/>
    <w:rsid w:val="00E61219"/>
    <w:rsid w:val="00E61235"/>
    <w:rsid w:val="00E61250"/>
    <w:rsid w:val="00E61277"/>
    <w:rsid w:val="00E6128E"/>
    <w:rsid w:val="00E612E9"/>
    <w:rsid w:val="00E6136F"/>
    <w:rsid w:val="00E613B0"/>
    <w:rsid w:val="00E61412"/>
    <w:rsid w:val="00E61487"/>
    <w:rsid w:val="00E614B2"/>
    <w:rsid w:val="00E61515"/>
    <w:rsid w:val="00E61605"/>
    <w:rsid w:val="00E6171A"/>
    <w:rsid w:val="00E617AC"/>
    <w:rsid w:val="00E617BF"/>
    <w:rsid w:val="00E6186B"/>
    <w:rsid w:val="00E61877"/>
    <w:rsid w:val="00E61938"/>
    <w:rsid w:val="00E61962"/>
    <w:rsid w:val="00E61A5D"/>
    <w:rsid w:val="00E61A91"/>
    <w:rsid w:val="00E61AB5"/>
    <w:rsid w:val="00E61D0E"/>
    <w:rsid w:val="00E61D3F"/>
    <w:rsid w:val="00E61D45"/>
    <w:rsid w:val="00E61D96"/>
    <w:rsid w:val="00E61E1D"/>
    <w:rsid w:val="00E61EE1"/>
    <w:rsid w:val="00E6200A"/>
    <w:rsid w:val="00E6206F"/>
    <w:rsid w:val="00E6208F"/>
    <w:rsid w:val="00E620A4"/>
    <w:rsid w:val="00E6214D"/>
    <w:rsid w:val="00E621A0"/>
    <w:rsid w:val="00E621CC"/>
    <w:rsid w:val="00E62252"/>
    <w:rsid w:val="00E62260"/>
    <w:rsid w:val="00E62351"/>
    <w:rsid w:val="00E62359"/>
    <w:rsid w:val="00E623B5"/>
    <w:rsid w:val="00E623BB"/>
    <w:rsid w:val="00E623D2"/>
    <w:rsid w:val="00E62404"/>
    <w:rsid w:val="00E624F1"/>
    <w:rsid w:val="00E62542"/>
    <w:rsid w:val="00E62575"/>
    <w:rsid w:val="00E62607"/>
    <w:rsid w:val="00E62761"/>
    <w:rsid w:val="00E62773"/>
    <w:rsid w:val="00E62913"/>
    <w:rsid w:val="00E6292B"/>
    <w:rsid w:val="00E62933"/>
    <w:rsid w:val="00E62942"/>
    <w:rsid w:val="00E62944"/>
    <w:rsid w:val="00E62957"/>
    <w:rsid w:val="00E62994"/>
    <w:rsid w:val="00E629AB"/>
    <w:rsid w:val="00E629C8"/>
    <w:rsid w:val="00E62A12"/>
    <w:rsid w:val="00E62A30"/>
    <w:rsid w:val="00E62AB6"/>
    <w:rsid w:val="00E62B3E"/>
    <w:rsid w:val="00E62B63"/>
    <w:rsid w:val="00E62BF7"/>
    <w:rsid w:val="00E62C28"/>
    <w:rsid w:val="00E62C51"/>
    <w:rsid w:val="00E62D1F"/>
    <w:rsid w:val="00E62D3F"/>
    <w:rsid w:val="00E62D57"/>
    <w:rsid w:val="00E62D6A"/>
    <w:rsid w:val="00E62E51"/>
    <w:rsid w:val="00E62E82"/>
    <w:rsid w:val="00E62EAB"/>
    <w:rsid w:val="00E62EE5"/>
    <w:rsid w:val="00E62F56"/>
    <w:rsid w:val="00E62F76"/>
    <w:rsid w:val="00E62FAB"/>
    <w:rsid w:val="00E63024"/>
    <w:rsid w:val="00E630E0"/>
    <w:rsid w:val="00E63118"/>
    <w:rsid w:val="00E631A8"/>
    <w:rsid w:val="00E63227"/>
    <w:rsid w:val="00E6323A"/>
    <w:rsid w:val="00E63269"/>
    <w:rsid w:val="00E632A7"/>
    <w:rsid w:val="00E6331A"/>
    <w:rsid w:val="00E6336A"/>
    <w:rsid w:val="00E6339C"/>
    <w:rsid w:val="00E6341C"/>
    <w:rsid w:val="00E634B0"/>
    <w:rsid w:val="00E634F5"/>
    <w:rsid w:val="00E635D2"/>
    <w:rsid w:val="00E63687"/>
    <w:rsid w:val="00E63794"/>
    <w:rsid w:val="00E637B3"/>
    <w:rsid w:val="00E6380F"/>
    <w:rsid w:val="00E6383D"/>
    <w:rsid w:val="00E63853"/>
    <w:rsid w:val="00E6388D"/>
    <w:rsid w:val="00E63972"/>
    <w:rsid w:val="00E639A5"/>
    <w:rsid w:val="00E639B0"/>
    <w:rsid w:val="00E63A21"/>
    <w:rsid w:val="00E63A4B"/>
    <w:rsid w:val="00E63BE4"/>
    <w:rsid w:val="00E63C16"/>
    <w:rsid w:val="00E63C61"/>
    <w:rsid w:val="00E63CFC"/>
    <w:rsid w:val="00E63D42"/>
    <w:rsid w:val="00E63DB7"/>
    <w:rsid w:val="00E63E3F"/>
    <w:rsid w:val="00E63EF4"/>
    <w:rsid w:val="00E63EFE"/>
    <w:rsid w:val="00E63F14"/>
    <w:rsid w:val="00E63F39"/>
    <w:rsid w:val="00E63F91"/>
    <w:rsid w:val="00E640B9"/>
    <w:rsid w:val="00E640BE"/>
    <w:rsid w:val="00E64176"/>
    <w:rsid w:val="00E64227"/>
    <w:rsid w:val="00E64303"/>
    <w:rsid w:val="00E6453C"/>
    <w:rsid w:val="00E645E8"/>
    <w:rsid w:val="00E646A5"/>
    <w:rsid w:val="00E6472F"/>
    <w:rsid w:val="00E64754"/>
    <w:rsid w:val="00E647F1"/>
    <w:rsid w:val="00E64835"/>
    <w:rsid w:val="00E6485E"/>
    <w:rsid w:val="00E64A72"/>
    <w:rsid w:val="00E64B67"/>
    <w:rsid w:val="00E64C9B"/>
    <w:rsid w:val="00E64D0E"/>
    <w:rsid w:val="00E64DF6"/>
    <w:rsid w:val="00E64DFD"/>
    <w:rsid w:val="00E64E41"/>
    <w:rsid w:val="00E64EE3"/>
    <w:rsid w:val="00E64F3A"/>
    <w:rsid w:val="00E64F82"/>
    <w:rsid w:val="00E64FA9"/>
    <w:rsid w:val="00E65063"/>
    <w:rsid w:val="00E650A4"/>
    <w:rsid w:val="00E650BF"/>
    <w:rsid w:val="00E6512B"/>
    <w:rsid w:val="00E6513A"/>
    <w:rsid w:val="00E651FB"/>
    <w:rsid w:val="00E6520E"/>
    <w:rsid w:val="00E65237"/>
    <w:rsid w:val="00E65310"/>
    <w:rsid w:val="00E65340"/>
    <w:rsid w:val="00E6539C"/>
    <w:rsid w:val="00E655FD"/>
    <w:rsid w:val="00E65679"/>
    <w:rsid w:val="00E656A1"/>
    <w:rsid w:val="00E65951"/>
    <w:rsid w:val="00E65955"/>
    <w:rsid w:val="00E6595D"/>
    <w:rsid w:val="00E6596F"/>
    <w:rsid w:val="00E6598F"/>
    <w:rsid w:val="00E659CB"/>
    <w:rsid w:val="00E65A5E"/>
    <w:rsid w:val="00E65A7A"/>
    <w:rsid w:val="00E65B60"/>
    <w:rsid w:val="00E65C1A"/>
    <w:rsid w:val="00E65C29"/>
    <w:rsid w:val="00E65C54"/>
    <w:rsid w:val="00E65D7E"/>
    <w:rsid w:val="00E65E5E"/>
    <w:rsid w:val="00E65E89"/>
    <w:rsid w:val="00E65EBB"/>
    <w:rsid w:val="00E65F8A"/>
    <w:rsid w:val="00E66002"/>
    <w:rsid w:val="00E6603F"/>
    <w:rsid w:val="00E660A9"/>
    <w:rsid w:val="00E66159"/>
    <w:rsid w:val="00E661E5"/>
    <w:rsid w:val="00E661ED"/>
    <w:rsid w:val="00E66224"/>
    <w:rsid w:val="00E66286"/>
    <w:rsid w:val="00E66318"/>
    <w:rsid w:val="00E6641F"/>
    <w:rsid w:val="00E66463"/>
    <w:rsid w:val="00E664BA"/>
    <w:rsid w:val="00E664CF"/>
    <w:rsid w:val="00E66537"/>
    <w:rsid w:val="00E66551"/>
    <w:rsid w:val="00E66559"/>
    <w:rsid w:val="00E665C4"/>
    <w:rsid w:val="00E666E6"/>
    <w:rsid w:val="00E66702"/>
    <w:rsid w:val="00E66715"/>
    <w:rsid w:val="00E66764"/>
    <w:rsid w:val="00E667AF"/>
    <w:rsid w:val="00E667E0"/>
    <w:rsid w:val="00E66847"/>
    <w:rsid w:val="00E66876"/>
    <w:rsid w:val="00E668C5"/>
    <w:rsid w:val="00E668DB"/>
    <w:rsid w:val="00E66937"/>
    <w:rsid w:val="00E66939"/>
    <w:rsid w:val="00E66956"/>
    <w:rsid w:val="00E66B4A"/>
    <w:rsid w:val="00E66B72"/>
    <w:rsid w:val="00E66B92"/>
    <w:rsid w:val="00E66C06"/>
    <w:rsid w:val="00E66C5C"/>
    <w:rsid w:val="00E66CB5"/>
    <w:rsid w:val="00E66D14"/>
    <w:rsid w:val="00E66D2F"/>
    <w:rsid w:val="00E66D35"/>
    <w:rsid w:val="00E66DA4"/>
    <w:rsid w:val="00E66DB9"/>
    <w:rsid w:val="00E66E1F"/>
    <w:rsid w:val="00E66E80"/>
    <w:rsid w:val="00E66F17"/>
    <w:rsid w:val="00E67109"/>
    <w:rsid w:val="00E6719F"/>
    <w:rsid w:val="00E671F3"/>
    <w:rsid w:val="00E6735A"/>
    <w:rsid w:val="00E6738F"/>
    <w:rsid w:val="00E673AB"/>
    <w:rsid w:val="00E673AE"/>
    <w:rsid w:val="00E67487"/>
    <w:rsid w:val="00E674A4"/>
    <w:rsid w:val="00E674B2"/>
    <w:rsid w:val="00E674EB"/>
    <w:rsid w:val="00E674EE"/>
    <w:rsid w:val="00E6758D"/>
    <w:rsid w:val="00E675E2"/>
    <w:rsid w:val="00E676CE"/>
    <w:rsid w:val="00E6777E"/>
    <w:rsid w:val="00E677F4"/>
    <w:rsid w:val="00E677F9"/>
    <w:rsid w:val="00E67821"/>
    <w:rsid w:val="00E6787F"/>
    <w:rsid w:val="00E67897"/>
    <w:rsid w:val="00E6789B"/>
    <w:rsid w:val="00E678BD"/>
    <w:rsid w:val="00E678D5"/>
    <w:rsid w:val="00E6790A"/>
    <w:rsid w:val="00E67927"/>
    <w:rsid w:val="00E6794B"/>
    <w:rsid w:val="00E679DB"/>
    <w:rsid w:val="00E67A46"/>
    <w:rsid w:val="00E67B3B"/>
    <w:rsid w:val="00E67C33"/>
    <w:rsid w:val="00E67CF3"/>
    <w:rsid w:val="00E67CF9"/>
    <w:rsid w:val="00E67E36"/>
    <w:rsid w:val="00E67E6D"/>
    <w:rsid w:val="00E67F53"/>
    <w:rsid w:val="00E67FE7"/>
    <w:rsid w:val="00E70051"/>
    <w:rsid w:val="00E7007E"/>
    <w:rsid w:val="00E70086"/>
    <w:rsid w:val="00E700C6"/>
    <w:rsid w:val="00E700F3"/>
    <w:rsid w:val="00E7012E"/>
    <w:rsid w:val="00E70184"/>
    <w:rsid w:val="00E701C5"/>
    <w:rsid w:val="00E702AA"/>
    <w:rsid w:val="00E702EA"/>
    <w:rsid w:val="00E702F7"/>
    <w:rsid w:val="00E704A0"/>
    <w:rsid w:val="00E70632"/>
    <w:rsid w:val="00E706C1"/>
    <w:rsid w:val="00E70798"/>
    <w:rsid w:val="00E7089A"/>
    <w:rsid w:val="00E7089D"/>
    <w:rsid w:val="00E7093E"/>
    <w:rsid w:val="00E709E3"/>
    <w:rsid w:val="00E70A69"/>
    <w:rsid w:val="00E70B29"/>
    <w:rsid w:val="00E70C6F"/>
    <w:rsid w:val="00E70CE1"/>
    <w:rsid w:val="00E70D26"/>
    <w:rsid w:val="00E70D4E"/>
    <w:rsid w:val="00E70E38"/>
    <w:rsid w:val="00E70F13"/>
    <w:rsid w:val="00E70FBE"/>
    <w:rsid w:val="00E70FCA"/>
    <w:rsid w:val="00E70FEF"/>
    <w:rsid w:val="00E7107D"/>
    <w:rsid w:val="00E710C5"/>
    <w:rsid w:val="00E710CD"/>
    <w:rsid w:val="00E71199"/>
    <w:rsid w:val="00E711D0"/>
    <w:rsid w:val="00E711E0"/>
    <w:rsid w:val="00E712F4"/>
    <w:rsid w:val="00E71398"/>
    <w:rsid w:val="00E713E0"/>
    <w:rsid w:val="00E7149E"/>
    <w:rsid w:val="00E71528"/>
    <w:rsid w:val="00E71584"/>
    <w:rsid w:val="00E7162B"/>
    <w:rsid w:val="00E71638"/>
    <w:rsid w:val="00E716C9"/>
    <w:rsid w:val="00E717A1"/>
    <w:rsid w:val="00E71ACC"/>
    <w:rsid w:val="00E71B94"/>
    <w:rsid w:val="00E71D7A"/>
    <w:rsid w:val="00E71E58"/>
    <w:rsid w:val="00E71E64"/>
    <w:rsid w:val="00E71F4A"/>
    <w:rsid w:val="00E71F78"/>
    <w:rsid w:val="00E7226D"/>
    <w:rsid w:val="00E7229B"/>
    <w:rsid w:val="00E722E1"/>
    <w:rsid w:val="00E723B9"/>
    <w:rsid w:val="00E72438"/>
    <w:rsid w:val="00E72445"/>
    <w:rsid w:val="00E72456"/>
    <w:rsid w:val="00E72491"/>
    <w:rsid w:val="00E724D8"/>
    <w:rsid w:val="00E72579"/>
    <w:rsid w:val="00E725E8"/>
    <w:rsid w:val="00E72607"/>
    <w:rsid w:val="00E72684"/>
    <w:rsid w:val="00E726B9"/>
    <w:rsid w:val="00E727E0"/>
    <w:rsid w:val="00E727ED"/>
    <w:rsid w:val="00E72860"/>
    <w:rsid w:val="00E7292A"/>
    <w:rsid w:val="00E7293E"/>
    <w:rsid w:val="00E729AF"/>
    <w:rsid w:val="00E729C8"/>
    <w:rsid w:val="00E729CD"/>
    <w:rsid w:val="00E72AEA"/>
    <w:rsid w:val="00E72AEC"/>
    <w:rsid w:val="00E72B57"/>
    <w:rsid w:val="00E72C4B"/>
    <w:rsid w:val="00E72C57"/>
    <w:rsid w:val="00E72CA1"/>
    <w:rsid w:val="00E72E72"/>
    <w:rsid w:val="00E72EEF"/>
    <w:rsid w:val="00E72F11"/>
    <w:rsid w:val="00E72F25"/>
    <w:rsid w:val="00E72F62"/>
    <w:rsid w:val="00E72FD9"/>
    <w:rsid w:val="00E730A7"/>
    <w:rsid w:val="00E730BB"/>
    <w:rsid w:val="00E732AC"/>
    <w:rsid w:val="00E732E7"/>
    <w:rsid w:val="00E73312"/>
    <w:rsid w:val="00E7339A"/>
    <w:rsid w:val="00E73443"/>
    <w:rsid w:val="00E734BD"/>
    <w:rsid w:val="00E734D8"/>
    <w:rsid w:val="00E73551"/>
    <w:rsid w:val="00E7357C"/>
    <w:rsid w:val="00E735AB"/>
    <w:rsid w:val="00E735C8"/>
    <w:rsid w:val="00E73630"/>
    <w:rsid w:val="00E7376B"/>
    <w:rsid w:val="00E737A6"/>
    <w:rsid w:val="00E73805"/>
    <w:rsid w:val="00E7381C"/>
    <w:rsid w:val="00E73999"/>
    <w:rsid w:val="00E739E1"/>
    <w:rsid w:val="00E73A10"/>
    <w:rsid w:val="00E73A7A"/>
    <w:rsid w:val="00E73AE1"/>
    <w:rsid w:val="00E73B07"/>
    <w:rsid w:val="00E73B09"/>
    <w:rsid w:val="00E73B4C"/>
    <w:rsid w:val="00E73C2C"/>
    <w:rsid w:val="00E73C7B"/>
    <w:rsid w:val="00E73CD5"/>
    <w:rsid w:val="00E73D0D"/>
    <w:rsid w:val="00E73ED4"/>
    <w:rsid w:val="00E73F9A"/>
    <w:rsid w:val="00E74010"/>
    <w:rsid w:val="00E7403C"/>
    <w:rsid w:val="00E74058"/>
    <w:rsid w:val="00E74086"/>
    <w:rsid w:val="00E740A6"/>
    <w:rsid w:val="00E740D0"/>
    <w:rsid w:val="00E74124"/>
    <w:rsid w:val="00E741DF"/>
    <w:rsid w:val="00E7424A"/>
    <w:rsid w:val="00E7430D"/>
    <w:rsid w:val="00E74328"/>
    <w:rsid w:val="00E7432E"/>
    <w:rsid w:val="00E74336"/>
    <w:rsid w:val="00E74347"/>
    <w:rsid w:val="00E74380"/>
    <w:rsid w:val="00E74404"/>
    <w:rsid w:val="00E74419"/>
    <w:rsid w:val="00E74447"/>
    <w:rsid w:val="00E74469"/>
    <w:rsid w:val="00E7446F"/>
    <w:rsid w:val="00E744CA"/>
    <w:rsid w:val="00E744E0"/>
    <w:rsid w:val="00E744E8"/>
    <w:rsid w:val="00E744FE"/>
    <w:rsid w:val="00E745CC"/>
    <w:rsid w:val="00E74788"/>
    <w:rsid w:val="00E748A2"/>
    <w:rsid w:val="00E748BA"/>
    <w:rsid w:val="00E748D9"/>
    <w:rsid w:val="00E7492B"/>
    <w:rsid w:val="00E749A6"/>
    <w:rsid w:val="00E74A5B"/>
    <w:rsid w:val="00E74A5E"/>
    <w:rsid w:val="00E74B0E"/>
    <w:rsid w:val="00E74BCD"/>
    <w:rsid w:val="00E74BFF"/>
    <w:rsid w:val="00E74CDA"/>
    <w:rsid w:val="00E74CEE"/>
    <w:rsid w:val="00E74D65"/>
    <w:rsid w:val="00E74E5D"/>
    <w:rsid w:val="00E74EC3"/>
    <w:rsid w:val="00E74F48"/>
    <w:rsid w:val="00E74F7F"/>
    <w:rsid w:val="00E74FD3"/>
    <w:rsid w:val="00E750F8"/>
    <w:rsid w:val="00E75163"/>
    <w:rsid w:val="00E751BC"/>
    <w:rsid w:val="00E75239"/>
    <w:rsid w:val="00E75260"/>
    <w:rsid w:val="00E75291"/>
    <w:rsid w:val="00E752A3"/>
    <w:rsid w:val="00E752EA"/>
    <w:rsid w:val="00E7539C"/>
    <w:rsid w:val="00E753A6"/>
    <w:rsid w:val="00E75408"/>
    <w:rsid w:val="00E75451"/>
    <w:rsid w:val="00E75480"/>
    <w:rsid w:val="00E754C7"/>
    <w:rsid w:val="00E754EE"/>
    <w:rsid w:val="00E75537"/>
    <w:rsid w:val="00E75563"/>
    <w:rsid w:val="00E755F8"/>
    <w:rsid w:val="00E7566E"/>
    <w:rsid w:val="00E756AB"/>
    <w:rsid w:val="00E7573A"/>
    <w:rsid w:val="00E757BE"/>
    <w:rsid w:val="00E75830"/>
    <w:rsid w:val="00E758DA"/>
    <w:rsid w:val="00E75971"/>
    <w:rsid w:val="00E759E5"/>
    <w:rsid w:val="00E75AB7"/>
    <w:rsid w:val="00E75AC7"/>
    <w:rsid w:val="00E75B23"/>
    <w:rsid w:val="00E75B28"/>
    <w:rsid w:val="00E75B5D"/>
    <w:rsid w:val="00E75BCC"/>
    <w:rsid w:val="00E75C5A"/>
    <w:rsid w:val="00E75C9D"/>
    <w:rsid w:val="00E75CAC"/>
    <w:rsid w:val="00E75CC3"/>
    <w:rsid w:val="00E75D05"/>
    <w:rsid w:val="00E75D0D"/>
    <w:rsid w:val="00E75D48"/>
    <w:rsid w:val="00E75D76"/>
    <w:rsid w:val="00E75DA9"/>
    <w:rsid w:val="00E75E43"/>
    <w:rsid w:val="00E75E5B"/>
    <w:rsid w:val="00E75EA3"/>
    <w:rsid w:val="00E75F32"/>
    <w:rsid w:val="00E75F44"/>
    <w:rsid w:val="00E75FD5"/>
    <w:rsid w:val="00E7600E"/>
    <w:rsid w:val="00E7603B"/>
    <w:rsid w:val="00E76065"/>
    <w:rsid w:val="00E7616D"/>
    <w:rsid w:val="00E761B8"/>
    <w:rsid w:val="00E76409"/>
    <w:rsid w:val="00E764A8"/>
    <w:rsid w:val="00E76609"/>
    <w:rsid w:val="00E76664"/>
    <w:rsid w:val="00E76797"/>
    <w:rsid w:val="00E7679F"/>
    <w:rsid w:val="00E767B4"/>
    <w:rsid w:val="00E767DD"/>
    <w:rsid w:val="00E76856"/>
    <w:rsid w:val="00E76875"/>
    <w:rsid w:val="00E7688C"/>
    <w:rsid w:val="00E76899"/>
    <w:rsid w:val="00E769EB"/>
    <w:rsid w:val="00E769FE"/>
    <w:rsid w:val="00E76B58"/>
    <w:rsid w:val="00E76BEE"/>
    <w:rsid w:val="00E76C01"/>
    <w:rsid w:val="00E76CA2"/>
    <w:rsid w:val="00E76CDF"/>
    <w:rsid w:val="00E76D56"/>
    <w:rsid w:val="00E76DFD"/>
    <w:rsid w:val="00E76E1E"/>
    <w:rsid w:val="00E76E28"/>
    <w:rsid w:val="00E76EE3"/>
    <w:rsid w:val="00E76FFA"/>
    <w:rsid w:val="00E77074"/>
    <w:rsid w:val="00E770BE"/>
    <w:rsid w:val="00E77192"/>
    <w:rsid w:val="00E771F2"/>
    <w:rsid w:val="00E7723B"/>
    <w:rsid w:val="00E7724B"/>
    <w:rsid w:val="00E7735C"/>
    <w:rsid w:val="00E77383"/>
    <w:rsid w:val="00E773B5"/>
    <w:rsid w:val="00E773CA"/>
    <w:rsid w:val="00E77403"/>
    <w:rsid w:val="00E77476"/>
    <w:rsid w:val="00E774E8"/>
    <w:rsid w:val="00E77588"/>
    <w:rsid w:val="00E775E7"/>
    <w:rsid w:val="00E77602"/>
    <w:rsid w:val="00E776E1"/>
    <w:rsid w:val="00E7772C"/>
    <w:rsid w:val="00E77802"/>
    <w:rsid w:val="00E77891"/>
    <w:rsid w:val="00E77993"/>
    <w:rsid w:val="00E7799E"/>
    <w:rsid w:val="00E779F2"/>
    <w:rsid w:val="00E77AAA"/>
    <w:rsid w:val="00E77AB0"/>
    <w:rsid w:val="00E77AE9"/>
    <w:rsid w:val="00E77B03"/>
    <w:rsid w:val="00E77C32"/>
    <w:rsid w:val="00E77C9F"/>
    <w:rsid w:val="00E77DB2"/>
    <w:rsid w:val="00E77DF7"/>
    <w:rsid w:val="00E77DF9"/>
    <w:rsid w:val="00E77E0F"/>
    <w:rsid w:val="00E77E8D"/>
    <w:rsid w:val="00E77EF5"/>
    <w:rsid w:val="00E77F10"/>
    <w:rsid w:val="00E77F96"/>
    <w:rsid w:val="00E8001A"/>
    <w:rsid w:val="00E80023"/>
    <w:rsid w:val="00E800AF"/>
    <w:rsid w:val="00E800B4"/>
    <w:rsid w:val="00E800D7"/>
    <w:rsid w:val="00E801AC"/>
    <w:rsid w:val="00E801B2"/>
    <w:rsid w:val="00E801CB"/>
    <w:rsid w:val="00E801F6"/>
    <w:rsid w:val="00E802CC"/>
    <w:rsid w:val="00E802D0"/>
    <w:rsid w:val="00E802D4"/>
    <w:rsid w:val="00E8034F"/>
    <w:rsid w:val="00E80508"/>
    <w:rsid w:val="00E80529"/>
    <w:rsid w:val="00E8055E"/>
    <w:rsid w:val="00E805CE"/>
    <w:rsid w:val="00E805DA"/>
    <w:rsid w:val="00E8066C"/>
    <w:rsid w:val="00E80697"/>
    <w:rsid w:val="00E8069E"/>
    <w:rsid w:val="00E806BB"/>
    <w:rsid w:val="00E806BF"/>
    <w:rsid w:val="00E806D0"/>
    <w:rsid w:val="00E8074F"/>
    <w:rsid w:val="00E807CB"/>
    <w:rsid w:val="00E807FA"/>
    <w:rsid w:val="00E80802"/>
    <w:rsid w:val="00E80967"/>
    <w:rsid w:val="00E809E8"/>
    <w:rsid w:val="00E809EF"/>
    <w:rsid w:val="00E80A02"/>
    <w:rsid w:val="00E80B56"/>
    <w:rsid w:val="00E80CDF"/>
    <w:rsid w:val="00E80D1C"/>
    <w:rsid w:val="00E80D44"/>
    <w:rsid w:val="00E80DB4"/>
    <w:rsid w:val="00E80DB7"/>
    <w:rsid w:val="00E80E27"/>
    <w:rsid w:val="00E80E3A"/>
    <w:rsid w:val="00E80EC4"/>
    <w:rsid w:val="00E80F1A"/>
    <w:rsid w:val="00E80F58"/>
    <w:rsid w:val="00E80FBE"/>
    <w:rsid w:val="00E80FE3"/>
    <w:rsid w:val="00E80FEB"/>
    <w:rsid w:val="00E81001"/>
    <w:rsid w:val="00E8100A"/>
    <w:rsid w:val="00E81026"/>
    <w:rsid w:val="00E81027"/>
    <w:rsid w:val="00E81118"/>
    <w:rsid w:val="00E8115B"/>
    <w:rsid w:val="00E8115C"/>
    <w:rsid w:val="00E811E6"/>
    <w:rsid w:val="00E812EE"/>
    <w:rsid w:val="00E8132A"/>
    <w:rsid w:val="00E81393"/>
    <w:rsid w:val="00E813BE"/>
    <w:rsid w:val="00E8149B"/>
    <w:rsid w:val="00E814D7"/>
    <w:rsid w:val="00E815E7"/>
    <w:rsid w:val="00E816BC"/>
    <w:rsid w:val="00E816C6"/>
    <w:rsid w:val="00E81760"/>
    <w:rsid w:val="00E8176D"/>
    <w:rsid w:val="00E817BE"/>
    <w:rsid w:val="00E817FB"/>
    <w:rsid w:val="00E8195B"/>
    <w:rsid w:val="00E819FA"/>
    <w:rsid w:val="00E81B63"/>
    <w:rsid w:val="00E81B77"/>
    <w:rsid w:val="00E81BEE"/>
    <w:rsid w:val="00E81C63"/>
    <w:rsid w:val="00E81C73"/>
    <w:rsid w:val="00E81D3C"/>
    <w:rsid w:val="00E81D5D"/>
    <w:rsid w:val="00E81D69"/>
    <w:rsid w:val="00E81E01"/>
    <w:rsid w:val="00E81E0B"/>
    <w:rsid w:val="00E81E51"/>
    <w:rsid w:val="00E81EED"/>
    <w:rsid w:val="00E82117"/>
    <w:rsid w:val="00E82128"/>
    <w:rsid w:val="00E82253"/>
    <w:rsid w:val="00E822B8"/>
    <w:rsid w:val="00E82322"/>
    <w:rsid w:val="00E823A4"/>
    <w:rsid w:val="00E82514"/>
    <w:rsid w:val="00E8256C"/>
    <w:rsid w:val="00E82590"/>
    <w:rsid w:val="00E82598"/>
    <w:rsid w:val="00E82626"/>
    <w:rsid w:val="00E82654"/>
    <w:rsid w:val="00E826CC"/>
    <w:rsid w:val="00E826EA"/>
    <w:rsid w:val="00E8273E"/>
    <w:rsid w:val="00E827AD"/>
    <w:rsid w:val="00E828FA"/>
    <w:rsid w:val="00E828FB"/>
    <w:rsid w:val="00E82923"/>
    <w:rsid w:val="00E829F3"/>
    <w:rsid w:val="00E82AE0"/>
    <w:rsid w:val="00E82B82"/>
    <w:rsid w:val="00E82BB7"/>
    <w:rsid w:val="00E82BDC"/>
    <w:rsid w:val="00E82C3A"/>
    <w:rsid w:val="00E82CDE"/>
    <w:rsid w:val="00E82CE9"/>
    <w:rsid w:val="00E82E11"/>
    <w:rsid w:val="00E82EC6"/>
    <w:rsid w:val="00E82F2C"/>
    <w:rsid w:val="00E82F60"/>
    <w:rsid w:val="00E82FCD"/>
    <w:rsid w:val="00E82FD9"/>
    <w:rsid w:val="00E8306F"/>
    <w:rsid w:val="00E83093"/>
    <w:rsid w:val="00E83098"/>
    <w:rsid w:val="00E83164"/>
    <w:rsid w:val="00E8319E"/>
    <w:rsid w:val="00E83241"/>
    <w:rsid w:val="00E832CE"/>
    <w:rsid w:val="00E832F0"/>
    <w:rsid w:val="00E833B3"/>
    <w:rsid w:val="00E83418"/>
    <w:rsid w:val="00E8342A"/>
    <w:rsid w:val="00E8346F"/>
    <w:rsid w:val="00E83483"/>
    <w:rsid w:val="00E83552"/>
    <w:rsid w:val="00E835C2"/>
    <w:rsid w:val="00E8361A"/>
    <w:rsid w:val="00E8361B"/>
    <w:rsid w:val="00E83630"/>
    <w:rsid w:val="00E83659"/>
    <w:rsid w:val="00E836AB"/>
    <w:rsid w:val="00E83804"/>
    <w:rsid w:val="00E83841"/>
    <w:rsid w:val="00E838DA"/>
    <w:rsid w:val="00E83960"/>
    <w:rsid w:val="00E83A63"/>
    <w:rsid w:val="00E83AAB"/>
    <w:rsid w:val="00E83B92"/>
    <w:rsid w:val="00E83BDB"/>
    <w:rsid w:val="00E83C1E"/>
    <w:rsid w:val="00E83C3B"/>
    <w:rsid w:val="00E83C3E"/>
    <w:rsid w:val="00E83C53"/>
    <w:rsid w:val="00E83C8E"/>
    <w:rsid w:val="00E83CE0"/>
    <w:rsid w:val="00E83CE9"/>
    <w:rsid w:val="00E83D58"/>
    <w:rsid w:val="00E83DAF"/>
    <w:rsid w:val="00E83DB4"/>
    <w:rsid w:val="00E83DC3"/>
    <w:rsid w:val="00E83DE6"/>
    <w:rsid w:val="00E83E9D"/>
    <w:rsid w:val="00E83F24"/>
    <w:rsid w:val="00E83F70"/>
    <w:rsid w:val="00E83F7D"/>
    <w:rsid w:val="00E83F93"/>
    <w:rsid w:val="00E83FDA"/>
    <w:rsid w:val="00E84041"/>
    <w:rsid w:val="00E840FF"/>
    <w:rsid w:val="00E84113"/>
    <w:rsid w:val="00E84136"/>
    <w:rsid w:val="00E84182"/>
    <w:rsid w:val="00E841B9"/>
    <w:rsid w:val="00E843E6"/>
    <w:rsid w:val="00E84419"/>
    <w:rsid w:val="00E84462"/>
    <w:rsid w:val="00E84486"/>
    <w:rsid w:val="00E844BA"/>
    <w:rsid w:val="00E844D9"/>
    <w:rsid w:val="00E844E2"/>
    <w:rsid w:val="00E8454A"/>
    <w:rsid w:val="00E8456A"/>
    <w:rsid w:val="00E846A2"/>
    <w:rsid w:val="00E846C6"/>
    <w:rsid w:val="00E846D2"/>
    <w:rsid w:val="00E846DD"/>
    <w:rsid w:val="00E8472B"/>
    <w:rsid w:val="00E84775"/>
    <w:rsid w:val="00E8477F"/>
    <w:rsid w:val="00E847AA"/>
    <w:rsid w:val="00E84959"/>
    <w:rsid w:val="00E8495B"/>
    <w:rsid w:val="00E8495F"/>
    <w:rsid w:val="00E84BE8"/>
    <w:rsid w:val="00E84C93"/>
    <w:rsid w:val="00E84C98"/>
    <w:rsid w:val="00E84CD6"/>
    <w:rsid w:val="00E84D77"/>
    <w:rsid w:val="00E84D94"/>
    <w:rsid w:val="00E84E49"/>
    <w:rsid w:val="00E84E8F"/>
    <w:rsid w:val="00E84E9B"/>
    <w:rsid w:val="00E84EC4"/>
    <w:rsid w:val="00E84FF3"/>
    <w:rsid w:val="00E85074"/>
    <w:rsid w:val="00E850A0"/>
    <w:rsid w:val="00E850A3"/>
    <w:rsid w:val="00E8523D"/>
    <w:rsid w:val="00E85254"/>
    <w:rsid w:val="00E8549F"/>
    <w:rsid w:val="00E854FC"/>
    <w:rsid w:val="00E85528"/>
    <w:rsid w:val="00E85671"/>
    <w:rsid w:val="00E8567E"/>
    <w:rsid w:val="00E856E6"/>
    <w:rsid w:val="00E85729"/>
    <w:rsid w:val="00E85792"/>
    <w:rsid w:val="00E857C9"/>
    <w:rsid w:val="00E8580A"/>
    <w:rsid w:val="00E85932"/>
    <w:rsid w:val="00E859FD"/>
    <w:rsid w:val="00E85A18"/>
    <w:rsid w:val="00E85BA0"/>
    <w:rsid w:val="00E85C00"/>
    <w:rsid w:val="00E85C2E"/>
    <w:rsid w:val="00E85C37"/>
    <w:rsid w:val="00E85CBD"/>
    <w:rsid w:val="00E85CD1"/>
    <w:rsid w:val="00E85CD4"/>
    <w:rsid w:val="00E85D50"/>
    <w:rsid w:val="00E85DB4"/>
    <w:rsid w:val="00E85EA6"/>
    <w:rsid w:val="00E85EE5"/>
    <w:rsid w:val="00E85F6D"/>
    <w:rsid w:val="00E86032"/>
    <w:rsid w:val="00E86092"/>
    <w:rsid w:val="00E86140"/>
    <w:rsid w:val="00E8620E"/>
    <w:rsid w:val="00E8640B"/>
    <w:rsid w:val="00E86679"/>
    <w:rsid w:val="00E86693"/>
    <w:rsid w:val="00E86729"/>
    <w:rsid w:val="00E867B2"/>
    <w:rsid w:val="00E86861"/>
    <w:rsid w:val="00E86893"/>
    <w:rsid w:val="00E86920"/>
    <w:rsid w:val="00E869BC"/>
    <w:rsid w:val="00E86B97"/>
    <w:rsid w:val="00E86BD1"/>
    <w:rsid w:val="00E86C00"/>
    <w:rsid w:val="00E86C33"/>
    <w:rsid w:val="00E86C43"/>
    <w:rsid w:val="00E86C4B"/>
    <w:rsid w:val="00E86D88"/>
    <w:rsid w:val="00E86E10"/>
    <w:rsid w:val="00E86E49"/>
    <w:rsid w:val="00E86E70"/>
    <w:rsid w:val="00E86EDA"/>
    <w:rsid w:val="00E86FD1"/>
    <w:rsid w:val="00E87014"/>
    <w:rsid w:val="00E8702E"/>
    <w:rsid w:val="00E87081"/>
    <w:rsid w:val="00E870FF"/>
    <w:rsid w:val="00E871B5"/>
    <w:rsid w:val="00E871C4"/>
    <w:rsid w:val="00E872F0"/>
    <w:rsid w:val="00E8732E"/>
    <w:rsid w:val="00E873DF"/>
    <w:rsid w:val="00E8744A"/>
    <w:rsid w:val="00E87455"/>
    <w:rsid w:val="00E875A0"/>
    <w:rsid w:val="00E875BD"/>
    <w:rsid w:val="00E87633"/>
    <w:rsid w:val="00E87644"/>
    <w:rsid w:val="00E87657"/>
    <w:rsid w:val="00E878FD"/>
    <w:rsid w:val="00E87991"/>
    <w:rsid w:val="00E879CF"/>
    <w:rsid w:val="00E87A75"/>
    <w:rsid w:val="00E87AB0"/>
    <w:rsid w:val="00E87B8D"/>
    <w:rsid w:val="00E87BBB"/>
    <w:rsid w:val="00E87C3E"/>
    <w:rsid w:val="00E87D08"/>
    <w:rsid w:val="00E87D0E"/>
    <w:rsid w:val="00E87E39"/>
    <w:rsid w:val="00E87E58"/>
    <w:rsid w:val="00E87F0F"/>
    <w:rsid w:val="00E87FE3"/>
    <w:rsid w:val="00E9000C"/>
    <w:rsid w:val="00E9000F"/>
    <w:rsid w:val="00E9002F"/>
    <w:rsid w:val="00E9003B"/>
    <w:rsid w:val="00E90093"/>
    <w:rsid w:val="00E900DF"/>
    <w:rsid w:val="00E90365"/>
    <w:rsid w:val="00E903B3"/>
    <w:rsid w:val="00E904C5"/>
    <w:rsid w:val="00E90528"/>
    <w:rsid w:val="00E9058E"/>
    <w:rsid w:val="00E906A0"/>
    <w:rsid w:val="00E9082B"/>
    <w:rsid w:val="00E90871"/>
    <w:rsid w:val="00E90961"/>
    <w:rsid w:val="00E90AAF"/>
    <w:rsid w:val="00E90AFD"/>
    <w:rsid w:val="00E90B25"/>
    <w:rsid w:val="00E90B4D"/>
    <w:rsid w:val="00E90B5E"/>
    <w:rsid w:val="00E90C71"/>
    <w:rsid w:val="00E90D46"/>
    <w:rsid w:val="00E90D54"/>
    <w:rsid w:val="00E90DA4"/>
    <w:rsid w:val="00E91052"/>
    <w:rsid w:val="00E91077"/>
    <w:rsid w:val="00E911D7"/>
    <w:rsid w:val="00E9121F"/>
    <w:rsid w:val="00E91289"/>
    <w:rsid w:val="00E91413"/>
    <w:rsid w:val="00E91464"/>
    <w:rsid w:val="00E914D9"/>
    <w:rsid w:val="00E914ED"/>
    <w:rsid w:val="00E91550"/>
    <w:rsid w:val="00E91551"/>
    <w:rsid w:val="00E91664"/>
    <w:rsid w:val="00E91674"/>
    <w:rsid w:val="00E916DF"/>
    <w:rsid w:val="00E91780"/>
    <w:rsid w:val="00E918A3"/>
    <w:rsid w:val="00E91971"/>
    <w:rsid w:val="00E91A28"/>
    <w:rsid w:val="00E91AF7"/>
    <w:rsid w:val="00E91B04"/>
    <w:rsid w:val="00E91B63"/>
    <w:rsid w:val="00E91BE2"/>
    <w:rsid w:val="00E91BF9"/>
    <w:rsid w:val="00E91C39"/>
    <w:rsid w:val="00E91CB6"/>
    <w:rsid w:val="00E91DB0"/>
    <w:rsid w:val="00E91EC3"/>
    <w:rsid w:val="00E91F1A"/>
    <w:rsid w:val="00E91F8C"/>
    <w:rsid w:val="00E91F9B"/>
    <w:rsid w:val="00E91FBC"/>
    <w:rsid w:val="00E91FF0"/>
    <w:rsid w:val="00E92034"/>
    <w:rsid w:val="00E92138"/>
    <w:rsid w:val="00E92159"/>
    <w:rsid w:val="00E92163"/>
    <w:rsid w:val="00E92193"/>
    <w:rsid w:val="00E921C0"/>
    <w:rsid w:val="00E9225D"/>
    <w:rsid w:val="00E92343"/>
    <w:rsid w:val="00E92349"/>
    <w:rsid w:val="00E92579"/>
    <w:rsid w:val="00E925A9"/>
    <w:rsid w:val="00E9262F"/>
    <w:rsid w:val="00E92741"/>
    <w:rsid w:val="00E9279C"/>
    <w:rsid w:val="00E927E2"/>
    <w:rsid w:val="00E92839"/>
    <w:rsid w:val="00E92906"/>
    <w:rsid w:val="00E92999"/>
    <w:rsid w:val="00E929C9"/>
    <w:rsid w:val="00E92A67"/>
    <w:rsid w:val="00E92AC5"/>
    <w:rsid w:val="00E92B5C"/>
    <w:rsid w:val="00E92BA2"/>
    <w:rsid w:val="00E92BAB"/>
    <w:rsid w:val="00E92C21"/>
    <w:rsid w:val="00E92C81"/>
    <w:rsid w:val="00E92C9A"/>
    <w:rsid w:val="00E92D21"/>
    <w:rsid w:val="00E92D66"/>
    <w:rsid w:val="00E92DE3"/>
    <w:rsid w:val="00E92EE1"/>
    <w:rsid w:val="00E92F18"/>
    <w:rsid w:val="00E930BD"/>
    <w:rsid w:val="00E93167"/>
    <w:rsid w:val="00E9318D"/>
    <w:rsid w:val="00E931B0"/>
    <w:rsid w:val="00E931D4"/>
    <w:rsid w:val="00E93272"/>
    <w:rsid w:val="00E932FF"/>
    <w:rsid w:val="00E9335D"/>
    <w:rsid w:val="00E9344C"/>
    <w:rsid w:val="00E93492"/>
    <w:rsid w:val="00E934CC"/>
    <w:rsid w:val="00E935E6"/>
    <w:rsid w:val="00E937A7"/>
    <w:rsid w:val="00E937B6"/>
    <w:rsid w:val="00E93912"/>
    <w:rsid w:val="00E93930"/>
    <w:rsid w:val="00E9393E"/>
    <w:rsid w:val="00E93A1E"/>
    <w:rsid w:val="00E93A21"/>
    <w:rsid w:val="00E93AF5"/>
    <w:rsid w:val="00E93C0C"/>
    <w:rsid w:val="00E93C51"/>
    <w:rsid w:val="00E93C64"/>
    <w:rsid w:val="00E93C8A"/>
    <w:rsid w:val="00E93D7B"/>
    <w:rsid w:val="00E93DE6"/>
    <w:rsid w:val="00E93E09"/>
    <w:rsid w:val="00E93E0C"/>
    <w:rsid w:val="00E94024"/>
    <w:rsid w:val="00E9402A"/>
    <w:rsid w:val="00E940F2"/>
    <w:rsid w:val="00E941BF"/>
    <w:rsid w:val="00E941DE"/>
    <w:rsid w:val="00E941F9"/>
    <w:rsid w:val="00E94243"/>
    <w:rsid w:val="00E94318"/>
    <w:rsid w:val="00E94321"/>
    <w:rsid w:val="00E943B1"/>
    <w:rsid w:val="00E9446B"/>
    <w:rsid w:val="00E9451B"/>
    <w:rsid w:val="00E94553"/>
    <w:rsid w:val="00E94643"/>
    <w:rsid w:val="00E94677"/>
    <w:rsid w:val="00E9479C"/>
    <w:rsid w:val="00E94850"/>
    <w:rsid w:val="00E94854"/>
    <w:rsid w:val="00E948CD"/>
    <w:rsid w:val="00E94971"/>
    <w:rsid w:val="00E949B1"/>
    <w:rsid w:val="00E949E5"/>
    <w:rsid w:val="00E949F8"/>
    <w:rsid w:val="00E949FA"/>
    <w:rsid w:val="00E94A40"/>
    <w:rsid w:val="00E94AB4"/>
    <w:rsid w:val="00E94ABC"/>
    <w:rsid w:val="00E94AC9"/>
    <w:rsid w:val="00E94B9E"/>
    <w:rsid w:val="00E94BEF"/>
    <w:rsid w:val="00E94C2B"/>
    <w:rsid w:val="00E94C46"/>
    <w:rsid w:val="00E94CEB"/>
    <w:rsid w:val="00E94DBF"/>
    <w:rsid w:val="00E94F51"/>
    <w:rsid w:val="00E94F68"/>
    <w:rsid w:val="00E94F89"/>
    <w:rsid w:val="00E94FC6"/>
    <w:rsid w:val="00E94FE8"/>
    <w:rsid w:val="00E950E8"/>
    <w:rsid w:val="00E95163"/>
    <w:rsid w:val="00E951B3"/>
    <w:rsid w:val="00E95246"/>
    <w:rsid w:val="00E9525A"/>
    <w:rsid w:val="00E952AB"/>
    <w:rsid w:val="00E952BA"/>
    <w:rsid w:val="00E952C9"/>
    <w:rsid w:val="00E952F7"/>
    <w:rsid w:val="00E953A5"/>
    <w:rsid w:val="00E953DB"/>
    <w:rsid w:val="00E9546F"/>
    <w:rsid w:val="00E95591"/>
    <w:rsid w:val="00E95669"/>
    <w:rsid w:val="00E9571B"/>
    <w:rsid w:val="00E95735"/>
    <w:rsid w:val="00E9575C"/>
    <w:rsid w:val="00E957E0"/>
    <w:rsid w:val="00E957E7"/>
    <w:rsid w:val="00E9589A"/>
    <w:rsid w:val="00E958DE"/>
    <w:rsid w:val="00E95950"/>
    <w:rsid w:val="00E95968"/>
    <w:rsid w:val="00E95972"/>
    <w:rsid w:val="00E9598D"/>
    <w:rsid w:val="00E959A5"/>
    <w:rsid w:val="00E959CC"/>
    <w:rsid w:val="00E959F8"/>
    <w:rsid w:val="00E95A60"/>
    <w:rsid w:val="00E95A9C"/>
    <w:rsid w:val="00E95B13"/>
    <w:rsid w:val="00E95BA6"/>
    <w:rsid w:val="00E95BE9"/>
    <w:rsid w:val="00E95BFE"/>
    <w:rsid w:val="00E95C67"/>
    <w:rsid w:val="00E95CDC"/>
    <w:rsid w:val="00E95D40"/>
    <w:rsid w:val="00E95DCF"/>
    <w:rsid w:val="00E95DF8"/>
    <w:rsid w:val="00E95E0C"/>
    <w:rsid w:val="00E95F19"/>
    <w:rsid w:val="00E95F20"/>
    <w:rsid w:val="00E95F42"/>
    <w:rsid w:val="00E95F4A"/>
    <w:rsid w:val="00E95F5D"/>
    <w:rsid w:val="00E95F70"/>
    <w:rsid w:val="00E95FB8"/>
    <w:rsid w:val="00E95FC3"/>
    <w:rsid w:val="00E95FFF"/>
    <w:rsid w:val="00E961A1"/>
    <w:rsid w:val="00E961A2"/>
    <w:rsid w:val="00E962A3"/>
    <w:rsid w:val="00E962A9"/>
    <w:rsid w:val="00E962DB"/>
    <w:rsid w:val="00E96327"/>
    <w:rsid w:val="00E9635C"/>
    <w:rsid w:val="00E96390"/>
    <w:rsid w:val="00E963FA"/>
    <w:rsid w:val="00E964F0"/>
    <w:rsid w:val="00E96502"/>
    <w:rsid w:val="00E96649"/>
    <w:rsid w:val="00E96654"/>
    <w:rsid w:val="00E966FA"/>
    <w:rsid w:val="00E96734"/>
    <w:rsid w:val="00E9676A"/>
    <w:rsid w:val="00E96786"/>
    <w:rsid w:val="00E967AA"/>
    <w:rsid w:val="00E968AB"/>
    <w:rsid w:val="00E968BF"/>
    <w:rsid w:val="00E96970"/>
    <w:rsid w:val="00E969B3"/>
    <w:rsid w:val="00E96A8D"/>
    <w:rsid w:val="00E96AB8"/>
    <w:rsid w:val="00E96B4F"/>
    <w:rsid w:val="00E96C37"/>
    <w:rsid w:val="00E96C80"/>
    <w:rsid w:val="00E96CE8"/>
    <w:rsid w:val="00E96E13"/>
    <w:rsid w:val="00E96E58"/>
    <w:rsid w:val="00E96ECC"/>
    <w:rsid w:val="00E96ECF"/>
    <w:rsid w:val="00E96ED9"/>
    <w:rsid w:val="00E96EE2"/>
    <w:rsid w:val="00E96EFF"/>
    <w:rsid w:val="00E96F66"/>
    <w:rsid w:val="00E96FD5"/>
    <w:rsid w:val="00E96FDD"/>
    <w:rsid w:val="00E9701E"/>
    <w:rsid w:val="00E9715D"/>
    <w:rsid w:val="00E9724F"/>
    <w:rsid w:val="00E972C6"/>
    <w:rsid w:val="00E97321"/>
    <w:rsid w:val="00E97329"/>
    <w:rsid w:val="00E9737F"/>
    <w:rsid w:val="00E973E0"/>
    <w:rsid w:val="00E9740C"/>
    <w:rsid w:val="00E9744C"/>
    <w:rsid w:val="00E974CE"/>
    <w:rsid w:val="00E97551"/>
    <w:rsid w:val="00E976AE"/>
    <w:rsid w:val="00E976C0"/>
    <w:rsid w:val="00E978F0"/>
    <w:rsid w:val="00E97A4B"/>
    <w:rsid w:val="00E97A4F"/>
    <w:rsid w:val="00E97A53"/>
    <w:rsid w:val="00E97B16"/>
    <w:rsid w:val="00E97B1A"/>
    <w:rsid w:val="00E97B7F"/>
    <w:rsid w:val="00E97BD7"/>
    <w:rsid w:val="00E97C05"/>
    <w:rsid w:val="00E97C06"/>
    <w:rsid w:val="00E97CAC"/>
    <w:rsid w:val="00E97E77"/>
    <w:rsid w:val="00E97EB8"/>
    <w:rsid w:val="00E97ED7"/>
    <w:rsid w:val="00EA0001"/>
    <w:rsid w:val="00EA0027"/>
    <w:rsid w:val="00EA0074"/>
    <w:rsid w:val="00EA0147"/>
    <w:rsid w:val="00EA017C"/>
    <w:rsid w:val="00EA0305"/>
    <w:rsid w:val="00EA03C9"/>
    <w:rsid w:val="00EA041F"/>
    <w:rsid w:val="00EA04FC"/>
    <w:rsid w:val="00EA0567"/>
    <w:rsid w:val="00EA0624"/>
    <w:rsid w:val="00EA0707"/>
    <w:rsid w:val="00EA0741"/>
    <w:rsid w:val="00EA079A"/>
    <w:rsid w:val="00EA086C"/>
    <w:rsid w:val="00EA0908"/>
    <w:rsid w:val="00EA090F"/>
    <w:rsid w:val="00EA0923"/>
    <w:rsid w:val="00EA09BA"/>
    <w:rsid w:val="00EA09E9"/>
    <w:rsid w:val="00EA09F1"/>
    <w:rsid w:val="00EA0A26"/>
    <w:rsid w:val="00EA0B05"/>
    <w:rsid w:val="00EA0BC7"/>
    <w:rsid w:val="00EA0BE3"/>
    <w:rsid w:val="00EA0C3E"/>
    <w:rsid w:val="00EA0CE9"/>
    <w:rsid w:val="00EA0E44"/>
    <w:rsid w:val="00EA0ED4"/>
    <w:rsid w:val="00EA0EFD"/>
    <w:rsid w:val="00EA101F"/>
    <w:rsid w:val="00EA1075"/>
    <w:rsid w:val="00EA1143"/>
    <w:rsid w:val="00EA11C9"/>
    <w:rsid w:val="00EA126E"/>
    <w:rsid w:val="00EA12C6"/>
    <w:rsid w:val="00EA133D"/>
    <w:rsid w:val="00EA13C5"/>
    <w:rsid w:val="00EA156F"/>
    <w:rsid w:val="00EA15BE"/>
    <w:rsid w:val="00EA1611"/>
    <w:rsid w:val="00EA1681"/>
    <w:rsid w:val="00EA1697"/>
    <w:rsid w:val="00EA1888"/>
    <w:rsid w:val="00EA191A"/>
    <w:rsid w:val="00EA194A"/>
    <w:rsid w:val="00EA1967"/>
    <w:rsid w:val="00EA1A09"/>
    <w:rsid w:val="00EA1AC4"/>
    <w:rsid w:val="00EA1AE0"/>
    <w:rsid w:val="00EA1B20"/>
    <w:rsid w:val="00EA1C87"/>
    <w:rsid w:val="00EA1CCC"/>
    <w:rsid w:val="00EA1D8B"/>
    <w:rsid w:val="00EA1E30"/>
    <w:rsid w:val="00EA1E54"/>
    <w:rsid w:val="00EA1ECA"/>
    <w:rsid w:val="00EA1ED6"/>
    <w:rsid w:val="00EA1EFB"/>
    <w:rsid w:val="00EA1F27"/>
    <w:rsid w:val="00EA1F29"/>
    <w:rsid w:val="00EA1F2D"/>
    <w:rsid w:val="00EA1F60"/>
    <w:rsid w:val="00EA1F77"/>
    <w:rsid w:val="00EA2001"/>
    <w:rsid w:val="00EA21B7"/>
    <w:rsid w:val="00EA2201"/>
    <w:rsid w:val="00EA2291"/>
    <w:rsid w:val="00EA2384"/>
    <w:rsid w:val="00EA23A5"/>
    <w:rsid w:val="00EA23D9"/>
    <w:rsid w:val="00EA241B"/>
    <w:rsid w:val="00EA24E6"/>
    <w:rsid w:val="00EA254F"/>
    <w:rsid w:val="00EA2583"/>
    <w:rsid w:val="00EA2707"/>
    <w:rsid w:val="00EA276C"/>
    <w:rsid w:val="00EA27C4"/>
    <w:rsid w:val="00EA29E1"/>
    <w:rsid w:val="00EA2A9C"/>
    <w:rsid w:val="00EA2C2C"/>
    <w:rsid w:val="00EA2CC6"/>
    <w:rsid w:val="00EA2D33"/>
    <w:rsid w:val="00EA2DA5"/>
    <w:rsid w:val="00EA2E42"/>
    <w:rsid w:val="00EA2EFE"/>
    <w:rsid w:val="00EA2F55"/>
    <w:rsid w:val="00EA301C"/>
    <w:rsid w:val="00EA3052"/>
    <w:rsid w:val="00EA315C"/>
    <w:rsid w:val="00EA3186"/>
    <w:rsid w:val="00EA319B"/>
    <w:rsid w:val="00EA31B2"/>
    <w:rsid w:val="00EA32BF"/>
    <w:rsid w:val="00EA33C6"/>
    <w:rsid w:val="00EA3546"/>
    <w:rsid w:val="00EA354A"/>
    <w:rsid w:val="00EA356F"/>
    <w:rsid w:val="00EA3596"/>
    <w:rsid w:val="00EA359D"/>
    <w:rsid w:val="00EA3625"/>
    <w:rsid w:val="00EA3657"/>
    <w:rsid w:val="00EA36A3"/>
    <w:rsid w:val="00EA3890"/>
    <w:rsid w:val="00EA3892"/>
    <w:rsid w:val="00EA38B2"/>
    <w:rsid w:val="00EA39B4"/>
    <w:rsid w:val="00EA39DB"/>
    <w:rsid w:val="00EA39E5"/>
    <w:rsid w:val="00EA3A13"/>
    <w:rsid w:val="00EA3A60"/>
    <w:rsid w:val="00EA3C3F"/>
    <w:rsid w:val="00EA3D29"/>
    <w:rsid w:val="00EA3DF7"/>
    <w:rsid w:val="00EA3E31"/>
    <w:rsid w:val="00EA3FD3"/>
    <w:rsid w:val="00EA4085"/>
    <w:rsid w:val="00EA40CB"/>
    <w:rsid w:val="00EA415B"/>
    <w:rsid w:val="00EA4187"/>
    <w:rsid w:val="00EA4248"/>
    <w:rsid w:val="00EA426C"/>
    <w:rsid w:val="00EA42CF"/>
    <w:rsid w:val="00EA42D8"/>
    <w:rsid w:val="00EA431A"/>
    <w:rsid w:val="00EA437B"/>
    <w:rsid w:val="00EA43D2"/>
    <w:rsid w:val="00EA4458"/>
    <w:rsid w:val="00EA44DE"/>
    <w:rsid w:val="00EA45BD"/>
    <w:rsid w:val="00EA45E5"/>
    <w:rsid w:val="00EA463D"/>
    <w:rsid w:val="00EA46F5"/>
    <w:rsid w:val="00EA47D0"/>
    <w:rsid w:val="00EA47F8"/>
    <w:rsid w:val="00EA4803"/>
    <w:rsid w:val="00EA4807"/>
    <w:rsid w:val="00EA48F1"/>
    <w:rsid w:val="00EA49D8"/>
    <w:rsid w:val="00EA49E5"/>
    <w:rsid w:val="00EA4A47"/>
    <w:rsid w:val="00EA4AA1"/>
    <w:rsid w:val="00EA4AD0"/>
    <w:rsid w:val="00EA4AD1"/>
    <w:rsid w:val="00EA4AE6"/>
    <w:rsid w:val="00EA4B2C"/>
    <w:rsid w:val="00EA4B90"/>
    <w:rsid w:val="00EA4BF8"/>
    <w:rsid w:val="00EA4C0D"/>
    <w:rsid w:val="00EA4C2C"/>
    <w:rsid w:val="00EA4D63"/>
    <w:rsid w:val="00EA4D8E"/>
    <w:rsid w:val="00EA4E06"/>
    <w:rsid w:val="00EA4E20"/>
    <w:rsid w:val="00EA4E8B"/>
    <w:rsid w:val="00EA4E8E"/>
    <w:rsid w:val="00EA4E9A"/>
    <w:rsid w:val="00EA4E9B"/>
    <w:rsid w:val="00EA4ECB"/>
    <w:rsid w:val="00EA4F3C"/>
    <w:rsid w:val="00EA4F7F"/>
    <w:rsid w:val="00EA4F92"/>
    <w:rsid w:val="00EA5033"/>
    <w:rsid w:val="00EA50DF"/>
    <w:rsid w:val="00EA51D0"/>
    <w:rsid w:val="00EA527A"/>
    <w:rsid w:val="00EA528E"/>
    <w:rsid w:val="00EA52E5"/>
    <w:rsid w:val="00EA53B2"/>
    <w:rsid w:val="00EA5470"/>
    <w:rsid w:val="00EA549B"/>
    <w:rsid w:val="00EA55E6"/>
    <w:rsid w:val="00EA568D"/>
    <w:rsid w:val="00EA56CC"/>
    <w:rsid w:val="00EA570E"/>
    <w:rsid w:val="00EA5773"/>
    <w:rsid w:val="00EA588B"/>
    <w:rsid w:val="00EA58A4"/>
    <w:rsid w:val="00EA59FB"/>
    <w:rsid w:val="00EA5AB3"/>
    <w:rsid w:val="00EA5ACC"/>
    <w:rsid w:val="00EA5AED"/>
    <w:rsid w:val="00EA5B79"/>
    <w:rsid w:val="00EA5D53"/>
    <w:rsid w:val="00EA5D60"/>
    <w:rsid w:val="00EA5DE0"/>
    <w:rsid w:val="00EA5E62"/>
    <w:rsid w:val="00EA5EC7"/>
    <w:rsid w:val="00EA60AE"/>
    <w:rsid w:val="00EA6165"/>
    <w:rsid w:val="00EA6422"/>
    <w:rsid w:val="00EA6427"/>
    <w:rsid w:val="00EA64C7"/>
    <w:rsid w:val="00EA6584"/>
    <w:rsid w:val="00EA6667"/>
    <w:rsid w:val="00EA6777"/>
    <w:rsid w:val="00EA682F"/>
    <w:rsid w:val="00EA68A2"/>
    <w:rsid w:val="00EA6969"/>
    <w:rsid w:val="00EA6977"/>
    <w:rsid w:val="00EA69A2"/>
    <w:rsid w:val="00EA6A0B"/>
    <w:rsid w:val="00EA6A18"/>
    <w:rsid w:val="00EA6A9F"/>
    <w:rsid w:val="00EA6B28"/>
    <w:rsid w:val="00EA6B4A"/>
    <w:rsid w:val="00EA6B7C"/>
    <w:rsid w:val="00EA6B82"/>
    <w:rsid w:val="00EA6BFD"/>
    <w:rsid w:val="00EA6C3F"/>
    <w:rsid w:val="00EA6C79"/>
    <w:rsid w:val="00EA6D30"/>
    <w:rsid w:val="00EA6D59"/>
    <w:rsid w:val="00EA6D6F"/>
    <w:rsid w:val="00EA6E2D"/>
    <w:rsid w:val="00EA6F35"/>
    <w:rsid w:val="00EA6F67"/>
    <w:rsid w:val="00EA6F7B"/>
    <w:rsid w:val="00EA6F8C"/>
    <w:rsid w:val="00EA6F9D"/>
    <w:rsid w:val="00EA7017"/>
    <w:rsid w:val="00EA710A"/>
    <w:rsid w:val="00EA7113"/>
    <w:rsid w:val="00EA716E"/>
    <w:rsid w:val="00EA71A1"/>
    <w:rsid w:val="00EA71B6"/>
    <w:rsid w:val="00EA71BB"/>
    <w:rsid w:val="00EA71EE"/>
    <w:rsid w:val="00EA7200"/>
    <w:rsid w:val="00EA7225"/>
    <w:rsid w:val="00EA7255"/>
    <w:rsid w:val="00EA72C3"/>
    <w:rsid w:val="00EA730A"/>
    <w:rsid w:val="00EA73C9"/>
    <w:rsid w:val="00EA73FA"/>
    <w:rsid w:val="00EA745C"/>
    <w:rsid w:val="00EA7519"/>
    <w:rsid w:val="00EA7597"/>
    <w:rsid w:val="00EA7770"/>
    <w:rsid w:val="00EA791F"/>
    <w:rsid w:val="00EA7985"/>
    <w:rsid w:val="00EA798E"/>
    <w:rsid w:val="00EA79D2"/>
    <w:rsid w:val="00EA7AC0"/>
    <w:rsid w:val="00EA7C29"/>
    <w:rsid w:val="00EA7CBC"/>
    <w:rsid w:val="00EA7CF3"/>
    <w:rsid w:val="00EA7D44"/>
    <w:rsid w:val="00EA7D46"/>
    <w:rsid w:val="00EA7DE5"/>
    <w:rsid w:val="00EA7E83"/>
    <w:rsid w:val="00EA7ED8"/>
    <w:rsid w:val="00EA7EDC"/>
    <w:rsid w:val="00EA7F82"/>
    <w:rsid w:val="00EA7FE5"/>
    <w:rsid w:val="00EB003A"/>
    <w:rsid w:val="00EB01DC"/>
    <w:rsid w:val="00EB01F6"/>
    <w:rsid w:val="00EB0295"/>
    <w:rsid w:val="00EB0312"/>
    <w:rsid w:val="00EB038C"/>
    <w:rsid w:val="00EB03A2"/>
    <w:rsid w:val="00EB0417"/>
    <w:rsid w:val="00EB045A"/>
    <w:rsid w:val="00EB04C2"/>
    <w:rsid w:val="00EB04D0"/>
    <w:rsid w:val="00EB050E"/>
    <w:rsid w:val="00EB05A5"/>
    <w:rsid w:val="00EB0619"/>
    <w:rsid w:val="00EB0878"/>
    <w:rsid w:val="00EB08A2"/>
    <w:rsid w:val="00EB0905"/>
    <w:rsid w:val="00EB090C"/>
    <w:rsid w:val="00EB0921"/>
    <w:rsid w:val="00EB0A57"/>
    <w:rsid w:val="00EB0B6D"/>
    <w:rsid w:val="00EB0BEC"/>
    <w:rsid w:val="00EB0C09"/>
    <w:rsid w:val="00EB0C4E"/>
    <w:rsid w:val="00EB0D6C"/>
    <w:rsid w:val="00EB0D76"/>
    <w:rsid w:val="00EB0DB0"/>
    <w:rsid w:val="00EB0F3D"/>
    <w:rsid w:val="00EB0F45"/>
    <w:rsid w:val="00EB0F6E"/>
    <w:rsid w:val="00EB0F8C"/>
    <w:rsid w:val="00EB0F95"/>
    <w:rsid w:val="00EB1026"/>
    <w:rsid w:val="00EB104F"/>
    <w:rsid w:val="00EB116A"/>
    <w:rsid w:val="00EB11A6"/>
    <w:rsid w:val="00EB11BA"/>
    <w:rsid w:val="00EB11EC"/>
    <w:rsid w:val="00EB11F0"/>
    <w:rsid w:val="00EB1359"/>
    <w:rsid w:val="00EB141A"/>
    <w:rsid w:val="00EB14DA"/>
    <w:rsid w:val="00EB153F"/>
    <w:rsid w:val="00EB15E2"/>
    <w:rsid w:val="00EB160A"/>
    <w:rsid w:val="00EB165C"/>
    <w:rsid w:val="00EB1693"/>
    <w:rsid w:val="00EB16A4"/>
    <w:rsid w:val="00EB1704"/>
    <w:rsid w:val="00EB17A8"/>
    <w:rsid w:val="00EB18CB"/>
    <w:rsid w:val="00EB18CC"/>
    <w:rsid w:val="00EB195E"/>
    <w:rsid w:val="00EB19E5"/>
    <w:rsid w:val="00EB19EC"/>
    <w:rsid w:val="00EB1A87"/>
    <w:rsid w:val="00EB1AAD"/>
    <w:rsid w:val="00EB1B40"/>
    <w:rsid w:val="00EB1B88"/>
    <w:rsid w:val="00EB1C97"/>
    <w:rsid w:val="00EB1D3D"/>
    <w:rsid w:val="00EB1D6A"/>
    <w:rsid w:val="00EB1D6E"/>
    <w:rsid w:val="00EB1F29"/>
    <w:rsid w:val="00EB1FC9"/>
    <w:rsid w:val="00EB206A"/>
    <w:rsid w:val="00EB207F"/>
    <w:rsid w:val="00EB210D"/>
    <w:rsid w:val="00EB2169"/>
    <w:rsid w:val="00EB21B7"/>
    <w:rsid w:val="00EB2403"/>
    <w:rsid w:val="00EB2437"/>
    <w:rsid w:val="00EB2462"/>
    <w:rsid w:val="00EB2463"/>
    <w:rsid w:val="00EB24C5"/>
    <w:rsid w:val="00EB24F8"/>
    <w:rsid w:val="00EB2602"/>
    <w:rsid w:val="00EB270C"/>
    <w:rsid w:val="00EB27A2"/>
    <w:rsid w:val="00EB2877"/>
    <w:rsid w:val="00EB2A23"/>
    <w:rsid w:val="00EB2AF0"/>
    <w:rsid w:val="00EB2B81"/>
    <w:rsid w:val="00EB2C6E"/>
    <w:rsid w:val="00EB2C75"/>
    <w:rsid w:val="00EB2D21"/>
    <w:rsid w:val="00EB2D4D"/>
    <w:rsid w:val="00EB2F1A"/>
    <w:rsid w:val="00EB303F"/>
    <w:rsid w:val="00EB3046"/>
    <w:rsid w:val="00EB3068"/>
    <w:rsid w:val="00EB30AC"/>
    <w:rsid w:val="00EB3147"/>
    <w:rsid w:val="00EB31AF"/>
    <w:rsid w:val="00EB3200"/>
    <w:rsid w:val="00EB3278"/>
    <w:rsid w:val="00EB3322"/>
    <w:rsid w:val="00EB339E"/>
    <w:rsid w:val="00EB3444"/>
    <w:rsid w:val="00EB34E9"/>
    <w:rsid w:val="00EB34EA"/>
    <w:rsid w:val="00EB35AC"/>
    <w:rsid w:val="00EB35E8"/>
    <w:rsid w:val="00EB384B"/>
    <w:rsid w:val="00EB39AE"/>
    <w:rsid w:val="00EB3AF8"/>
    <w:rsid w:val="00EB3B69"/>
    <w:rsid w:val="00EB3B94"/>
    <w:rsid w:val="00EB3C1B"/>
    <w:rsid w:val="00EB3D27"/>
    <w:rsid w:val="00EB3D76"/>
    <w:rsid w:val="00EB3DD9"/>
    <w:rsid w:val="00EB3EED"/>
    <w:rsid w:val="00EB3F65"/>
    <w:rsid w:val="00EB3F97"/>
    <w:rsid w:val="00EB3FD6"/>
    <w:rsid w:val="00EB3FFE"/>
    <w:rsid w:val="00EB4029"/>
    <w:rsid w:val="00EB4044"/>
    <w:rsid w:val="00EB40ED"/>
    <w:rsid w:val="00EB4175"/>
    <w:rsid w:val="00EB41C8"/>
    <w:rsid w:val="00EB426C"/>
    <w:rsid w:val="00EB42B5"/>
    <w:rsid w:val="00EB433C"/>
    <w:rsid w:val="00EB43DB"/>
    <w:rsid w:val="00EB441F"/>
    <w:rsid w:val="00EB444A"/>
    <w:rsid w:val="00EB4472"/>
    <w:rsid w:val="00EB44DC"/>
    <w:rsid w:val="00EB4605"/>
    <w:rsid w:val="00EB4609"/>
    <w:rsid w:val="00EB4628"/>
    <w:rsid w:val="00EB4633"/>
    <w:rsid w:val="00EB4686"/>
    <w:rsid w:val="00EB46FE"/>
    <w:rsid w:val="00EB4720"/>
    <w:rsid w:val="00EB4780"/>
    <w:rsid w:val="00EB48AD"/>
    <w:rsid w:val="00EB48F6"/>
    <w:rsid w:val="00EB497B"/>
    <w:rsid w:val="00EB4B25"/>
    <w:rsid w:val="00EB4B68"/>
    <w:rsid w:val="00EB4BC1"/>
    <w:rsid w:val="00EB4BD0"/>
    <w:rsid w:val="00EB4C9B"/>
    <w:rsid w:val="00EB4CA7"/>
    <w:rsid w:val="00EB4D43"/>
    <w:rsid w:val="00EB4D61"/>
    <w:rsid w:val="00EB4DA5"/>
    <w:rsid w:val="00EB4DC8"/>
    <w:rsid w:val="00EB4E1E"/>
    <w:rsid w:val="00EB4F90"/>
    <w:rsid w:val="00EB501B"/>
    <w:rsid w:val="00EB50B5"/>
    <w:rsid w:val="00EB50C2"/>
    <w:rsid w:val="00EB511B"/>
    <w:rsid w:val="00EB5192"/>
    <w:rsid w:val="00EB51A0"/>
    <w:rsid w:val="00EB5202"/>
    <w:rsid w:val="00EB5316"/>
    <w:rsid w:val="00EB5488"/>
    <w:rsid w:val="00EB54AE"/>
    <w:rsid w:val="00EB55B4"/>
    <w:rsid w:val="00EB55C4"/>
    <w:rsid w:val="00EB55DF"/>
    <w:rsid w:val="00EB5670"/>
    <w:rsid w:val="00EB568A"/>
    <w:rsid w:val="00EB568E"/>
    <w:rsid w:val="00EB56B3"/>
    <w:rsid w:val="00EB56F0"/>
    <w:rsid w:val="00EB56F9"/>
    <w:rsid w:val="00EB57F1"/>
    <w:rsid w:val="00EB5930"/>
    <w:rsid w:val="00EB59F6"/>
    <w:rsid w:val="00EB5A0A"/>
    <w:rsid w:val="00EB5A68"/>
    <w:rsid w:val="00EB5AAD"/>
    <w:rsid w:val="00EB5B47"/>
    <w:rsid w:val="00EB5B67"/>
    <w:rsid w:val="00EB5C3A"/>
    <w:rsid w:val="00EB5C9A"/>
    <w:rsid w:val="00EB5D05"/>
    <w:rsid w:val="00EB5D7B"/>
    <w:rsid w:val="00EB5DE7"/>
    <w:rsid w:val="00EB5E37"/>
    <w:rsid w:val="00EB5EB6"/>
    <w:rsid w:val="00EB5EC8"/>
    <w:rsid w:val="00EB5F05"/>
    <w:rsid w:val="00EB5F5A"/>
    <w:rsid w:val="00EB5F8F"/>
    <w:rsid w:val="00EB5FE5"/>
    <w:rsid w:val="00EB604D"/>
    <w:rsid w:val="00EB6090"/>
    <w:rsid w:val="00EB60BA"/>
    <w:rsid w:val="00EB60E9"/>
    <w:rsid w:val="00EB60ED"/>
    <w:rsid w:val="00EB6130"/>
    <w:rsid w:val="00EB61C5"/>
    <w:rsid w:val="00EB61C7"/>
    <w:rsid w:val="00EB62D9"/>
    <w:rsid w:val="00EB6339"/>
    <w:rsid w:val="00EB634B"/>
    <w:rsid w:val="00EB634E"/>
    <w:rsid w:val="00EB6383"/>
    <w:rsid w:val="00EB6411"/>
    <w:rsid w:val="00EB6443"/>
    <w:rsid w:val="00EB64B0"/>
    <w:rsid w:val="00EB64C8"/>
    <w:rsid w:val="00EB64FB"/>
    <w:rsid w:val="00EB6588"/>
    <w:rsid w:val="00EB661E"/>
    <w:rsid w:val="00EB6653"/>
    <w:rsid w:val="00EB66B2"/>
    <w:rsid w:val="00EB66DE"/>
    <w:rsid w:val="00EB670F"/>
    <w:rsid w:val="00EB676A"/>
    <w:rsid w:val="00EB6829"/>
    <w:rsid w:val="00EB6851"/>
    <w:rsid w:val="00EB6918"/>
    <w:rsid w:val="00EB6941"/>
    <w:rsid w:val="00EB695C"/>
    <w:rsid w:val="00EB69BC"/>
    <w:rsid w:val="00EB69C4"/>
    <w:rsid w:val="00EB6A36"/>
    <w:rsid w:val="00EB6B10"/>
    <w:rsid w:val="00EB6CD4"/>
    <w:rsid w:val="00EB6D10"/>
    <w:rsid w:val="00EB6D48"/>
    <w:rsid w:val="00EB6D67"/>
    <w:rsid w:val="00EB6DD9"/>
    <w:rsid w:val="00EB6DDF"/>
    <w:rsid w:val="00EB6E4D"/>
    <w:rsid w:val="00EB6F0A"/>
    <w:rsid w:val="00EB70B9"/>
    <w:rsid w:val="00EB70CD"/>
    <w:rsid w:val="00EB7213"/>
    <w:rsid w:val="00EB7292"/>
    <w:rsid w:val="00EB72DF"/>
    <w:rsid w:val="00EB736E"/>
    <w:rsid w:val="00EB739F"/>
    <w:rsid w:val="00EB73F6"/>
    <w:rsid w:val="00EB747A"/>
    <w:rsid w:val="00EB7493"/>
    <w:rsid w:val="00EB74C8"/>
    <w:rsid w:val="00EB74E1"/>
    <w:rsid w:val="00EB7502"/>
    <w:rsid w:val="00EB750F"/>
    <w:rsid w:val="00EB754A"/>
    <w:rsid w:val="00EB7556"/>
    <w:rsid w:val="00EB757B"/>
    <w:rsid w:val="00EB759D"/>
    <w:rsid w:val="00EB759E"/>
    <w:rsid w:val="00EB75D0"/>
    <w:rsid w:val="00EB766D"/>
    <w:rsid w:val="00EB76E9"/>
    <w:rsid w:val="00EB7731"/>
    <w:rsid w:val="00EB7742"/>
    <w:rsid w:val="00EB7808"/>
    <w:rsid w:val="00EB7840"/>
    <w:rsid w:val="00EB7961"/>
    <w:rsid w:val="00EB79B8"/>
    <w:rsid w:val="00EB79BE"/>
    <w:rsid w:val="00EB7A16"/>
    <w:rsid w:val="00EB7AA4"/>
    <w:rsid w:val="00EB7BDA"/>
    <w:rsid w:val="00EB7C15"/>
    <w:rsid w:val="00EB7C9C"/>
    <w:rsid w:val="00EB7C9E"/>
    <w:rsid w:val="00EB7D14"/>
    <w:rsid w:val="00EB7D77"/>
    <w:rsid w:val="00EB7D89"/>
    <w:rsid w:val="00EB7DC9"/>
    <w:rsid w:val="00EB7DF7"/>
    <w:rsid w:val="00EB7DF9"/>
    <w:rsid w:val="00EB7E05"/>
    <w:rsid w:val="00EB7E3F"/>
    <w:rsid w:val="00EB7F65"/>
    <w:rsid w:val="00EB7F67"/>
    <w:rsid w:val="00EB7F6A"/>
    <w:rsid w:val="00EC0004"/>
    <w:rsid w:val="00EC0009"/>
    <w:rsid w:val="00EC008A"/>
    <w:rsid w:val="00EC00A8"/>
    <w:rsid w:val="00EC019E"/>
    <w:rsid w:val="00EC02F2"/>
    <w:rsid w:val="00EC03BF"/>
    <w:rsid w:val="00EC04C0"/>
    <w:rsid w:val="00EC04D4"/>
    <w:rsid w:val="00EC05C4"/>
    <w:rsid w:val="00EC0644"/>
    <w:rsid w:val="00EC0708"/>
    <w:rsid w:val="00EC07EC"/>
    <w:rsid w:val="00EC09BC"/>
    <w:rsid w:val="00EC0A4E"/>
    <w:rsid w:val="00EC0A5B"/>
    <w:rsid w:val="00EC0A99"/>
    <w:rsid w:val="00EC0BDF"/>
    <w:rsid w:val="00EC0D19"/>
    <w:rsid w:val="00EC0DD8"/>
    <w:rsid w:val="00EC0DFE"/>
    <w:rsid w:val="00EC0E42"/>
    <w:rsid w:val="00EC0E57"/>
    <w:rsid w:val="00EC103D"/>
    <w:rsid w:val="00EC104D"/>
    <w:rsid w:val="00EC10C5"/>
    <w:rsid w:val="00EC11B6"/>
    <w:rsid w:val="00EC129E"/>
    <w:rsid w:val="00EC12A6"/>
    <w:rsid w:val="00EC12AF"/>
    <w:rsid w:val="00EC1331"/>
    <w:rsid w:val="00EC135A"/>
    <w:rsid w:val="00EC1366"/>
    <w:rsid w:val="00EC1373"/>
    <w:rsid w:val="00EC13A6"/>
    <w:rsid w:val="00EC1491"/>
    <w:rsid w:val="00EC1514"/>
    <w:rsid w:val="00EC154B"/>
    <w:rsid w:val="00EC157A"/>
    <w:rsid w:val="00EC1600"/>
    <w:rsid w:val="00EC160E"/>
    <w:rsid w:val="00EC1668"/>
    <w:rsid w:val="00EC1768"/>
    <w:rsid w:val="00EC17C6"/>
    <w:rsid w:val="00EC17C9"/>
    <w:rsid w:val="00EC17E0"/>
    <w:rsid w:val="00EC17F0"/>
    <w:rsid w:val="00EC181D"/>
    <w:rsid w:val="00EC1903"/>
    <w:rsid w:val="00EC1923"/>
    <w:rsid w:val="00EC19C7"/>
    <w:rsid w:val="00EC1A01"/>
    <w:rsid w:val="00EC1ABF"/>
    <w:rsid w:val="00EC1B13"/>
    <w:rsid w:val="00EC1B88"/>
    <w:rsid w:val="00EC1C17"/>
    <w:rsid w:val="00EC1CA5"/>
    <w:rsid w:val="00EC1DC4"/>
    <w:rsid w:val="00EC1DD3"/>
    <w:rsid w:val="00EC1E0C"/>
    <w:rsid w:val="00EC1E42"/>
    <w:rsid w:val="00EC1F02"/>
    <w:rsid w:val="00EC1FAB"/>
    <w:rsid w:val="00EC1FE1"/>
    <w:rsid w:val="00EC2064"/>
    <w:rsid w:val="00EC20A2"/>
    <w:rsid w:val="00EC222D"/>
    <w:rsid w:val="00EC2244"/>
    <w:rsid w:val="00EC22CC"/>
    <w:rsid w:val="00EC22FF"/>
    <w:rsid w:val="00EC23D2"/>
    <w:rsid w:val="00EC2402"/>
    <w:rsid w:val="00EC24D2"/>
    <w:rsid w:val="00EC25AA"/>
    <w:rsid w:val="00EC25D4"/>
    <w:rsid w:val="00EC2707"/>
    <w:rsid w:val="00EC2769"/>
    <w:rsid w:val="00EC27E5"/>
    <w:rsid w:val="00EC28C2"/>
    <w:rsid w:val="00EC296B"/>
    <w:rsid w:val="00EC2A2B"/>
    <w:rsid w:val="00EC2AD6"/>
    <w:rsid w:val="00EC2AE1"/>
    <w:rsid w:val="00EC2B32"/>
    <w:rsid w:val="00EC2CC7"/>
    <w:rsid w:val="00EC2CCF"/>
    <w:rsid w:val="00EC2CF2"/>
    <w:rsid w:val="00EC2D1A"/>
    <w:rsid w:val="00EC2D78"/>
    <w:rsid w:val="00EC2DCD"/>
    <w:rsid w:val="00EC2F62"/>
    <w:rsid w:val="00EC2FEF"/>
    <w:rsid w:val="00EC3097"/>
    <w:rsid w:val="00EC30A6"/>
    <w:rsid w:val="00EC311C"/>
    <w:rsid w:val="00EC3131"/>
    <w:rsid w:val="00EC3198"/>
    <w:rsid w:val="00EC31BA"/>
    <w:rsid w:val="00EC31F5"/>
    <w:rsid w:val="00EC3251"/>
    <w:rsid w:val="00EC329D"/>
    <w:rsid w:val="00EC32EB"/>
    <w:rsid w:val="00EC3301"/>
    <w:rsid w:val="00EC33CD"/>
    <w:rsid w:val="00EC3573"/>
    <w:rsid w:val="00EC3621"/>
    <w:rsid w:val="00EC36A0"/>
    <w:rsid w:val="00EC36FA"/>
    <w:rsid w:val="00EC374F"/>
    <w:rsid w:val="00EC37C4"/>
    <w:rsid w:val="00EC37DC"/>
    <w:rsid w:val="00EC3879"/>
    <w:rsid w:val="00EC3892"/>
    <w:rsid w:val="00EC393A"/>
    <w:rsid w:val="00EC3997"/>
    <w:rsid w:val="00EC39D2"/>
    <w:rsid w:val="00EC39F5"/>
    <w:rsid w:val="00EC3A54"/>
    <w:rsid w:val="00EC3B5F"/>
    <w:rsid w:val="00EC3BF8"/>
    <w:rsid w:val="00EC3CAD"/>
    <w:rsid w:val="00EC3D54"/>
    <w:rsid w:val="00EC3D92"/>
    <w:rsid w:val="00EC3DA2"/>
    <w:rsid w:val="00EC3E03"/>
    <w:rsid w:val="00EC3EE2"/>
    <w:rsid w:val="00EC3EFD"/>
    <w:rsid w:val="00EC4010"/>
    <w:rsid w:val="00EC4085"/>
    <w:rsid w:val="00EC40C8"/>
    <w:rsid w:val="00EC4110"/>
    <w:rsid w:val="00EC4124"/>
    <w:rsid w:val="00EC4189"/>
    <w:rsid w:val="00EC41B1"/>
    <w:rsid w:val="00EC41D5"/>
    <w:rsid w:val="00EC41F1"/>
    <w:rsid w:val="00EC4235"/>
    <w:rsid w:val="00EC4273"/>
    <w:rsid w:val="00EC4284"/>
    <w:rsid w:val="00EC42AF"/>
    <w:rsid w:val="00EC431B"/>
    <w:rsid w:val="00EC4397"/>
    <w:rsid w:val="00EC43C9"/>
    <w:rsid w:val="00EC4523"/>
    <w:rsid w:val="00EC4574"/>
    <w:rsid w:val="00EC4680"/>
    <w:rsid w:val="00EC468A"/>
    <w:rsid w:val="00EC47A0"/>
    <w:rsid w:val="00EC47D6"/>
    <w:rsid w:val="00EC47FF"/>
    <w:rsid w:val="00EC4855"/>
    <w:rsid w:val="00EC490E"/>
    <w:rsid w:val="00EC493C"/>
    <w:rsid w:val="00EC4957"/>
    <w:rsid w:val="00EC499C"/>
    <w:rsid w:val="00EC4A27"/>
    <w:rsid w:val="00EC4A3D"/>
    <w:rsid w:val="00EC4A41"/>
    <w:rsid w:val="00EC4A53"/>
    <w:rsid w:val="00EC4B10"/>
    <w:rsid w:val="00EC4BBF"/>
    <w:rsid w:val="00EC4C08"/>
    <w:rsid w:val="00EC4C16"/>
    <w:rsid w:val="00EC4C70"/>
    <w:rsid w:val="00EC4D09"/>
    <w:rsid w:val="00EC4DDC"/>
    <w:rsid w:val="00EC4DE3"/>
    <w:rsid w:val="00EC4DF5"/>
    <w:rsid w:val="00EC4E0C"/>
    <w:rsid w:val="00EC4E75"/>
    <w:rsid w:val="00EC4ED7"/>
    <w:rsid w:val="00EC4F58"/>
    <w:rsid w:val="00EC4FB1"/>
    <w:rsid w:val="00EC4FC5"/>
    <w:rsid w:val="00EC4FE1"/>
    <w:rsid w:val="00EC4FF5"/>
    <w:rsid w:val="00EC4FF8"/>
    <w:rsid w:val="00EC4FF9"/>
    <w:rsid w:val="00EC5051"/>
    <w:rsid w:val="00EC5178"/>
    <w:rsid w:val="00EC51FC"/>
    <w:rsid w:val="00EC52EF"/>
    <w:rsid w:val="00EC5332"/>
    <w:rsid w:val="00EC5364"/>
    <w:rsid w:val="00EC53A7"/>
    <w:rsid w:val="00EC5415"/>
    <w:rsid w:val="00EC543F"/>
    <w:rsid w:val="00EC5510"/>
    <w:rsid w:val="00EC55E2"/>
    <w:rsid w:val="00EC5641"/>
    <w:rsid w:val="00EC5665"/>
    <w:rsid w:val="00EC569E"/>
    <w:rsid w:val="00EC5748"/>
    <w:rsid w:val="00EC57A8"/>
    <w:rsid w:val="00EC57BD"/>
    <w:rsid w:val="00EC57D6"/>
    <w:rsid w:val="00EC5956"/>
    <w:rsid w:val="00EC59D2"/>
    <w:rsid w:val="00EC59E7"/>
    <w:rsid w:val="00EC59F8"/>
    <w:rsid w:val="00EC5A66"/>
    <w:rsid w:val="00EC5B26"/>
    <w:rsid w:val="00EC5B9B"/>
    <w:rsid w:val="00EC5BA1"/>
    <w:rsid w:val="00EC5CE0"/>
    <w:rsid w:val="00EC5D9F"/>
    <w:rsid w:val="00EC5DF3"/>
    <w:rsid w:val="00EC5E54"/>
    <w:rsid w:val="00EC5ED7"/>
    <w:rsid w:val="00EC5EDD"/>
    <w:rsid w:val="00EC5F39"/>
    <w:rsid w:val="00EC60FB"/>
    <w:rsid w:val="00EC60FC"/>
    <w:rsid w:val="00EC62A3"/>
    <w:rsid w:val="00EC62AB"/>
    <w:rsid w:val="00EC62B5"/>
    <w:rsid w:val="00EC62D4"/>
    <w:rsid w:val="00EC639A"/>
    <w:rsid w:val="00EC6409"/>
    <w:rsid w:val="00EC6437"/>
    <w:rsid w:val="00EC64A7"/>
    <w:rsid w:val="00EC64B2"/>
    <w:rsid w:val="00EC6554"/>
    <w:rsid w:val="00EC6713"/>
    <w:rsid w:val="00EC6781"/>
    <w:rsid w:val="00EC6785"/>
    <w:rsid w:val="00EC67D0"/>
    <w:rsid w:val="00EC6855"/>
    <w:rsid w:val="00EC68DC"/>
    <w:rsid w:val="00EC6907"/>
    <w:rsid w:val="00EC690B"/>
    <w:rsid w:val="00EC6A0C"/>
    <w:rsid w:val="00EC6A49"/>
    <w:rsid w:val="00EC6A4C"/>
    <w:rsid w:val="00EC6A56"/>
    <w:rsid w:val="00EC6A5B"/>
    <w:rsid w:val="00EC6B6B"/>
    <w:rsid w:val="00EC6BEC"/>
    <w:rsid w:val="00EC6BFA"/>
    <w:rsid w:val="00EC6C00"/>
    <w:rsid w:val="00EC6C7D"/>
    <w:rsid w:val="00EC6C97"/>
    <w:rsid w:val="00EC6CCE"/>
    <w:rsid w:val="00EC6DA2"/>
    <w:rsid w:val="00EC6E65"/>
    <w:rsid w:val="00EC6E6A"/>
    <w:rsid w:val="00EC6F6A"/>
    <w:rsid w:val="00EC6F6C"/>
    <w:rsid w:val="00EC6F8F"/>
    <w:rsid w:val="00EC6FA7"/>
    <w:rsid w:val="00EC6FFA"/>
    <w:rsid w:val="00EC6FFD"/>
    <w:rsid w:val="00EC7055"/>
    <w:rsid w:val="00EC7078"/>
    <w:rsid w:val="00EC70A0"/>
    <w:rsid w:val="00EC70AF"/>
    <w:rsid w:val="00EC70CD"/>
    <w:rsid w:val="00EC7163"/>
    <w:rsid w:val="00EC71D3"/>
    <w:rsid w:val="00EC71E4"/>
    <w:rsid w:val="00EC71F8"/>
    <w:rsid w:val="00EC72B4"/>
    <w:rsid w:val="00EC72D8"/>
    <w:rsid w:val="00EC7483"/>
    <w:rsid w:val="00EC758D"/>
    <w:rsid w:val="00EC75B5"/>
    <w:rsid w:val="00EC7688"/>
    <w:rsid w:val="00EC76BD"/>
    <w:rsid w:val="00EC772B"/>
    <w:rsid w:val="00EC77FF"/>
    <w:rsid w:val="00EC784A"/>
    <w:rsid w:val="00EC7870"/>
    <w:rsid w:val="00EC790A"/>
    <w:rsid w:val="00EC797B"/>
    <w:rsid w:val="00EC79A5"/>
    <w:rsid w:val="00EC79F3"/>
    <w:rsid w:val="00EC7A84"/>
    <w:rsid w:val="00EC7ACF"/>
    <w:rsid w:val="00EC7B52"/>
    <w:rsid w:val="00EC7C1D"/>
    <w:rsid w:val="00EC7D5F"/>
    <w:rsid w:val="00EC7E08"/>
    <w:rsid w:val="00EC7E71"/>
    <w:rsid w:val="00EC7F60"/>
    <w:rsid w:val="00EC7F99"/>
    <w:rsid w:val="00EC7FD0"/>
    <w:rsid w:val="00ED0047"/>
    <w:rsid w:val="00ED0097"/>
    <w:rsid w:val="00ED0157"/>
    <w:rsid w:val="00ED01A4"/>
    <w:rsid w:val="00ED01AE"/>
    <w:rsid w:val="00ED01BA"/>
    <w:rsid w:val="00ED01E7"/>
    <w:rsid w:val="00ED0206"/>
    <w:rsid w:val="00ED0259"/>
    <w:rsid w:val="00ED02C5"/>
    <w:rsid w:val="00ED0335"/>
    <w:rsid w:val="00ED0371"/>
    <w:rsid w:val="00ED043B"/>
    <w:rsid w:val="00ED0491"/>
    <w:rsid w:val="00ED0560"/>
    <w:rsid w:val="00ED0572"/>
    <w:rsid w:val="00ED05D1"/>
    <w:rsid w:val="00ED05F0"/>
    <w:rsid w:val="00ED0696"/>
    <w:rsid w:val="00ED06E3"/>
    <w:rsid w:val="00ED07B2"/>
    <w:rsid w:val="00ED0A26"/>
    <w:rsid w:val="00ED0AB2"/>
    <w:rsid w:val="00ED0AFF"/>
    <w:rsid w:val="00ED0C75"/>
    <w:rsid w:val="00ED0C85"/>
    <w:rsid w:val="00ED0CA5"/>
    <w:rsid w:val="00ED0D2A"/>
    <w:rsid w:val="00ED0D41"/>
    <w:rsid w:val="00ED0D45"/>
    <w:rsid w:val="00ED0D49"/>
    <w:rsid w:val="00ED0D4D"/>
    <w:rsid w:val="00ED0D9F"/>
    <w:rsid w:val="00ED0E0E"/>
    <w:rsid w:val="00ED0F4E"/>
    <w:rsid w:val="00ED100A"/>
    <w:rsid w:val="00ED1018"/>
    <w:rsid w:val="00ED10FE"/>
    <w:rsid w:val="00ED110B"/>
    <w:rsid w:val="00ED113C"/>
    <w:rsid w:val="00ED1199"/>
    <w:rsid w:val="00ED124D"/>
    <w:rsid w:val="00ED12E8"/>
    <w:rsid w:val="00ED13C7"/>
    <w:rsid w:val="00ED1466"/>
    <w:rsid w:val="00ED14B1"/>
    <w:rsid w:val="00ED1521"/>
    <w:rsid w:val="00ED1565"/>
    <w:rsid w:val="00ED15E6"/>
    <w:rsid w:val="00ED1639"/>
    <w:rsid w:val="00ED1669"/>
    <w:rsid w:val="00ED1722"/>
    <w:rsid w:val="00ED1737"/>
    <w:rsid w:val="00ED17B5"/>
    <w:rsid w:val="00ED185C"/>
    <w:rsid w:val="00ED1870"/>
    <w:rsid w:val="00ED1897"/>
    <w:rsid w:val="00ED18AC"/>
    <w:rsid w:val="00ED18C0"/>
    <w:rsid w:val="00ED18CC"/>
    <w:rsid w:val="00ED18E9"/>
    <w:rsid w:val="00ED18F0"/>
    <w:rsid w:val="00ED192D"/>
    <w:rsid w:val="00ED19C1"/>
    <w:rsid w:val="00ED1ABD"/>
    <w:rsid w:val="00ED1B1D"/>
    <w:rsid w:val="00ED1B7A"/>
    <w:rsid w:val="00ED1B9A"/>
    <w:rsid w:val="00ED1BE9"/>
    <w:rsid w:val="00ED1BEC"/>
    <w:rsid w:val="00ED1CFE"/>
    <w:rsid w:val="00ED1D0D"/>
    <w:rsid w:val="00ED1D18"/>
    <w:rsid w:val="00ED1DAC"/>
    <w:rsid w:val="00ED1DF7"/>
    <w:rsid w:val="00ED1E19"/>
    <w:rsid w:val="00ED1E6E"/>
    <w:rsid w:val="00ED1E7F"/>
    <w:rsid w:val="00ED1EBB"/>
    <w:rsid w:val="00ED1F59"/>
    <w:rsid w:val="00ED1FB6"/>
    <w:rsid w:val="00ED1FFA"/>
    <w:rsid w:val="00ED2008"/>
    <w:rsid w:val="00ED20BA"/>
    <w:rsid w:val="00ED219E"/>
    <w:rsid w:val="00ED21C4"/>
    <w:rsid w:val="00ED227A"/>
    <w:rsid w:val="00ED2280"/>
    <w:rsid w:val="00ED2285"/>
    <w:rsid w:val="00ED22B5"/>
    <w:rsid w:val="00ED2304"/>
    <w:rsid w:val="00ED233A"/>
    <w:rsid w:val="00ED23E1"/>
    <w:rsid w:val="00ED23E6"/>
    <w:rsid w:val="00ED2452"/>
    <w:rsid w:val="00ED245F"/>
    <w:rsid w:val="00ED24E5"/>
    <w:rsid w:val="00ED24FF"/>
    <w:rsid w:val="00ED25B7"/>
    <w:rsid w:val="00ED2613"/>
    <w:rsid w:val="00ED2630"/>
    <w:rsid w:val="00ED2637"/>
    <w:rsid w:val="00ED2656"/>
    <w:rsid w:val="00ED265D"/>
    <w:rsid w:val="00ED267A"/>
    <w:rsid w:val="00ED2683"/>
    <w:rsid w:val="00ED271F"/>
    <w:rsid w:val="00ED275C"/>
    <w:rsid w:val="00ED2762"/>
    <w:rsid w:val="00ED288C"/>
    <w:rsid w:val="00ED2A8B"/>
    <w:rsid w:val="00ED2B04"/>
    <w:rsid w:val="00ED2B26"/>
    <w:rsid w:val="00ED2B77"/>
    <w:rsid w:val="00ED2BF9"/>
    <w:rsid w:val="00ED2C5D"/>
    <w:rsid w:val="00ED2D09"/>
    <w:rsid w:val="00ED2D8F"/>
    <w:rsid w:val="00ED2E25"/>
    <w:rsid w:val="00ED2E93"/>
    <w:rsid w:val="00ED2F3F"/>
    <w:rsid w:val="00ED2F7E"/>
    <w:rsid w:val="00ED3001"/>
    <w:rsid w:val="00ED30D7"/>
    <w:rsid w:val="00ED31C5"/>
    <w:rsid w:val="00ED345A"/>
    <w:rsid w:val="00ED345F"/>
    <w:rsid w:val="00ED346E"/>
    <w:rsid w:val="00ED34CF"/>
    <w:rsid w:val="00ED3522"/>
    <w:rsid w:val="00ED352C"/>
    <w:rsid w:val="00ED3537"/>
    <w:rsid w:val="00ED37A6"/>
    <w:rsid w:val="00ED392D"/>
    <w:rsid w:val="00ED392F"/>
    <w:rsid w:val="00ED3937"/>
    <w:rsid w:val="00ED39DA"/>
    <w:rsid w:val="00ED3A01"/>
    <w:rsid w:val="00ED3A72"/>
    <w:rsid w:val="00ED3AA7"/>
    <w:rsid w:val="00ED3B5F"/>
    <w:rsid w:val="00ED3B77"/>
    <w:rsid w:val="00ED3BD1"/>
    <w:rsid w:val="00ED3BF4"/>
    <w:rsid w:val="00ED3C3B"/>
    <w:rsid w:val="00ED3CE9"/>
    <w:rsid w:val="00ED3E1B"/>
    <w:rsid w:val="00ED3E57"/>
    <w:rsid w:val="00ED3E59"/>
    <w:rsid w:val="00ED3E87"/>
    <w:rsid w:val="00ED3FFF"/>
    <w:rsid w:val="00ED4015"/>
    <w:rsid w:val="00ED4051"/>
    <w:rsid w:val="00ED4065"/>
    <w:rsid w:val="00ED40C2"/>
    <w:rsid w:val="00ED410B"/>
    <w:rsid w:val="00ED4133"/>
    <w:rsid w:val="00ED41B5"/>
    <w:rsid w:val="00ED4372"/>
    <w:rsid w:val="00ED437E"/>
    <w:rsid w:val="00ED43F6"/>
    <w:rsid w:val="00ED4434"/>
    <w:rsid w:val="00ED44A2"/>
    <w:rsid w:val="00ED44D9"/>
    <w:rsid w:val="00ED4509"/>
    <w:rsid w:val="00ED4544"/>
    <w:rsid w:val="00ED456D"/>
    <w:rsid w:val="00ED46FB"/>
    <w:rsid w:val="00ED47D0"/>
    <w:rsid w:val="00ED48DF"/>
    <w:rsid w:val="00ED48F3"/>
    <w:rsid w:val="00ED4A56"/>
    <w:rsid w:val="00ED4B95"/>
    <w:rsid w:val="00ED4BC3"/>
    <w:rsid w:val="00ED4BD6"/>
    <w:rsid w:val="00ED4C39"/>
    <w:rsid w:val="00ED4C4C"/>
    <w:rsid w:val="00ED4DBA"/>
    <w:rsid w:val="00ED4DD7"/>
    <w:rsid w:val="00ED4EB5"/>
    <w:rsid w:val="00ED4F45"/>
    <w:rsid w:val="00ED4F9B"/>
    <w:rsid w:val="00ED5084"/>
    <w:rsid w:val="00ED50B9"/>
    <w:rsid w:val="00ED5111"/>
    <w:rsid w:val="00ED5253"/>
    <w:rsid w:val="00ED52EA"/>
    <w:rsid w:val="00ED539C"/>
    <w:rsid w:val="00ED53C3"/>
    <w:rsid w:val="00ED53F1"/>
    <w:rsid w:val="00ED54AA"/>
    <w:rsid w:val="00ED569C"/>
    <w:rsid w:val="00ED5725"/>
    <w:rsid w:val="00ED57FD"/>
    <w:rsid w:val="00ED581C"/>
    <w:rsid w:val="00ED5871"/>
    <w:rsid w:val="00ED58A1"/>
    <w:rsid w:val="00ED58F4"/>
    <w:rsid w:val="00ED598D"/>
    <w:rsid w:val="00ED5995"/>
    <w:rsid w:val="00ED59A5"/>
    <w:rsid w:val="00ED59E4"/>
    <w:rsid w:val="00ED59F2"/>
    <w:rsid w:val="00ED5A12"/>
    <w:rsid w:val="00ED5A6B"/>
    <w:rsid w:val="00ED5A8B"/>
    <w:rsid w:val="00ED5AA1"/>
    <w:rsid w:val="00ED5B7A"/>
    <w:rsid w:val="00ED5C13"/>
    <w:rsid w:val="00ED5C36"/>
    <w:rsid w:val="00ED5CCF"/>
    <w:rsid w:val="00ED5CE0"/>
    <w:rsid w:val="00ED5D53"/>
    <w:rsid w:val="00ED5DDE"/>
    <w:rsid w:val="00ED5E9F"/>
    <w:rsid w:val="00ED5F21"/>
    <w:rsid w:val="00ED601A"/>
    <w:rsid w:val="00ED60AD"/>
    <w:rsid w:val="00ED60E6"/>
    <w:rsid w:val="00ED6217"/>
    <w:rsid w:val="00ED621A"/>
    <w:rsid w:val="00ED6341"/>
    <w:rsid w:val="00ED646B"/>
    <w:rsid w:val="00ED6471"/>
    <w:rsid w:val="00ED64DD"/>
    <w:rsid w:val="00ED64E0"/>
    <w:rsid w:val="00ED6513"/>
    <w:rsid w:val="00ED65AE"/>
    <w:rsid w:val="00ED65F1"/>
    <w:rsid w:val="00ED6660"/>
    <w:rsid w:val="00ED66A7"/>
    <w:rsid w:val="00ED66C6"/>
    <w:rsid w:val="00ED66CB"/>
    <w:rsid w:val="00ED686E"/>
    <w:rsid w:val="00ED6904"/>
    <w:rsid w:val="00ED69D6"/>
    <w:rsid w:val="00ED6A80"/>
    <w:rsid w:val="00ED6A8A"/>
    <w:rsid w:val="00ED6AF6"/>
    <w:rsid w:val="00ED6B37"/>
    <w:rsid w:val="00ED6B71"/>
    <w:rsid w:val="00ED6C69"/>
    <w:rsid w:val="00ED6CC3"/>
    <w:rsid w:val="00ED6CCF"/>
    <w:rsid w:val="00ED6D16"/>
    <w:rsid w:val="00ED6D91"/>
    <w:rsid w:val="00ED6DA9"/>
    <w:rsid w:val="00ED6DDD"/>
    <w:rsid w:val="00ED6FC2"/>
    <w:rsid w:val="00ED709F"/>
    <w:rsid w:val="00ED710B"/>
    <w:rsid w:val="00ED71F6"/>
    <w:rsid w:val="00ED7207"/>
    <w:rsid w:val="00ED72D5"/>
    <w:rsid w:val="00ED72D9"/>
    <w:rsid w:val="00ED7418"/>
    <w:rsid w:val="00ED7432"/>
    <w:rsid w:val="00ED7492"/>
    <w:rsid w:val="00ED74D2"/>
    <w:rsid w:val="00ED752A"/>
    <w:rsid w:val="00ED758F"/>
    <w:rsid w:val="00ED7594"/>
    <w:rsid w:val="00ED7605"/>
    <w:rsid w:val="00ED7672"/>
    <w:rsid w:val="00ED76A4"/>
    <w:rsid w:val="00ED78A1"/>
    <w:rsid w:val="00ED78B6"/>
    <w:rsid w:val="00ED791F"/>
    <w:rsid w:val="00ED7936"/>
    <w:rsid w:val="00ED79EC"/>
    <w:rsid w:val="00ED79F1"/>
    <w:rsid w:val="00ED7A02"/>
    <w:rsid w:val="00ED7A63"/>
    <w:rsid w:val="00ED7B4B"/>
    <w:rsid w:val="00ED7C0D"/>
    <w:rsid w:val="00ED7CAE"/>
    <w:rsid w:val="00ED7CEC"/>
    <w:rsid w:val="00ED7E2A"/>
    <w:rsid w:val="00ED7EB7"/>
    <w:rsid w:val="00ED7EC6"/>
    <w:rsid w:val="00ED7EE7"/>
    <w:rsid w:val="00ED7F4D"/>
    <w:rsid w:val="00ED7FEE"/>
    <w:rsid w:val="00EE00CB"/>
    <w:rsid w:val="00EE010A"/>
    <w:rsid w:val="00EE016D"/>
    <w:rsid w:val="00EE01B1"/>
    <w:rsid w:val="00EE01D4"/>
    <w:rsid w:val="00EE021A"/>
    <w:rsid w:val="00EE0292"/>
    <w:rsid w:val="00EE02D0"/>
    <w:rsid w:val="00EE02FF"/>
    <w:rsid w:val="00EE04F4"/>
    <w:rsid w:val="00EE055C"/>
    <w:rsid w:val="00EE063A"/>
    <w:rsid w:val="00EE068A"/>
    <w:rsid w:val="00EE0690"/>
    <w:rsid w:val="00EE076F"/>
    <w:rsid w:val="00EE0791"/>
    <w:rsid w:val="00EE0870"/>
    <w:rsid w:val="00EE08E1"/>
    <w:rsid w:val="00EE0960"/>
    <w:rsid w:val="00EE0A0D"/>
    <w:rsid w:val="00EE0A88"/>
    <w:rsid w:val="00EE0AAB"/>
    <w:rsid w:val="00EE0C1C"/>
    <w:rsid w:val="00EE0C2A"/>
    <w:rsid w:val="00EE0C71"/>
    <w:rsid w:val="00EE0D16"/>
    <w:rsid w:val="00EE0D6E"/>
    <w:rsid w:val="00EE0E63"/>
    <w:rsid w:val="00EE0F2E"/>
    <w:rsid w:val="00EE0F49"/>
    <w:rsid w:val="00EE0F9B"/>
    <w:rsid w:val="00EE0FB1"/>
    <w:rsid w:val="00EE1019"/>
    <w:rsid w:val="00EE101D"/>
    <w:rsid w:val="00EE1081"/>
    <w:rsid w:val="00EE1182"/>
    <w:rsid w:val="00EE118D"/>
    <w:rsid w:val="00EE11E2"/>
    <w:rsid w:val="00EE121C"/>
    <w:rsid w:val="00EE12A0"/>
    <w:rsid w:val="00EE12ED"/>
    <w:rsid w:val="00EE1398"/>
    <w:rsid w:val="00EE1435"/>
    <w:rsid w:val="00EE1561"/>
    <w:rsid w:val="00EE15A7"/>
    <w:rsid w:val="00EE15E2"/>
    <w:rsid w:val="00EE1622"/>
    <w:rsid w:val="00EE1637"/>
    <w:rsid w:val="00EE171F"/>
    <w:rsid w:val="00EE17D5"/>
    <w:rsid w:val="00EE1943"/>
    <w:rsid w:val="00EE1949"/>
    <w:rsid w:val="00EE196A"/>
    <w:rsid w:val="00EE1A41"/>
    <w:rsid w:val="00EE1B0D"/>
    <w:rsid w:val="00EE1B7C"/>
    <w:rsid w:val="00EE1BC7"/>
    <w:rsid w:val="00EE1C64"/>
    <w:rsid w:val="00EE1D1A"/>
    <w:rsid w:val="00EE1D63"/>
    <w:rsid w:val="00EE1D6A"/>
    <w:rsid w:val="00EE1DE7"/>
    <w:rsid w:val="00EE1E7B"/>
    <w:rsid w:val="00EE1E90"/>
    <w:rsid w:val="00EE2048"/>
    <w:rsid w:val="00EE2055"/>
    <w:rsid w:val="00EE205F"/>
    <w:rsid w:val="00EE223B"/>
    <w:rsid w:val="00EE227E"/>
    <w:rsid w:val="00EE22F8"/>
    <w:rsid w:val="00EE23A1"/>
    <w:rsid w:val="00EE240D"/>
    <w:rsid w:val="00EE2480"/>
    <w:rsid w:val="00EE24D0"/>
    <w:rsid w:val="00EE2501"/>
    <w:rsid w:val="00EE2558"/>
    <w:rsid w:val="00EE2596"/>
    <w:rsid w:val="00EE2657"/>
    <w:rsid w:val="00EE2685"/>
    <w:rsid w:val="00EE26E0"/>
    <w:rsid w:val="00EE26EE"/>
    <w:rsid w:val="00EE2703"/>
    <w:rsid w:val="00EE27BD"/>
    <w:rsid w:val="00EE2877"/>
    <w:rsid w:val="00EE2887"/>
    <w:rsid w:val="00EE2983"/>
    <w:rsid w:val="00EE29B5"/>
    <w:rsid w:val="00EE29CD"/>
    <w:rsid w:val="00EE29D9"/>
    <w:rsid w:val="00EE29DD"/>
    <w:rsid w:val="00EE2A02"/>
    <w:rsid w:val="00EE2A25"/>
    <w:rsid w:val="00EE2A5F"/>
    <w:rsid w:val="00EE2A6B"/>
    <w:rsid w:val="00EE2AE8"/>
    <w:rsid w:val="00EE2C5E"/>
    <w:rsid w:val="00EE2C5F"/>
    <w:rsid w:val="00EE2D1F"/>
    <w:rsid w:val="00EE2DB7"/>
    <w:rsid w:val="00EE2DDA"/>
    <w:rsid w:val="00EE2DF9"/>
    <w:rsid w:val="00EE2F29"/>
    <w:rsid w:val="00EE2FCA"/>
    <w:rsid w:val="00EE2FEC"/>
    <w:rsid w:val="00EE30AF"/>
    <w:rsid w:val="00EE30D2"/>
    <w:rsid w:val="00EE3138"/>
    <w:rsid w:val="00EE3178"/>
    <w:rsid w:val="00EE31C4"/>
    <w:rsid w:val="00EE31D2"/>
    <w:rsid w:val="00EE3220"/>
    <w:rsid w:val="00EE3294"/>
    <w:rsid w:val="00EE3354"/>
    <w:rsid w:val="00EE355F"/>
    <w:rsid w:val="00EE3572"/>
    <w:rsid w:val="00EE35F0"/>
    <w:rsid w:val="00EE3617"/>
    <w:rsid w:val="00EE36A8"/>
    <w:rsid w:val="00EE36C6"/>
    <w:rsid w:val="00EE37BA"/>
    <w:rsid w:val="00EE37DD"/>
    <w:rsid w:val="00EE386F"/>
    <w:rsid w:val="00EE3886"/>
    <w:rsid w:val="00EE38EB"/>
    <w:rsid w:val="00EE390A"/>
    <w:rsid w:val="00EE3977"/>
    <w:rsid w:val="00EE397F"/>
    <w:rsid w:val="00EE39F4"/>
    <w:rsid w:val="00EE3B15"/>
    <w:rsid w:val="00EE3B29"/>
    <w:rsid w:val="00EE3B5B"/>
    <w:rsid w:val="00EE3B69"/>
    <w:rsid w:val="00EE3C2A"/>
    <w:rsid w:val="00EE3CA2"/>
    <w:rsid w:val="00EE3D62"/>
    <w:rsid w:val="00EE3E99"/>
    <w:rsid w:val="00EE3EFD"/>
    <w:rsid w:val="00EE3F07"/>
    <w:rsid w:val="00EE4020"/>
    <w:rsid w:val="00EE4111"/>
    <w:rsid w:val="00EE41C9"/>
    <w:rsid w:val="00EE41D3"/>
    <w:rsid w:val="00EE4234"/>
    <w:rsid w:val="00EE423D"/>
    <w:rsid w:val="00EE4269"/>
    <w:rsid w:val="00EE4331"/>
    <w:rsid w:val="00EE433F"/>
    <w:rsid w:val="00EE43EB"/>
    <w:rsid w:val="00EE455E"/>
    <w:rsid w:val="00EE46B5"/>
    <w:rsid w:val="00EE4713"/>
    <w:rsid w:val="00EE4719"/>
    <w:rsid w:val="00EE4764"/>
    <w:rsid w:val="00EE47AB"/>
    <w:rsid w:val="00EE48C6"/>
    <w:rsid w:val="00EE4901"/>
    <w:rsid w:val="00EE49A8"/>
    <w:rsid w:val="00EE4A25"/>
    <w:rsid w:val="00EE4B9E"/>
    <w:rsid w:val="00EE4BA2"/>
    <w:rsid w:val="00EE4C39"/>
    <w:rsid w:val="00EE4D6B"/>
    <w:rsid w:val="00EE4D86"/>
    <w:rsid w:val="00EE4DC0"/>
    <w:rsid w:val="00EE4DEB"/>
    <w:rsid w:val="00EE4E56"/>
    <w:rsid w:val="00EE4E62"/>
    <w:rsid w:val="00EE4F2F"/>
    <w:rsid w:val="00EE4F9D"/>
    <w:rsid w:val="00EE4FA3"/>
    <w:rsid w:val="00EE4FAA"/>
    <w:rsid w:val="00EE4FFB"/>
    <w:rsid w:val="00EE5054"/>
    <w:rsid w:val="00EE509A"/>
    <w:rsid w:val="00EE5123"/>
    <w:rsid w:val="00EE5176"/>
    <w:rsid w:val="00EE517C"/>
    <w:rsid w:val="00EE519F"/>
    <w:rsid w:val="00EE5276"/>
    <w:rsid w:val="00EE5389"/>
    <w:rsid w:val="00EE53AB"/>
    <w:rsid w:val="00EE53E2"/>
    <w:rsid w:val="00EE5447"/>
    <w:rsid w:val="00EE5451"/>
    <w:rsid w:val="00EE5582"/>
    <w:rsid w:val="00EE5583"/>
    <w:rsid w:val="00EE55BC"/>
    <w:rsid w:val="00EE5624"/>
    <w:rsid w:val="00EE56A0"/>
    <w:rsid w:val="00EE56B7"/>
    <w:rsid w:val="00EE5705"/>
    <w:rsid w:val="00EE5745"/>
    <w:rsid w:val="00EE576A"/>
    <w:rsid w:val="00EE582D"/>
    <w:rsid w:val="00EE58C1"/>
    <w:rsid w:val="00EE58D5"/>
    <w:rsid w:val="00EE590E"/>
    <w:rsid w:val="00EE5A20"/>
    <w:rsid w:val="00EE5B2F"/>
    <w:rsid w:val="00EE5BCC"/>
    <w:rsid w:val="00EE5BEB"/>
    <w:rsid w:val="00EE5C66"/>
    <w:rsid w:val="00EE5D30"/>
    <w:rsid w:val="00EE5D6E"/>
    <w:rsid w:val="00EE5DBD"/>
    <w:rsid w:val="00EE5E12"/>
    <w:rsid w:val="00EE5E71"/>
    <w:rsid w:val="00EE5EA7"/>
    <w:rsid w:val="00EE6038"/>
    <w:rsid w:val="00EE60E7"/>
    <w:rsid w:val="00EE6194"/>
    <w:rsid w:val="00EE623B"/>
    <w:rsid w:val="00EE627D"/>
    <w:rsid w:val="00EE629F"/>
    <w:rsid w:val="00EE62C9"/>
    <w:rsid w:val="00EE6311"/>
    <w:rsid w:val="00EE6334"/>
    <w:rsid w:val="00EE635D"/>
    <w:rsid w:val="00EE63C7"/>
    <w:rsid w:val="00EE63E9"/>
    <w:rsid w:val="00EE64EB"/>
    <w:rsid w:val="00EE64F4"/>
    <w:rsid w:val="00EE6552"/>
    <w:rsid w:val="00EE66A5"/>
    <w:rsid w:val="00EE675C"/>
    <w:rsid w:val="00EE67A2"/>
    <w:rsid w:val="00EE68B7"/>
    <w:rsid w:val="00EE68BE"/>
    <w:rsid w:val="00EE698F"/>
    <w:rsid w:val="00EE69D2"/>
    <w:rsid w:val="00EE69E0"/>
    <w:rsid w:val="00EE69FB"/>
    <w:rsid w:val="00EE6A65"/>
    <w:rsid w:val="00EE6AF4"/>
    <w:rsid w:val="00EE6B4F"/>
    <w:rsid w:val="00EE6BA1"/>
    <w:rsid w:val="00EE6BCF"/>
    <w:rsid w:val="00EE6C07"/>
    <w:rsid w:val="00EE6C1B"/>
    <w:rsid w:val="00EE6C51"/>
    <w:rsid w:val="00EE6D0B"/>
    <w:rsid w:val="00EE6D10"/>
    <w:rsid w:val="00EE6D57"/>
    <w:rsid w:val="00EE6DD2"/>
    <w:rsid w:val="00EE6DD6"/>
    <w:rsid w:val="00EE6DFF"/>
    <w:rsid w:val="00EE6E74"/>
    <w:rsid w:val="00EE6ED2"/>
    <w:rsid w:val="00EE6F92"/>
    <w:rsid w:val="00EE6F9B"/>
    <w:rsid w:val="00EE701B"/>
    <w:rsid w:val="00EE7020"/>
    <w:rsid w:val="00EE7078"/>
    <w:rsid w:val="00EE70A2"/>
    <w:rsid w:val="00EE70CC"/>
    <w:rsid w:val="00EE7189"/>
    <w:rsid w:val="00EE72FC"/>
    <w:rsid w:val="00EE731F"/>
    <w:rsid w:val="00EE73FE"/>
    <w:rsid w:val="00EE7432"/>
    <w:rsid w:val="00EE7437"/>
    <w:rsid w:val="00EE748E"/>
    <w:rsid w:val="00EE7597"/>
    <w:rsid w:val="00EE760F"/>
    <w:rsid w:val="00EE7673"/>
    <w:rsid w:val="00EE76B9"/>
    <w:rsid w:val="00EE7830"/>
    <w:rsid w:val="00EE788C"/>
    <w:rsid w:val="00EE788F"/>
    <w:rsid w:val="00EE7915"/>
    <w:rsid w:val="00EE79AE"/>
    <w:rsid w:val="00EE79ED"/>
    <w:rsid w:val="00EE7A68"/>
    <w:rsid w:val="00EE7B4A"/>
    <w:rsid w:val="00EE7BDF"/>
    <w:rsid w:val="00EE7C64"/>
    <w:rsid w:val="00EE7C7F"/>
    <w:rsid w:val="00EE7CA3"/>
    <w:rsid w:val="00EE7D8C"/>
    <w:rsid w:val="00EE7DA8"/>
    <w:rsid w:val="00EE7DFA"/>
    <w:rsid w:val="00EE7E5A"/>
    <w:rsid w:val="00EE7E79"/>
    <w:rsid w:val="00EE7FFB"/>
    <w:rsid w:val="00EF0085"/>
    <w:rsid w:val="00EF0093"/>
    <w:rsid w:val="00EF00B0"/>
    <w:rsid w:val="00EF0204"/>
    <w:rsid w:val="00EF020A"/>
    <w:rsid w:val="00EF024B"/>
    <w:rsid w:val="00EF025C"/>
    <w:rsid w:val="00EF0287"/>
    <w:rsid w:val="00EF033E"/>
    <w:rsid w:val="00EF035D"/>
    <w:rsid w:val="00EF0362"/>
    <w:rsid w:val="00EF0368"/>
    <w:rsid w:val="00EF03B6"/>
    <w:rsid w:val="00EF03CD"/>
    <w:rsid w:val="00EF03FE"/>
    <w:rsid w:val="00EF0470"/>
    <w:rsid w:val="00EF052B"/>
    <w:rsid w:val="00EF0730"/>
    <w:rsid w:val="00EF0798"/>
    <w:rsid w:val="00EF082B"/>
    <w:rsid w:val="00EF0887"/>
    <w:rsid w:val="00EF088B"/>
    <w:rsid w:val="00EF08D3"/>
    <w:rsid w:val="00EF09A5"/>
    <w:rsid w:val="00EF09F6"/>
    <w:rsid w:val="00EF0A30"/>
    <w:rsid w:val="00EF0A68"/>
    <w:rsid w:val="00EF0ABC"/>
    <w:rsid w:val="00EF0B96"/>
    <w:rsid w:val="00EF0BB1"/>
    <w:rsid w:val="00EF0C39"/>
    <w:rsid w:val="00EF0C9F"/>
    <w:rsid w:val="00EF0EC1"/>
    <w:rsid w:val="00EF0EE1"/>
    <w:rsid w:val="00EF0EE5"/>
    <w:rsid w:val="00EF0F13"/>
    <w:rsid w:val="00EF0F7D"/>
    <w:rsid w:val="00EF104E"/>
    <w:rsid w:val="00EF107E"/>
    <w:rsid w:val="00EF10AD"/>
    <w:rsid w:val="00EF1104"/>
    <w:rsid w:val="00EF11F2"/>
    <w:rsid w:val="00EF1204"/>
    <w:rsid w:val="00EF12D0"/>
    <w:rsid w:val="00EF1300"/>
    <w:rsid w:val="00EF13D6"/>
    <w:rsid w:val="00EF1406"/>
    <w:rsid w:val="00EF149E"/>
    <w:rsid w:val="00EF157A"/>
    <w:rsid w:val="00EF15BB"/>
    <w:rsid w:val="00EF1758"/>
    <w:rsid w:val="00EF176A"/>
    <w:rsid w:val="00EF18CD"/>
    <w:rsid w:val="00EF18DE"/>
    <w:rsid w:val="00EF1912"/>
    <w:rsid w:val="00EF1945"/>
    <w:rsid w:val="00EF1A6C"/>
    <w:rsid w:val="00EF1A88"/>
    <w:rsid w:val="00EF1AA3"/>
    <w:rsid w:val="00EF1ACC"/>
    <w:rsid w:val="00EF1AD9"/>
    <w:rsid w:val="00EF1B9A"/>
    <w:rsid w:val="00EF1BE0"/>
    <w:rsid w:val="00EF1EB0"/>
    <w:rsid w:val="00EF1F1D"/>
    <w:rsid w:val="00EF1F36"/>
    <w:rsid w:val="00EF1F4F"/>
    <w:rsid w:val="00EF1FDD"/>
    <w:rsid w:val="00EF2014"/>
    <w:rsid w:val="00EF2059"/>
    <w:rsid w:val="00EF2072"/>
    <w:rsid w:val="00EF20A1"/>
    <w:rsid w:val="00EF20CB"/>
    <w:rsid w:val="00EF2173"/>
    <w:rsid w:val="00EF2197"/>
    <w:rsid w:val="00EF220A"/>
    <w:rsid w:val="00EF222D"/>
    <w:rsid w:val="00EF2238"/>
    <w:rsid w:val="00EF228C"/>
    <w:rsid w:val="00EF229D"/>
    <w:rsid w:val="00EF230C"/>
    <w:rsid w:val="00EF248A"/>
    <w:rsid w:val="00EF2541"/>
    <w:rsid w:val="00EF25AD"/>
    <w:rsid w:val="00EF26C7"/>
    <w:rsid w:val="00EF26FC"/>
    <w:rsid w:val="00EF277D"/>
    <w:rsid w:val="00EF2786"/>
    <w:rsid w:val="00EF27D5"/>
    <w:rsid w:val="00EF2920"/>
    <w:rsid w:val="00EF2997"/>
    <w:rsid w:val="00EF29BC"/>
    <w:rsid w:val="00EF2A02"/>
    <w:rsid w:val="00EF2A4F"/>
    <w:rsid w:val="00EF2A51"/>
    <w:rsid w:val="00EF2B62"/>
    <w:rsid w:val="00EF2B75"/>
    <w:rsid w:val="00EF2C04"/>
    <w:rsid w:val="00EF2C51"/>
    <w:rsid w:val="00EF2CE3"/>
    <w:rsid w:val="00EF2DB6"/>
    <w:rsid w:val="00EF2DD6"/>
    <w:rsid w:val="00EF2E29"/>
    <w:rsid w:val="00EF2E7E"/>
    <w:rsid w:val="00EF2E8F"/>
    <w:rsid w:val="00EF2EBE"/>
    <w:rsid w:val="00EF2EC2"/>
    <w:rsid w:val="00EF2FC0"/>
    <w:rsid w:val="00EF2FD7"/>
    <w:rsid w:val="00EF303D"/>
    <w:rsid w:val="00EF3166"/>
    <w:rsid w:val="00EF31DF"/>
    <w:rsid w:val="00EF3228"/>
    <w:rsid w:val="00EF3288"/>
    <w:rsid w:val="00EF3290"/>
    <w:rsid w:val="00EF32D4"/>
    <w:rsid w:val="00EF3326"/>
    <w:rsid w:val="00EF3340"/>
    <w:rsid w:val="00EF33CF"/>
    <w:rsid w:val="00EF33F7"/>
    <w:rsid w:val="00EF3448"/>
    <w:rsid w:val="00EF34AF"/>
    <w:rsid w:val="00EF34CE"/>
    <w:rsid w:val="00EF3514"/>
    <w:rsid w:val="00EF3533"/>
    <w:rsid w:val="00EF354C"/>
    <w:rsid w:val="00EF3557"/>
    <w:rsid w:val="00EF3572"/>
    <w:rsid w:val="00EF3660"/>
    <w:rsid w:val="00EF3690"/>
    <w:rsid w:val="00EF36B9"/>
    <w:rsid w:val="00EF36F9"/>
    <w:rsid w:val="00EF387F"/>
    <w:rsid w:val="00EF390C"/>
    <w:rsid w:val="00EF390E"/>
    <w:rsid w:val="00EF394A"/>
    <w:rsid w:val="00EF3955"/>
    <w:rsid w:val="00EF397B"/>
    <w:rsid w:val="00EF3996"/>
    <w:rsid w:val="00EF39C5"/>
    <w:rsid w:val="00EF3A0B"/>
    <w:rsid w:val="00EF3AFF"/>
    <w:rsid w:val="00EF3B0D"/>
    <w:rsid w:val="00EF3B51"/>
    <w:rsid w:val="00EF3C05"/>
    <w:rsid w:val="00EF3CFA"/>
    <w:rsid w:val="00EF3DFE"/>
    <w:rsid w:val="00EF3E01"/>
    <w:rsid w:val="00EF3ED1"/>
    <w:rsid w:val="00EF3F71"/>
    <w:rsid w:val="00EF400B"/>
    <w:rsid w:val="00EF4105"/>
    <w:rsid w:val="00EF411A"/>
    <w:rsid w:val="00EF41AF"/>
    <w:rsid w:val="00EF4252"/>
    <w:rsid w:val="00EF42BB"/>
    <w:rsid w:val="00EF42CB"/>
    <w:rsid w:val="00EF430A"/>
    <w:rsid w:val="00EF439E"/>
    <w:rsid w:val="00EF4432"/>
    <w:rsid w:val="00EF448E"/>
    <w:rsid w:val="00EF44F3"/>
    <w:rsid w:val="00EF456A"/>
    <w:rsid w:val="00EF4580"/>
    <w:rsid w:val="00EF45AF"/>
    <w:rsid w:val="00EF4602"/>
    <w:rsid w:val="00EF4615"/>
    <w:rsid w:val="00EF461D"/>
    <w:rsid w:val="00EF468F"/>
    <w:rsid w:val="00EF4782"/>
    <w:rsid w:val="00EF47B2"/>
    <w:rsid w:val="00EF4805"/>
    <w:rsid w:val="00EF48F9"/>
    <w:rsid w:val="00EF49B3"/>
    <w:rsid w:val="00EF49E1"/>
    <w:rsid w:val="00EF4A3F"/>
    <w:rsid w:val="00EF4AE8"/>
    <w:rsid w:val="00EF4B6D"/>
    <w:rsid w:val="00EF4BF2"/>
    <w:rsid w:val="00EF4C2B"/>
    <w:rsid w:val="00EF4C64"/>
    <w:rsid w:val="00EF4C6A"/>
    <w:rsid w:val="00EF4CB2"/>
    <w:rsid w:val="00EF4D90"/>
    <w:rsid w:val="00EF4DC5"/>
    <w:rsid w:val="00EF4FF1"/>
    <w:rsid w:val="00EF5012"/>
    <w:rsid w:val="00EF507F"/>
    <w:rsid w:val="00EF510F"/>
    <w:rsid w:val="00EF5147"/>
    <w:rsid w:val="00EF51BD"/>
    <w:rsid w:val="00EF51D0"/>
    <w:rsid w:val="00EF51DA"/>
    <w:rsid w:val="00EF52E8"/>
    <w:rsid w:val="00EF5303"/>
    <w:rsid w:val="00EF5319"/>
    <w:rsid w:val="00EF53B2"/>
    <w:rsid w:val="00EF53CD"/>
    <w:rsid w:val="00EF5429"/>
    <w:rsid w:val="00EF5451"/>
    <w:rsid w:val="00EF54B0"/>
    <w:rsid w:val="00EF55C0"/>
    <w:rsid w:val="00EF55E5"/>
    <w:rsid w:val="00EF5614"/>
    <w:rsid w:val="00EF566D"/>
    <w:rsid w:val="00EF56DE"/>
    <w:rsid w:val="00EF57B2"/>
    <w:rsid w:val="00EF5804"/>
    <w:rsid w:val="00EF58B8"/>
    <w:rsid w:val="00EF5A64"/>
    <w:rsid w:val="00EF5AB5"/>
    <w:rsid w:val="00EF5ACC"/>
    <w:rsid w:val="00EF5B24"/>
    <w:rsid w:val="00EF5B2A"/>
    <w:rsid w:val="00EF5BED"/>
    <w:rsid w:val="00EF5DA4"/>
    <w:rsid w:val="00EF5E20"/>
    <w:rsid w:val="00EF5E7B"/>
    <w:rsid w:val="00EF5E93"/>
    <w:rsid w:val="00EF5F98"/>
    <w:rsid w:val="00EF5FD7"/>
    <w:rsid w:val="00EF5FFD"/>
    <w:rsid w:val="00EF6009"/>
    <w:rsid w:val="00EF6053"/>
    <w:rsid w:val="00EF607E"/>
    <w:rsid w:val="00EF608B"/>
    <w:rsid w:val="00EF60E9"/>
    <w:rsid w:val="00EF612F"/>
    <w:rsid w:val="00EF6159"/>
    <w:rsid w:val="00EF6201"/>
    <w:rsid w:val="00EF624B"/>
    <w:rsid w:val="00EF629F"/>
    <w:rsid w:val="00EF62CC"/>
    <w:rsid w:val="00EF6335"/>
    <w:rsid w:val="00EF6370"/>
    <w:rsid w:val="00EF6388"/>
    <w:rsid w:val="00EF6401"/>
    <w:rsid w:val="00EF64C7"/>
    <w:rsid w:val="00EF64E8"/>
    <w:rsid w:val="00EF65DB"/>
    <w:rsid w:val="00EF6625"/>
    <w:rsid w:val="00EF6650"/>
    <w:rsid w:val="00EF6710"/>
    <w:rsid w:val="00EF675C"/>
    <w:rsid w:val="00EF677B"/>
    <w:rsid w:val="00EF688B"/>
    <w:rsid w:val="00EF690B"/>
    <w:rsid w:val="00EF6983"/>
    <w:rsid w:val="00EF69DB"/>
    <w:rsid w:val="00EF6A45"/>
    <w:rsid w:val="00EF6A61"/>
    <w:rsid w:val="00EF6AD7"/>
    <w:rsid w:val="00EF6B1F"/>
    <w:rsid w:val="00EF6B75"/>
    <w:rsid w:val="00EF6B96"/>
    <w:rsid w:val="00EF6BD6"/>
    <w:rsid w:val="00EF6D36"/>
    <w:rsid w:val="00EF6DD9"/>
    <w:rsid w:val="00EF6DDB"/>
    <w:rsid w:val="00EF6F8B"/>
    <w:rsid w:val="00EF6F9F"/>
    <w:rsid w:val="00EF7000"/>
    <w:rsid w:val="00EF7030"/>
    <w:rsid w:val="00EF711F"/>
    <w:rsid w:val="00EF71E8"/>
    <w:rsid w:val="00EF71EB"/>
    <w:rsid w:val="00EF71FC"/>
    <w:rsid w:val="00EF727C"/>
    <w:rsid w:val="00EF729B"/>
    <w:rsid w:val="00EF7320"/>
    <w:rsid w:val="00EF7335"/>
    <w:rsid w:val="00EF7376"/>
    <w:rsid w:val="00EF73B2"/>
    <w:rsid w:val="00EF740C"/>
    <w:rsid w:val="00EF74FB"/>
    <w:rsid w:val="00EF753B"/>
    <w:rsid w:val="00EF7551"/>
    <w:rsid w:val="00EF7571"/>
    <w:rsid w:val="00EF7605"/>
    <w:rsid w:val="00EF7686"/>
    <w:rsid w:val="00EF76FE"/>
    <w:rsid w:val="00EF770F"/>
    <w:rsid w:val="00EF771C"/>
    <w:rsid w:val="00EF77C6"/>
    <w:rsid w:val="00EF77CA"/>
    <w:rsid w:val="00EF77CE"/>
    <w:rsid w:val="00EF77E3"/>
    <w:rsid w:val="00EF78B5"/>
    <w:rsid w:val="00EF79E7"/>
    <w:rsid w:val="00EF7B35"/>
    <w:rsid w:val="00EF7C79"/>
    <w:rsid w:val="00EF7DA9"/>
    <w:rsid w:val="00EF7DAA"/>
    <w:rsid w:val="00EF7EF9"/>
    <w:rsid w:val="00EF7F4C"/>
    <w:rsid w:val="00EF7FA0"/>
    <w:rsid w:val="00EF7FAE"/>
    <w:rsid w:val="00F00030"/>
    <w:rsid w:val="00F00103"/>
    <w:rsid w:val="00F0013C"/>
    <w:rsid w:val="00F001BE"/>
    <w:rsid w:val="00F001E2"/>
    <w:rsid w:val="00F00289"/>
    <w:rsid w:val="00F002DC"/>
    <w:rsid w:val="00F003C3"/>
    <w:rsid w:val="00F003D4"/>
    <w:rsid w:val="00F00510"/>
    <w:rsid w:val="00F00604"/>
    <w:rsid w:val="00F0065E"/>
    <w:rsid w:val="00F006D9"/>
    <w:rsid w:val="00F0078A"/>
    <w:rsid w:val="00F00790"/>
    <w:rsid w:val="00F00796"/>
    <w:rsid w:val="00F0089C"/>
    <w:rsid w:val="00F008B5"/>
    <w:rsid w:val="00F008FA"/>
    <w:rsid w:val="00F00949"/>
    <w:rsid w:val="00F00959"/>
    <w:rsid w:val="00F009A9"/>
    <w:rsid w:val="00F00A17"/>
    <w:rsid w:val="00F00A54"/>
    <w:rsid w:val="00F00B9F"/>
    <w:rsid w:val="00F00BA2"/>
    <w:rsid w:val="00F00CB4"/>
    <w:rsid w:val="00F00CFE"/>
    <w:rsid w:val="00F00DB4"/>
    <w:rsid w:val="00F00DF1"/>
    <w:rsid w:val="00F00E0C"/>
    <w:rsid w:val="00F00E1F"/>
    <w:rsid w:val="00F00E73"/>
    <w:rsid w:val="00F0100E"/>
    <w:rsid w:val="00F010D0"/>
    <w:rsid w:val="00F010DB"/>
    <w:rsid w:val="00F010E3"/>
    <w:rsid w:val="00F01128"/>
    <w:rsid w:val="00F011BF"/>
    <w:rsid w:val="00F011DF"/>
    <w:rsid w:val="00F01236"/>
    <w:rsid w:val="00F01241"/>
    <w:rsid w:val="00F01340"/>
    <w:rsid w:val="00F0136B"/>
    <w:rsid w:val="00F013ED"/>
    <w:rsid w:val="00F014F3"/>
    <w:rsid w:val="00F014F9"/>
    <w:rsid w:val="00F015C2"/>
    <w:rsid w:val="00F016D1"/>
    <w:rsid w:val="00F0186B"/>
    <w:rsid w:val="00F018FD"/>
    <w:rsid w:val="00F01906"/>
    <w:rsid w:val="00F01914"/>
    <w:rsid w:val="00F0193A"/>
    <w:rsid w:val="00F0194C"/>
    <w:rsid w:val="00F0197F"/>
    <w:rsid w:val="00F01A48"/>
    <w:rsid w:val="00F01A83"/>
    <w:rsid w:val="00F01B79"/>
    <w:rsid w:val="00F01B7D"/>
    <w:rsid w:val="00F01C19"/>
    <w:rsid w:val="00F01C32"/>
    <w:rsid w:val="00F01C4A"/>
    <w:rsid w:val="00F01CB8"/>
    <w:rsid w:val="00F01D11"/>
    <w:rsid w:val="00F01D17"/>
    <w:rsid w:val="00F01D8F"/>
    <w:rsid w:val="00F01E12"/>
    <w:rsid w:val="00F01E90"/>
    <w:rsid w:val="00F01F12"/>
    <w:rsid w:val="00F020C7"/>
    <w:rsid w:val="00F02106"/>
    <w:rsid w:val="00F0218A"/>
    <w:rsid w:val="00F02199"/>
    <w:rsid w:val="00F0228D"/>
    <w:rsid w:val="00F02374"/>
    <w:rsid w:val="00F0238B"/>
    <w:rsid w:val="00F023DB"/>
    <w:rsid w:val="00F023F9"/>
    <w:rsid w:val="00F02455"/>
    <w:rsid w:val="00F024B8"/>
    <w:rsid w:val="00F024F3"/>
    <w:rsid w:val="00F02521"/>
    <w:rsid w:val="00F025FE"/>
    <w:rsid w:val="00F02603"/>
    <w:rsid w:val="00F02802"/>
    <w:rsid w:val="00F0288B"/>
    <w:rsid w:val="00F028FA"/>
    <w:rsid w:val="00F02919"/>
    <w:rsid w:val="00F02990"/>
    <w:rsid w:val="00F02A92"/>
    <w:rsid w:val="00F02AEA"/>
    <w:rsid w:val="00F02AFB"/>
    <w:rsid w:val="00F02B32"/>
    <w:rsid w:val="00F02BE7"/>
    <w:rsid w:val="00F02C84"/>
    <w:rsid w:val="00F02D4D"/>
    <w:rsid w:val="00F02E74"/>
    <w:rsid w:val="00F02EA6"/>
    <w:rsid w:val="00F02EA9"/>
    <w:rsid w:val="00F02F57"/>
    <w:rsid w:val="00F02FAF"/>
    <w:rsid w:val="00F02FBC"/>
    <w:rsid w:val="00F02FE7"/>
    <w:rsid w:val="00F030C2"/>
    <w:rsid w:val="00F030F1"/>
    <w:rsid w:val="00F0315F"/>
    <w:rsid w:val="00F0316A"/>
    <w:rsid w:val="00F03212"/>
    <w:rsid w:val="00F03242"/>
    <w:rsid w:val="00F0326A"/>
    <w:rsid w:val="00F03351"/>
    <w:rsid w:val="00F0339C"/>
    <w:rsid w:val="00F03441"/>
    <w:rsid w:val="00F034AF"/>
    <w:rsid w:val="00F0352A"/>
    <w:rsid w:val="00F0352B"/>
    <w:rsid w:val="00F036F1"/>
    <w:rsid w:val="00F036F6"/>
    <w:rsid w:val="00F03739"/>
    <w:rsid w:val="00F03802"/>
    <w:rsid w:val="00F03958"/>
    <w:rsid w:val="00F03A72"/>
    <w:rsid w:val="00F03B6F"/>
    <w:rsid w:val="00F03C1B"/>
    <w:rsid w:val="00F03C50"/>
    <w:rsid w:val="00F03CCE"/>
    <w:rsid w:val="00F03D28"/>
    <w:rsid w:val="00F03E10"/>
    <w:rsid w:val="00F03EF6"/>
    <w:rsid w:val="00F03FE2"/>
    <w:rsid w:val="00F03FF3"/>
    <w:rsid w:val="00F04002"/>
    <w:rsid w:val="00F040B1"/>
    <w:rsid w:val="00F04176"/>
    <w:rsid w:val="00F04219"/>
    <w:rsid w:val="00F0426B"/>
    <w:rsid w:val="00F042B7"/>
    <w:rsid w:val="00F0432F"/>
    <w:rsid w:val="00F0446F"/>
    <w:rsid w:val="00F0454F"/>
    <w:rsid w:val="00F0457D"/>
    <w:rsid w:val="00F045AA"/>
    <w:rsid w:val="00F045BF"/>
    <w:rsid w:val="00F045D9"/>
    <w:rsid w:val="00F0465F"/>
    <w:rsid w:val="00F04660"/>
    <w:rsid w:val="00F04693"/>
    <w:rsid w:val="00F0475B"/>
    <w:rsid w:val="00F04834"/>
    <w:rsid w:val="00F04850"/>
    <w:rsid w:val="00F0493C"/>
    <w:rsid w:val="00F049D6"/>
    <w:rsid w:val="00F04ABC"/>
    <w:rsid w:val="00F04AD7"/>
    <w:rsid w:val="00F04AF7"/>
    <w:rsid w:val="00F04B4F"/>
    <w:rsid w:val="00F04B68"/>
    <w:rsid w:val="00F04B87"/>
    <w:rsid w:val="00F04B8B"/>
    <w:rsid w:val="00F04BE8"/>
    <w:rsid w:val="00F04C24"/>
    <w:rsid w:val="00F04CC1"/>
    <w:rsid w:val="00F04D39"/>
    <w:rsid w:val="00F04D5C"/>
    <w:rsid w:val="00F04D95"/>
    <w:rsid w:val="00F04DC1"/>
    <w:rsid w:val="00F04E6E"/>
    <w:rsid w:val="00F04EBB"/>
    <w:rsid w:val="00F04F74"/>
    <w:rsid w:val="00F05044"/>
    <w:rsid w:val="00F05099"/>
    <w:rsid w:val="00F051B8"/>
    <w:rsid w:val="00F05236"/>
    <w:rsid w:val="00F05294"/>
    <w:rsid w:val="00F052EC"/>
    <w:rsid w:val="00F053F1"/>
    <w:rsid w:val="00F05421"/>
    <w:rsid w:val="00F05430"/>
    <w:rsid w:val="00F0546E"/>
    <w:rsid w:val="00F054B8"/>
    <w:rsid w:val="00F054D9"/>
    <w:rsid w:val="00F05561"/>
    <w:rsid w:val="00F055CB"/>
    <w:rsid w:val="00F055E0"/>
    <w:rsid w:val="00F05645"/>
    <w:rsid w:val="00F0572E"/>
    <w:rsid w:val="00F05A5A"/>
    <w:rsid w:val="00F05A7A"/>
    <w:rsid w:val="00F05A93"/>
    <w:rsid w:val="00F05AD3"/>
    <w:rsid w:val="00F05AE5"/>
    <w:rsid w:val="00F05C08"/>
    <w:rsid w:val="00F05C8D"/>
    <w:rsid w:val="00F05C9E"/>
    <w:rsid w:val="00F05CF1"/>
    <w:rsid w:val="00F05CF8"/>
    <w:rsid w:val="00F05E31"/>
    <w:rsid w:val="00F05F14"/>
    <w:rsid w:val="00F06008"/>
    <w:rsid w:val="00F060E5"/>
    <w:rsid w:val="00F0610A"/>
    <w:rsid w:val="00F06201"/>
    <w:rsid w:val="00F06212"/>
    <w:rsid w:val="00F062A3"/>
    <w:rsid w:val="00F062A8"/>
    <w:rsid w:val="00F062DA"/>
    <w:rsid w:val="00F06320"/>
    <w:rsid w:val="00F063FB"/>
    <w:rsid w:val="00F0640E"/>
    <w:rsid w:val="00F06459"/>
    <w:rsid w:val="00F065E6"/>
    <w:rsid w:val="00F06710"/>
    <w:rsid w:val="00F067AD"/>
    <w:rsid w:val="00F067BD"/>
    <w:rsid w:val="00F067F9"/>
    <w:rsid w:val="00F067FD"/>
    <w:rsid w:val="00F06823"/>
    <w:rsid w:val="00F0683F"/>
    <w:rsid w:val="00F06867"/>
    <w:rsid w:val="00F0689E"/>
    <w:rsid w:val="00F06948"/>
    <w:rsid w:val="00F069EB"/>
    <w:rsid w:val="00F06A0F"/>
    <w:rsid w:val="00F06ADC"/>
    <w:rsid w:val="00F06B4D"/>
    <w:rsid w:val="00F06B50"/>
    <w:rsid w:val="00F06BF0"/>
    <w:rsid w:val="00F06C92"/>
    <w:rsid w:val="00F06D24"/>
    <w:rsid w:val="00F06D64"/>
    <w:rsid w:val="00F06DE3"/>
    <w:rsid w:val="00F06DFA"/>
    <w:rsid w:val="00F06E4D"/>
    <w:rsid w:val="00F06F2E"/>
    <w:rsid w:val="00F06F57"/>
    <w:rsid w:val="00F06FCF"/>
    <w:rsid w:val="00F0704F"/>
    <w:rsid w:val="00F07070"/>
    <w:rsid w:val="00F0737B"/>
    <w:rsid w:val="00F073D6"/>
    <w:rsid w:val="00F073ED"/>
    <w:rsid w:val="00F0757A"/>
    <w:rsid w:val="00F07652"/>
    <w:rsid w:val="00F076CF"/>
    <w:rsid w:val="00F07701"/>
    <w:rsid w:val="00F0775B"/>
    <w:rsid w:val="00F07787"/>
    <w:rsid w:val="00F077B5"/>
    <w:rsid w:val="00F077F8"/>
    <w:rsid w:val="00F078B8"/>
    <w:rsid w:val="00F079AB"/>
    <w:rsid w:val="00F07A93"/>
    <w:rsid w:val="00F07AFA"/>
    <w:rsid w:val="00F07AFE"/>
    <w:rsid w:val="00F07B58"/>
    <w:rsid w:val="00F07B68"/>
    <w:rsid w:val="00F07BC8"/>
    <w:rsid w:val="00F07C01"/>
    <w:rsid w:val="00F07C48"/>
    <w:rsid w:val="00F07D7A"/>
    <w:rsid w:val="00F07EA1"/>
    <w:rsid w:val="00F07F36"/>
    <w:rsid w:val="00F07F41"/>
    <w:rsid w:val="00F10072"/>
    <w:rsid w:val="00F100D5"/>
    <w:rsid w:val="00F102FE"/>
    <w:rsid w:val="00F1031A"/>
    <w:rsid w:val="00F103C7"/>
    <w:rsid w:val="00F103D6"/>
    <w:rsid w:val="00F10436"/>
    <w:rsid w:val="00F1043B"/>
    <w:rsid w:val="00F1044C"/>
    <w:rsid w:val="00F10501"/>
    <w:rsid w:val="00F10609"/>
    <w:rsid w:val="00F1068F"/>
    <w:rsid w:val="00F1081B"/>
    <w:rsid w:val="00F10951"/>
    <w:rsid w:val="00F10997"/>
    <w:rsid w:val="00F109C7"/>
    <w:rsid w:val="00F10C42"/>
    <w:rsid w:val="00F10CC1"/>
    <w:rsid w:val="00F10CF2"/>
    <w:rsid w:val="00F10CF3"/>
    <w:rsid w:val="00F10D8A"/>
    <w:rsid w:val="00F10DE3"/>
    <w:rsid w:val="00F10E04"/>
    <w:rsid w:val="00F10E77"/>
    <w:rsid w:val="00F10E88"/>
    <w:rsid w:val="00F10EF4"/>
    <w:rsid w:val="00F10F18"/>
    <w:rsid w:val="00F1112E"/>
    <w:rsid w:val="00F11170"/>
    <w:rsid w:val="00F11174"/>
    <w:rsid w:val="00F1127E"/>
    <w:rsid w:val="00F1133B"/>
    <w:rsid w:val="00F11396"/>
    <w:rsid w:val="00F11483"/>
    <w:rsid w:val="00F114AE"/>
    <w:rsid w:val="00F114C9"/>
    <w:rsid w:val="00F114CC"/>
    <w:rsid w:val="00F11578"/>
    <w:rsid w:val="00F115F2"/>
    <w:rsid w:val="00F11615"/>
    <w:rsid w:val="00F11653"/>
    <w:rsid w:val="00F116A4"/>
    <w:rsid w:val="00F11740"/>
    <w:rsid w:val="00F117BD"/>
    <w:rsid w:val="00F118DC"/>
    <w:rsid w:val="00F1195E"/>
    <w:rsid w:val="00F11A5C"/>
    <w:rsid w:val="00F11A5F"/>
    <w:rsid w:val="00F11A75"/>
    <w:rsid w:val="00F11B34"/>
    <w:rsid w:val="00F11BC6"/>
    <w:rsid w:val="00F11C03"/>
    <w:rsid w:val="00F11C6A"/>
    <w:rsid w:val="00F11C88"/>
    <w:rsid w:val="00F11CEE"/>
    <w:rsid w:val="00F11D8E"/>
    <w:rsid w:val="00F11E51"/>
    <w:rsid w:val="00F11E7B"/>
    <w:rsid w:val="00F11FB9"/>
    <w:rsid w:val="00F120B3"/>
    <w:rsid w:val="00F1222F"/>
    <w:rsid w:val="00F1223A"/>
    <w:rsid w:val="00F122AB"/>
    <w:rsid w:val="00F12376"/>
    <w:rsid w:val="00F123CC"/>
    <w:rsid w:val="00F1240A"/>
    <w:rsid w:val="00F12432"/>
    <w:rsid w:val="00F12436"/>
    <w:rsid w:val="00F12522"/>
    <w:rsid w:val="00F125FF"/>
    <w:rsid w:val="00F126AB"/>
    <w:rsid w:val="00F12757"/>
    <w:rsid w:val="00F12814"/>
    <w:rsid w:val="00F1281B"/>
    <w:rsid w:val="00F12AEF"/>
    <w:rsid w:val="00F12B02"/>
    <w:rsid w:val="00F12B23"/>
    <w:rsid w:val="00F12BFE"/>
    <w:rsid w:val="00F12C36"/>
    <w:rsid w:val="00F12C6D"/>
    <w:rsid w:val="00F12D18"/>
    <w:rsid w:val="00F12E8A"/>
    <w:rsid w:val="00F12EE6"/>
    <w:rsid w:val="00F12FCD"/>
    <w:rsid w:val="00F1303B"/>
    <w:rsid w:val="00F1305D"/>
    <w:rsid w:val="00F130B2"/>
    <w:rsid w:val="00F130BF"/>
    <w:rsid w:val="00F130D8"/>
    <w:rsid w:val="00F130F8"/>
    <w:rsid w:val="00F13106"/>
    <w:rsid w:val="00F13235"/>
    <w:rsid w:val="00F13293"/>
    <w:rsid w:val="00F13339"/>
    <w:rsid w:val="00F13382"/>
    <w:rsid w:val="00F133E3"/>
    <w:rsid w:val="00F134D4"/>
    <w:rsid w:val="00F1352E"/>
    <w:rsid w:val="00F136A5"/>
    <w:rsid w:val="00F1379C"/>
    <w:rsid w:val="00F1379F"/>
    <w:rsid w:val="00F13842"/>
    <w:rsid w:val="00F13852"/>
    <w:rsid w:val="00F13866"/>
    <w:rsid w:val="00F138B9"/>
    <w:rsid w:val="00F138EE"/>
    <w:rsid w:val="00F139AF"/>
    <w:rsid w:val="00F13B89"/>
    <w:rsid w:val="00F13BB8"/>
    <w:rsid w:val="00F13C21"/>
    <w:rsid w:val="00F13C84"/>
    <w:rsid w:val="00F13D49"/>
    <w:rsid w:val="00F13D5F"/>
    <w:rsid w:val="00F13DBC"/>
    <w:rsid w:val="00F13DDA"/>
    <w:rsid w:val="00F13E37"/>
    <w:rsid w:val="00F13E6D"/>
    <w:rsid w:val="00F13EBA"/>
    <w:rsid w:val="00F13F9C"/>
    <w:rsid w:val="00F1405B"/>
    <w:rsid w:val="00F140F5"/>
    <w:rsid w:val="00F14116"/>
    <w:rsid w:val="00F1417C"/>
    <w:rsid w:val="00F141A6"/>
    <w:rsid w:val="00F1421E"/>
    <w:rsid w:val="00F1423B"/>
    <w:rsid w:val="00F14330"/>
    <w:rsid w:val="00F14338"/>
    <w:rsid w:val="00F1435D"/>
    <w:rsid w:val="00F143E7"/>
    <w:rsid w:val="00F14471"/>
    <w:rsid w:val="00F14481"/>
    <w:rsid w:val="00F145B1"/>
    <w:rsid w:val="00F1463A"/>
    <w:rsid w:val="00F1463E"/>
    <w:rsid w:val="00F14712"/>
    <w:rsid w:val="00F1472B"/>
    <w:rsid w:val="00F147B8"/>
    <w:rsid w:val="00F147E0"/>
    <w:rsid w:val="00F14874"/>
    <w:rsid w:val="00F14A77"/>
    <w:rsid w:val="00F14AB1"/>
    <w:rsid w:val="00F14B24"/>
    <w:rsid w:val="00F14B93"/>
    <w:rsid w:val="00F14BC5"/>
    <w:rsid w:val="00F14C04"/>
    <w:rsid w:val="00F14CAA"/>
    <w:rsid w:val="00F14CEE"/>
    <w:rsid w:val="00F14D22"/>
    <w:rsid w:val="00F14E31"/>
    <w:rsid w:val="00F14E45"/>
    <w:rsid w:val="00F14F03"/>
    <w:rsid w:val="00F14F12"/>
    <w:rsid w:val="00F14F64"/>
    <w:rsid w:val="00F14F9B"/>
    <w:rsid w:val="00F15049"/>
    <w:rsid w:val="00F15050"/>
    <w:rsid w:val="00F15074"/>
    <w:rsid w:val="00F1507B"/>
    <w:rsid w:val="00F1516E"/>
    <w:rsid w:val="00F151ED"/>
    <w:rsid w:val="00F15248"/>
    <w:rsid w:val="00F1524E"/>
    <w:rsid w:val="00F1527E"/>
    <w:rsid w:val="00F15410"/>
    <w:rsid w:val="00F15424"/>
    <w:rsid w:val="00F1547C"/>
    <w:rsid w:val="00F154DF"/>
    <w:rsid w:val="00F156D1"/>
    <w:rsid w:val="00F156DA"/>
    <w:rsid w:val="00F1579B"/>
    <w:rsid w:val="00F157CD"/>
    <w:rsid w:val="00F1582E"/>
    <w:rsid w:val="00F15843"/>
    <w:rsid w:val="00F158BF"/>
    <w:rsid w:val="00F159E9"/>
    <w:rsid w:val="00F15A4C"/>
    <w:rsid w:val="00F15A5B"/>
    <w:rsid w:val="00F15AE9"/>
    <w:rsid w:val="00F15AF9"/>
    <w:rsid w:val="00F15B05"/>
    <w:rsid w:val="00F15B97"/>
    <w:rsid w:val="00F15BEC"/>
    <w:rsid w:val="00F15C5F"/>
    <w:rsid w:val="00F15C7F"/>
    <w:rsid w:val="00F15CA1"/>
    <w:rsid w:val="00F15CB2"/>
    <w:rsid w:val="00F15D18"/>
    <w:rsid w:val="00F15D8C"/>
    <w:rsid w:val="00F15DD7"/>
    <w:rsid w:val="00F15E37"/>
    <w:rsid w:val="00F15E51"/>
    <w:rsid w:val="00F15E86"/>
    <w:rsid w:val="00F1600A"/>
    <w:rsid w:val="00F16102"/>
    <w:rsid w:val="00F1618C"/>
    <w:rsid w:val="00F1630B"/>
    <w:rsid w:val="00F1630F"/>
    <w:rsid w:val="00F1632E"/>
    <w:rsid w:val="00F16410"/>
    <w:rsid w:val="00F1645A"/>
    <w:rsid w:val="00F16513"/>
    <w:rsid w:val="00F16583"/>
    <w:rsid w:val="00F16604"/>
    <w:rsid w:val="00F1663A"/>
    <w:rsid w:val="00F16668"/>
    <w:rsid w:val="00F16677"/>
    <w:rsid w:val="00F1667D"/>
    <w:rsid w:val="00F166E9"/>
    <w:rsid w:val="00F16728"/>
    <w:rsid w:val="00F1674F"/>
    <w:rsid w:val="00F16794"/>
    <w:rsid w:val="00F167DD"/>
    <w:rsid w:val="00F167FE"/>
    <w:rsid w:val="00F16822"/>
    <w:rsid w:val="00F16830"/>
    <w:rsid w:val="00F1686B"/>
    <w:rsid w:val="00F1688C"/>
    <w:rsid w:val="00F1691B"/>
    <w:rsid w:val="00F1692A"/>
    <w:rsid w:val="00F169B3"/>
    <w:rsid w:val="00F16A0B"/>
    <w:rsid w:val="00F16A93"/>
    <w:rsid w:val="00F16BAB"/>
    <w:rsid w:val="00F16C19"/>
    <w:rsid w:val="00F16CCC"/>
    <w:rsid w:val="00F16CE6"/>
    <w:rsid w:val="00F16CEB"/>
    <w:rsid w:val="00F16CF7"/>
    <w:rsid w:val="00F16D29"/>
    <w:rsid w:val="00F16D4B"/>
    <w:rsid w:val="00F16D93"/>
    <w:rsid w:val="00F16E80"/>
    <w:rsid w:val="00F16EC5"/>
    <w:rsid w:val="00F16F4A"/>
    <w:rsid w:val="00F16F8D"/>
    <w:rsid w:val="00F1708C"/>
    <w:rsid w:val="00F170E2"/>
    <w:rsid w:val="00F1720A"/>
    <w:rsid w:val="00F17389"/>
    <w:rsid w:val="00F1743A"/>
    <w:rsid w:val="00F17460"/>
    <w:rsid w:val="00F174A9"/>
    <w:rsid w:val="00F17666"/>
    <w:rsid w:val="00F176DD"/>
    <w:rsid w:val="00F1776F"/>
    <w:rsid w:val="00F177B1"/>
    <w:rsid w:val="00F178A9"/>
    <w:rsid w:val="00F17968"/>
    <w:rsid w:val="00F179CB"/>
    <w:rsid w:val="00F17A93"/>
    <w:rsid w:val="00F17B65"/>
    <w:rsid w:val="00F17BD2"/>
    <w:rsid w:val="00F17C61"/>
    <w:rsid w:val="00F17CEF"/>
    <w:rsid w:val="00F17D97"/>
    <w:rsid w:val="00F17DBF"/>
    <w:rsid w:val="00F17DF2"/>
    <w:rsid w:val="00F17E0F"/>
    <w:rsid w:val="00F17E23"/>
    <w:rsid w:val="00F17E3B"/>
    <w:rsid w:val="00F17EAF"/>
    <w:rsid w:val="00F17F11"/>
    <w:rsid w:val="00F17F29"/>
    <w:rsid w:val="00F17F5C"/>
    <w:rsid w:val="00F2002C"/>
    <w:rsid w:val="00F20065"/>
    <w:rsid w:val="00F201A3"/>
    <w:rsid w:val="00F20262"/>
    <w:rsid w:val="00F20319"/>
    <w:rsid w:val="00F203CA"/>
    <w:rsid w:val="00F2049C"/>
    <w:rsid w:val="00F204B9"/>
    <w:rsid w:val="00F204CD"/>
    <w:rsid w:val="00F20520"/>
    <w:rsid w:val="00F20564"/>
    <w:rsid w:val="00F205D2"/>
    <w:rsid w:val="00F20614"/>
    <w:rsid w:val="00F20635"/>
    <w:rsid w:val="00F20637"/>
    <w:rsid w:val="00F20793"/>
    <w:rsid w:val="00F207A6"/>
    <w:rsid w:val="00F2082A"/>
    <w:rsid w:val="00F20859"/>
    <w:rsid w:val="00F20890"/>
    <w:rsid w:val="00F2090F"/>
    <w:rsid w:val="00F209FE"/>
    <w:rsid w:val="00F20A57"/>
    <w:rsid w:val="00F20AF2"/>
    <w:rsid w:val="00F20BC3"/>
    <w:rsid w:val="00F20C15"/>
    <w:rsid w:val="00F20CBF"/>
    <w:rsid w:val="00F20D58"/>
    <w:rsid w:val="00F20DA8"/>
    <w:rsid w:val="00F20E8F"/>
    <w:rsid w:val="00F20E90"/>
    <w:rsid w:val="00F20ED2"/>
    <w:rsid w:val="00F20F12"/>
    <w:rsid w:val="00F210B6"/>
    <w:rsid w:val="00F210C2"/>
    <w:rsid w:val="00F210D9"/>
    <w:rsid w:val="00F21163"/>
    <w:rsid w:val="00F211B8"/>
    <w:rsid w:val="00F211FB"/>
    <w:rsid w:val="00F21250"/>
    <w:rsid w:val="00F2125A"/>
    <w:rsid w:val="00F2127C"/>
    <w:rsid w:val="00F21436"/>
    <w:rsid w:val="00F21459"/>
    <w:rsid w:val="00F2147D"/>
    <w:rsid w:val="00F21542"/>
    <w:rsid w:val="00F215B7"/>
    <w:rsid w:val="00F2166B"/>
    <w:rsid w:val="00F2179F"/>
    <w:rsid w:val="00F2199E"/>
    <w:rsid w:val="00F219DF"/>
    <w:rsid w:val="00F21A2D"/>
    <w:rsid w:val="00F21B41"/>
    <w:rsid w:val="00F21CA1"/>
    <w:rsid w:val="00F21CD8"/>
    <w:rsid w:val="00F21CE3"/>
    <w:rsid w:val="00F21D04"/>
    <w:rsid w:val="00F21D25"/>
    <w:rsid w:val="00F21DB4"/>
    <w:rsid w:val="00F21E17"/>
    <w:rsid w:val="00F21E1E"/>
    <w:rsid w:val="00F21EC9"/>
    <w:rsid w:val="00F21ECA"/>
    <w:rsid w:val="00F21F46"/>
    <w:rsid w:val="00F22037"/>
    <w:rsid w:val="00F2208A"/>
    <w:rsid w:val="00F22105"/>
    <w:rsid w:val="00F2219A"/>
    <w:rsid w:val="00F221B7"/>
    <w:rsid w:val="00F221CA"/>
    <w:rsid w:val="00F22217"/>
    <w:rsid w:val="00F2225D"/>
    <w:rsid w:val="00F2230A"/>
    <w:rsid w:val="00F223B9"/>
    <w:rsid w:val="00F223C6"/>
    <w:rsid w:val="00F2245F"/>
    <w:rsid w:val="00F224C2"/>
    <w:rsid w:val="00F225B0"/>
    <w:rsid w:val="00F225FA"/>
    <w:rsid w:val="00F228A4"/>
    <w:rsid w:val="00F228D5"/>
    <w:rsid w:val="00F22B6B"/>
    <w:rsid w:val="00F22B77"/>
    <w:rsid w:val="00F22B9D"/>
    <w:rsid w:val="00F22BFF"/>
    <w:rsid w:val="00F22C60"/>
    <w:rsid w:val="00F22C83"/>
    <w:rsid w:val="00F22DB9"/>
    <w:rsid w:val="00F22DE7"/>
    <w:rsid w:val="00F22E53"/>
    <w:rsid w:val="00F22F07"/>
    <w:rsid w:val="00F22F79"/>
    <w:rsid w:val="00F22F85"/>
    <w:rsid w:val="00F22FB9"/>
    <w:rsid w:val="00F23035"/>
    <w:rsid w:val="00F231B5"/>
    <w:rsid w:val="00F231F2"/>
    <w:rsid w:val="00F2322E"/>
    <w:rsid w:val="00F23255"/>
    <w:rsid w:val="00F23279"/>
    <w:rsid w:val="00F232BC"/>
    <w:rsid w:val="00F233AF"/>
    <w:rsid w:val="00F2345E"/>
    <w:rsid w:val="00F2349D"/>
    <w:rsid w:val="00F234BE"/>
    <w:rsid w:val="00F23551"/>
    <w:rsid w:val="00F23574"/>
    <w:rsid w:val="00F235E6"/>
    <w:rsid w:val="00F2360B"/>
    <w:rsid w:val="00F237C3"/>
    <w:rsid w:val="00F23967"/>
    <w:rsid w:val="00F239B4"/>
    <w:rsid w:val="00F23AE2"/>
    <w:rsid w:val="00F23B07"/>
    <w:rsid w:val="00F23B19"/>
    <w:rsid w:val="00F23BBE"/>
    <w:rsid w:val="00F23C10"/>
    <w:rsid w:val="00F23C6F"/>
    <w:rsid w:val="00F23CCE"/>
    <w:rsid w:val="00F23CE8"/>
    <w:rsid w:val="00F23DE1"/>
    <w:rsid w:val="00F23E36"/>
    <w:rsid w:val="00F23EC8"/>
    <w:rsid w:val="00F23F23"/>
    <w:rsid w:val="00F24015"/>
    <w:rsid w:val="00F2405C"/>
    <w:rsid w:val="00F240FB"/>
    <w:rsid w:val="00F24279"/>
    <w:rsid w:val="00F243C2"/>
    <w:rsid w:val="00F244CE"/>
    <w:rsid w:val="00F24528"/>
    <w:rsid w:val="00F24567"/>
    <w:rsid w:val="00F24614"/>
    <w:rsid w:val="00F24629"/>
    <w:rsid w:val="00F24670"/>
    <w:rsid w:val="00F24800"/>
    <w:rsid w:val="00F24852"/>
    <w:rsid w:val="00F24882"/>
    <w:rsid w:val="00F24892"/>
    <w:rsid w:val="00F248C6"/>
    <w:rsid w:val="00F2495E"/>
    <w:rsid w:val="00F24AE9"/>
    <w:rsid w:val="00F24B2D"/>
    <w:rsid w:val="00F24C29"/>
    <w:rsid w:val="00F24D07"/>
    <w:rsid w:val="00F24DAB"/>
    <w:rsid w:val="00F24DEB"/>
    <w:rsid w:val="00F24E63"/>
    <w:rsid w:val="00F24ECF"/>
    <w:rsid w:val="00F24EFE"/>
    <w:rsid w:val="00F24FC4"/>
    <w:rsid w:val="00F25016"/>
    <w:rsid w:val="00F25085"/>
    <w:rsid w:val="00F250AC"/>
    <w:rsid w:val="00F2517B"/>
    <w:rsid w:val="00F251C7"/>
    <w:rsid w:val="00F251D2"/>
    <w:rsid w:val="00F2524B"/>
    <w:rsid w:val="00F2528A"/>
    <w:rsid w:val="00F252CA"/>
    <w:rsid w:val="00F252CC"/>
    <w:rsid w:val="00F252D6"/>
    <w:rsid w:val="00F252D7"/>
    <w:rsid w:val="00F25383"/>
    <w:rsid w:val="00F25388"/>
    <w:rsid w:val="00F253C7"/>
    <w:rsid w:val="00F253DC"/>
    <w:rsid w:val="00F25454"/>
    <w:rsid w:val="00F25464"/>
    <w:rsid w:val="00F254F8"/>
    <w:rsid w:val="00F25518"/>
    <w:rsid w:val="00F2555C"/>
    <w:rsid w:val="00F2559F"/>
    <w:rsid w:val="00F255F4"/>
    <w:rsid w:val="00F2561F"/>
    <w:rsid w:val="00F25637"/>
    <w:rsid w:val="00F25718"/>
    <w:rsid w:val="00F2573C"/>
    <w:rsid w:val="00F25751"/>
    <w:rsid w:val="00F25763"/>
    <w:rsid w:val="00F25791"/>
    <w:rsid w:val="00F257F5"/>
    <w:rsid w:val="00F25817"/>
    <w:rsid w:val="00F2593D"/>
    <w:rsid w:val="00F259A0"/>
    <w:rsid w:val="00F259C9"/>
    <w:rsid w:val="00F25AA1"/>
    <w:rsid w:val="00F25AE9"/>
    <w:rsid w:val="00F25D3D"/>
    <w:rsid w:val="00F25D81"/>
    <w:rsid w:val="00F25D8E"/>
    <w:rsid w:val="00F25E03"/>
    <w:rsid w:val="00F25E0C"/>
    <w:rsid w:val="00F25E6D"/>
    <w:rsid w:val="00F25EF0"/>
    <w:rsid w:val="00F25F48"/>
    <w:rsid w:val="00F25FFB"/>
    <w:rsid w:val="00F2612E"/>
    <w:rsid w:val="00F26163"/>
    <w:rsid w:val="00F2616D"/>
    <w:rsid w:val="00F26171"/>
    <w:rsid w:val="00F2623A"/>
    <w:rsid w:val="00F26292"/>
    <w:rsid w:val="00F263DA"/>
    <w:rsid w:val="00F263E7"/>
    <w:rsid w:val="00F26518"/>
    <w:rsid w:val="00F26529"/>
    <w:rsid w:val="00F26546"/>
    <w:rsid w:val="00F265BC"/>
    <w:rsid w:val="00F265D0"/>
    <w:rsid w:val="00F265E1"/>
    <w:rsid w:val="00F265E2"/>
    <w:rsid w:val="00F265E9"/>
    <w:rsid w:val="00F2660E"/>
    <w:rsid w:val="00F2662D"/>
    <w:rsid w:val="00F26920"/>
    <w:rsid w:val="00F26977"/>
    <w:rsid w:val="00F26999"/>
    <w:rsid w:val="00F269A2"/>
    <w:rsid w:val="00F269AA"/>
    <w:rsid w:val="00F26A6A"/>
    <w:rsid w:val="00F26B08"/>
    <w:rsid w:val="00F26D00"/>
    <w:rsid w:val="00F26D12"/>
    <w:rsid w:val="00F26D24"/>
    <w:rsid w:val="00F26D63"/>
    <w:rsid w:val="00F26DF4"/>
    <w:rsid w:val="00F26E06"/>
    <w:rsid w:val="00F26ECB"/>
    <w:rsid w:val="00F26F95"/>
    <w:rsid w:val="00F26FE3"/>
    <w:rsid w:val="00F2715D"/>
    <w:rsid w:val="00F271EF"/>
    <w:rsid w:val="00F27274"/>
    <w:rsid w:val="00F2732A"/>
    <w:rsid w:val="00F27376"/>
    <w:rsid w:val="00F27386"/>
    <w:rsid w:val="00F27490"/>
    <w:rsid w:val="00F27572"/>
    <w:rsid w:val="00F275C2"/>
    <w:rsid w:val="00F27601"/>
    <w:rsid w:val="00F27753"/>
    <w:rsid w:val="00F277DE"/>
    <w:rsid w:val="00F278C7"/>
    <w:rsid w:val="00F278FE"/>
    <w:rsid w:val="00F2792A"/>
    <w:rsid w:val="00F27986"/>
    <w:rsid w:val="00F279B8"/>
    <w:rsid w:val="00F279F0"/>
    <w:rsid w:val="00F279F5"/>
    <w:rsid w:val="00F27A6A"/>
    <w:rsid w:val="00F27AEA"/>
    <w:rsid w:val="00F27AF0"/>
    <w:rsid w:val="00F27B08"/>
    <w:rsid w:val="00F27BF5"/>
    <w:rsid w:val="00F27CE2"/>
    <w:rsid w:val="00F27D10"/>
    <w:rsid w:val="00F27D22"/>
    <w:rsid w:val="00F27D65"/>
    <w:rsid w:val="00F27E2C"/>
    <w:rsid w:val="00F27ECE"/>
    <w:rsid w:val="00F27F30"/>
    <w:rsid w:val="00F27FA0"/>
    <w:rsid w:val="00F27FC0"/>
    <w:rsid w:val="00F30018"/>
    <w:rsid w:val="00F3012B"/>
    <w:rsid w:val="00F3014A"/>
    <w:rsid w:val="00F3015C"/>
    <w:rsid w:val="00F3017D"/>
    <w:rsid w:val="00F30372"/>
    <w:rsid w:val="00F3038D"/>
    <w:rsid w:val="00F303F8"/>
    <w:rsid w:val="00F30426"/>
    <w:rsid w:val="00F30437"/>
    <w:rsid w:val="00F3049B"/>
    <w:rsid w:val="00F3051A"/>
    <w:rsid w:val="00F30640"/>
    <w:rsid w:val="00F30676"/>
    <w:rsid w:val="00F306AC"/>
    <w:rsid w:val="00F30747"/>
    <w:rsid w:val="00F30748"/>
    <w:rsid w:val="00F30780"/>
    <w:rsid w:val="00F30808"/>
    <w:rsid w:val="00F3083D"/>
    <w:rsid w:val="00F30892"/>
    <w:rsid w:val="00F308BD"/>
    <w:rsid w:val="00F308E7"/>
    <w:rsid w:val="00F30902"/>
    <w:rsid w:val="00F30940"/>
    <w:rsid w:val="00F309B2"/>
    <w:rsid w:val="00F309B3"/>
    <w:rsid w:val="00F30A90"/>
    <w:rsid w:val="00F30B2F"/>
    <w:rsid w:val="00F30B67"/>
    <w:rsid w:val="00F30D39"/>
    <w:rsid w:val="00F30E09"/>
    <w:rsid w:val="00F30E14"/>
    <w:rsid w:val="00F30F43"/>
    <w:rsid w:val="00F310CA"/>
    <w:rsid w:val="00F3113E"/>
    <w:rsid w:val="00F31171"/>
    <w:rsid w:val="00F311AE"/>
    <w:rsid w:val="00F311B2"/>
    <w:rsid w:val="00F311C7"/>
    <w:rsid w:val="00F311D4"/>
    <w:rsid w:val="00F3134B"/>
    <w:rsid w:val="00F3135D"/>
    <w:rsid w:val="00F313A7"/>
    <w:rsid w:val="00F313E4"/>
    <w:rsid w:val="00F31409"/>
    <w:rsid w:val="00F314C2"/>
    <w:rsid w:val="00F314C5"/>
    <w:rsid w:val="00F314D4"/>
    <w:rsid w:val="00F31560"/>
    <w:rsid w:val="00F31579"/>
    <w:rsid w:val="00F31615"/>
    <w:rsid w:val="00F316C9"/>
    <w:rsid w:val="00F316EC"/>
    <w:rsid w:val="00F318C2"/>
    <w:rsid w:val="00F31937"/>
    <w:rsid w:val="00F31983"/>
    <w:rsid w:val="00F31B33"/>
    <w:rsid w:val="00F31DD3"/>
    <w:rsid w:val="00F31EFF"/>
    <w:rsid w:val="00F31F0C"/>
    <w:rsid w:val="00F31FD0"/>
    <w:rsid w:val="00F3201D"/>
    <w:rsid w:val="00F32037"/>
    <w:rsid w:val="00F320CB"/>
    <w:rsid w:val="00F32143"/>
    <w:rsid w:val="00F3215E"/>
    <w:rsid w:val="00F32164"/>
    <w:rsid w:val="00F321AB"/>
    <w:rsid w:val="00F321B0"/>
    <w:rsid w:val="00F321D0"/>
    <w:rsid w:val="00F321D3"/>
    <w:rsid w:val="00F3221A"/>
    <w:rsid w:val="00F32293"/>
    <w:rsid w:val="00F32328"/>
    <w:rsid w:val="00F323BD"/>
    <w:rsid w:val="00F323D9"/>
    <w:rsid w:val="00F323F8"/>
    <w:rsid w:val="00F324CD"/>
    <w:rsid w:val="00F3258E"/>
    <w:rsid w:val="00F32599"/>
    <w:rsid w:val="00F325C7"/>
    <w:rsid w:val="00F325FC"/>
    <w:rsid w:val="00F32696"/>
    <w:rsid w:val="00F326B3"/>
    <w:rsid w:val="00F326F3"/>
    <w:rsid w:val="00F32744"/>
    <w:rsid w:val="00F3274E"/>
    <w:rsid w:val="00F32755"/>
    <w:rsid w:val="00F32984"/>
    <w:rsid w:val="00F329B6"/>
    <w:rsid w:val="00F32A28"/>
    <w:rsid w:val="00F32B73"/>
    <w:rsid w:val="00F32C12"/>
    <w:rsid w:val="00F32C32"/>
    <w:rsid w:val="00F32C50"/>
    <w:rsid w:val="00F32C55"/>
    <w:rsid w:val="00F32C60"/>
    <w:rsid w:val="00F32CA7"/>
    <w:rsid w:val="00F32D68"/>
    <w:rsid w:val="00F32F1A"/>
    <w:rsid w:val="00F32F51"/>
    <w:rsid w:val="00F32FEF"/>
    <w:rsid w:val="00F33000"/>
    <w:rsid w:val="00F33105"/>
    <w:rsid w:val="00F33139"/>
    <w:rsid w:val="00F3321F"/>
    <w:rsid w:val="00F332C2"/>
    <w:rsid w:val="00F33302"/>
    <w:rsid w:val="00F333A1"/>
    <w:rsid w:val="00F33436"/>
    <w:rsid w:val="00F33507"/>
    <w:rsid w:val="00F33538"/>
    <w:rsid w:val="00F33595"/>
    <w:rsid w:val="00F33724"/>
    <w:rsid w:val="00F338AA"/>
    <w:rsid w:val="00F33976"/>
    <w:rsid w:val="00F3397F"/>
    <w:rsid w:val="00F339A9"/>
    <w:rsid w:val="00F339E3"/>
    <w:rsid w:val="00F33B37"/>
    <w:rsid w:val="00F33C60"/>
    <w:rsid w:val="00F33D09"/>
    <w:rsid w:val="00F33D1C"/>
    <w:rsid w:val="00F33D57"/>
    <w:rsid w:val="00F33E2E"/>
    <w:rsid w:val="00F33F7B"/>
    <w:rsid w:val="00F340E9"/>
    <w:rsid w:val="00F34123"/>
    <w:rsid w:val="00F341C3"/>
    <w:rsid w:val="00F341E2"/>
    <w:rsid w:val="00F342E3"/>
    <w:rsid w:val="00F34320"/>
    <w:rsid w:val="00F34373"/>
    <w:rsid w:val="00F344F3"/>
    <w:rsid w:val="00F34525"/>
    <w:rsid w:val="00F34593"/>
    <w:rsid w:val="00F3473B"/>
    <w:rsid w:val="00F34774"/>
    <w:rsid w:val="00F3478F"/>
    <w:rsid w:val="00F347A4"/>
    <w:rsid w:val="00F347B1"/>
    <w:rsid w:val="00F347CA"/>
    <w:rsid w:val="00F34874"/>
    <w:rsid w:val="00F3488A"/>
    <w:rsid w:val="00F349AB"/>
    <w:rsid w:val="00F34A1D"/>
    <w:rsid w:val="00F34A66"/>
    <w:rsid w:val="00F34AB9"/>
    <w:rsid w:val="00F34B03"/>
    <w:rsid w:val="00F34B43"/>
    <w:rsid w:val="00F34BBB"/>
    <w:rsid w:val="00F34C0B"/>
    <w:rsid w:val="00F34C43"/>
    <w:rsid w:val="00F34DA9"/>
    <w:rsid w:val="00F34DF7"/>
    <w:rsid w:val="00F34EE4"/>
    <w:rsid w:val="00F34EF7"/>
    <w:rsid w:val="00F34F20"/>
    <w:rsid w:val="00F34F68"/>
    <w:rsid w:val="00F34F8F"/>
    <w:rsid w:val="00F34FFB"/>
    <w:rsid w:val="00F350D5"/>
    <w:rsid w:val="00F350EE"/>
    <w:rsid w:val="00F351C7"/>
    <w:rsid w:val="00F351DF"/>
    <w:rsid w:val="00F35222"/>
    <w:rsid w:val="00F35235"/>
    <w:rsid w:val="00F35281"/>
    <w:rsid w:val="00F352D7"/>
    <w:rsid w:val="00F353E7"/>
    <w:rsid w:val="00F35454"/>
    <w:rsid w:val="00F3545F"/>
    <w:rsid w:val="00F3548E"/>
    <w:rsid w:val="00F354C1"/>
    <w:rsid w:val="00F355F5"/>
    <w:rsid w:val="00F35632"/>
    <w:rsid w:val="00F356F8"/>
    <w:rsid w:val="00F358AD"/>
    <w:rsid w:val="00F35915"/>
    <w:rsid w:val="00F359B5"/>
    <w:rsid w:val="00F359CC"/>
    <w:rsid w:val="00F35AEC"/>
    <w:rsid w:val="00F35B0A"/>
    <w:rsid w:val="00F35C3D"/>
    <w:rsid w:val="00F35C62"/>
    <w:rsid w:val="00F35CB4"/>
    <w:rsid w:val="00F35CD5"/>
    <w:rsid w:val="00F35D18"/>
    <w:rsid w:val="00F35DCD"/>
    <w:rsid w:val="00F35E14"/>
    <w:rsid w:val="00F35E46"/>
    <w:rsid w:val="00F35F6A"/>
    <w:rsid w:val="00F35FE1"/>
    <w:rsid w:val="00F36033"/>
    <w:rsid w:val="00F3604C"/>
    <w:rsid w:val="00F360B1"/>
    <w:rsid w:val="00F360D2"/>
    <w:rsid w:val="00F360F5"/>
    <w:rsid w:val="00F36118"/>
    <w:rsid w:val="00F362F5"/>
    <w:rsid w:val="00F3633D"/>
    <w:rsid w:val="00F363C3"/>
    <w:rsid w:val="00F363CB"/>
    <w:rsid w:val="00F3646A"/>
    <w:rsid w:val="00F36480"/>
    <w:rsid w:val="00F36554"/>
    <w:rsid w:val="00F365A3"/>
    <w:rsid w:val="00F365E2"/>
    <w:rsid w:val="00F365F4"/>
    <w:rsid w:val="00F36642"/>
    <w:rsid w:val="00F3664E"/>
    <w:rsid w:val="00F36656"/>
    <w:rsid w:val="00F366B4"/>
    <w:rsid w:val="00F366F7"/>
    <w:rsid w:val="00F36724"/>
    <w:rsid w:val="00F36809"/>
    <w:rsid w:val="00F3683B"/>
    <w:rsid w:val="00F36842"/>
    <w:rsid w:val="00F36893"/>
    <w:rsid w:val="00F369DC"/>
    <w:rsid w:val="00F369DF"/>
    <w:rsid w:val="00F36ABA"/>
    <w:rsid w:val="00F36B40"/>
    <w:rsid w:val="00F36C14"/>
    <w:rsid w:val="00F36C4C"/>
    <w:rsid w:val="00F36D64"/>
    <w:rsid w:val="00F36DF7"/>
    <w:rsid w:val="00F36E90"/>
    <w:rsid w:val="00F36E92"/>
    <w:rsid w:val="00F36EA4"/>
    <w:rsid w:val="00F36F6E"/>
    <w:rsid w:val="00F36F98"/>
    <w:rsid w:val="00F37010"/>
    <w:rsid w:val="00F3706C"/>
    <w:rsid w:val="00F37177"/>
    <w:rsid w:val="00F372B9"/>
    <w:rsid w:val="00F37372"/>
    <w:rsid w:val="00F3739B"/>
    <w:rsid w:val="00F37419"/>
    <w:rsid w:val="00F3745A"/>
    <w:rsid w:val="00F374BA"/>
    <w:rsid w:val="00F374E1"/>
    <w:rsid w:val="00F37520"/>
    <w:rsid w:val="00F37527"/>
    <w:rsid w:val="00F375C0"/>
    <w:rsid w:val="00F376EF"/>
    <w:rsid w:val="00F37712"/>
    <w:rsid w:val="00F37717"/>
    <w:rsid w:val="00F37752"/>
    <w:rsid w:val="00F377CE"/>
    <w:rsid w:val="00F377D4"/>
    <w:rsid w:val="00F379DA"/>
    <w:rsid w:val="00F37A1C"/>
    <w:rsid w:val="00F37AF4"/>
    <w:rsid w:val="00F37B95"/>
    <w:rsid w:val="00F37C88"/>
    <w:rsid w:val="00F37C8A"/>
    <w:rsid w:val="00F37CA8"/>
    <w:rsid w:val="00F37CAC"/>
    <w:rsid w:val="00F37CCF"/>
    <w:rsid w:val="00F37D39"/>
    <w:rsid w:val="00F37D58"/>
    <w:rsid w:val="00F37DE2"/>
    <w:rsid w:val="00F37E3A"/>
    <w:rsid w:val="00F37EE8"/>
    <w:rsid w:val="00F37F3F"/>
    <w:rsid w:val="00F37F9C"/>
    <w:rsid w:val="00F37FEC"/>
    <w:rsid w:val="00F40188"/>
    <w:rsid w:val="00F40215"/>
    <w:rsid w:val="00F40252"/>
    <w:rsid w:val="00F402B2"/>
    <w:rsid w:val="00F402D3"/>
    <w:rsid w:val="00F402E6"/>
    <w:rsid w:val="00F4030D"/>
    <w:rsid w:val="00F403AD"/>
    <w:rsid w:val="00F403DA"/>
    <w:rsid w:val="00F403E4"/>
    <w:rsid w:val="00F403F8"/>
    <w:rsid w:val="00F40429"/>
    <w:rsid w:val="00F404D7"/>
    <w:rsid w:val="00F404FA"/>
    <w:rsid w:val="00F4053A"/>
    <w:rsid w:val="00F405CB"/>
    <w:rsid w:val="00F406BD"/>
    <w:rsid w:val="00F40796"/>
    <w:rsid w:val="00F4082A"/>
    <w:rsid w:val="00F40856"/>
    <w:rsid w:val="00F408E6"/>
    <w:rsid w:val="00F40901"/>
    <w:rsid w:val="00F40910"/>
    <w:rsid w:val="00F40922"/>
    <w:rsid w:val="00F40A6A"/>
    <w:rsid w:val="00F40A7E"/>
    <w:rsid w:val="00F40AA1"/>
    <w:rsid w:val="00F40ABB"/>
    <w:rsid w:val="00F40E19"/>
    <w:rsid w:val="00F40F5A"/>
    <w:rsid w:val="00F40FA0"/>
    <w:rsid w:val="00F41013"/>
    <w:rsid w:val="00F41022"/>
    <w:rsid w:val="00F412C4"/>
    <w:rsid w:val="00F412E2"/>
    <w:rsid w:val="00F412E8"/>
    <w:rsid w:val="00F41382"/>
    <w:rsid w:val="00F413CD"/>
    <w:rsid w:val="00F413FE"/>
    <w:rsid w:val="00F41431"/>
    <w:rsid w:val="00F4153B"/>
    <w:rsid w:val="00F41594"/>
    <w:rsid w:val="00F415A5"/>
    <w:rsid w:val="00F415AB"/>
    <w:rsid w:val="00F4163E"/>
    <w:rsid w:val="00F4168A"/>
    <w:rsid w:val="00F41734"/>
    <w:rsid w:val="00F4174E"/>
    <w:rsid w:val="00F417D8"/>
    <w:rsid w:val="00F41863"/>
    <w:rsid w:val="00F4196A"/>
    <w:rsid w:val="00F41A1E"/>
    <w:rsid w:val="00F41A7C"/>
    <w:rsid w:val="00F41AA3"/>
    <w:rsid w:val="00F41AB4"/>
    <w:rsid w:val="00F41AD2"/>
    <w:rsid w:val="00F41B3F"/>
    <w:rsid w:val="00F41BA6"/>
    <w:rsid w:val="00F41BB5"/>
    <w:rsid w:val="00F41C9F"/>
    <w:rsid w:val="00F41D26"/>
    <w:rsid w:val="00F41DA9"/>
    <w:rsid w:val="00F41DDD"/>
    <w:rsid w:val="00F41E3D"/>
    <w:rsid w:val="00F41E8D"/>
    <w:rsid w:val="00F41E9D"/>
    <w:rsid w:val="00F41F1D"/>
    <w:rsid w:val="00F41F8B"/>
    <w:rsid w:val="00F41FC0"/>
    <w:rsid w:val="00F420CB"/>
    <w:rsid w:val="00F420D7"/>
    <w:rsid w:val="00F42103"/>
    <w:rsid w:val="00F42117"/>
    <w:rsid w:val="00F421BA"/>
    <w:rsid w:val="00F4229C"/>
    <w:rsid w:val="00F422F9"/>
    <w:rsid w:val="00F42384"/>
    <w:rsid w:val="00F424A3"/>
    <w:rsid w:val="00F42559"/>
    <w:rsid w:val="00F4261E"/>
    <w:rsid w:val="00F4263B"/>
    <w:rsid w:val="00F42671"/>
    <w:rsid w:val="00F426B8"/>
    <w:rsid w:val="00F426C2"/>
    <w:rsid w:val="00F42749"/>
    <w:rsid w:val="00F427DA"/>
    <w:rsid w:val="00F427E1"/>
    <w:rsid w:val="00F4284A"/>
    <w:rsid w:val="00F428AD"/>
    <w:rsid w:val="00F42911"/>
    <w:rsid w:val="00F42929"/>
    <w:rsid w:val="00F429DF"/>
    <w:rsid w:val="00F42B41"/>
    <w:rsid w:val="00F42BD0"/>
    <w:rsid w:val="00F42C4B"/>
    <w:rsid w:val="00F42CE7"/>
    <w:rsid w:val="00F42D22"/>
    <w:rsid w:val="00F42D35"/>
    <w:rsid w:val="00F42E15"/>
    <w:rsid w:val="00F42E63"/>
    <w:rsid w:val="00F42E7E"/>
    <w:rsid w:val="00F42F93"/>
    <w:rsid w:val="00F42FD1"/>
    <w:rsid w:val="00F43103"/>
    <w:rsid w:val="00F43259"/>
    <w:rsid w:val="00F43302"/>
    <w:rsid w:val="00F43332"/>
    <w:rsid w:val="00F4338E"/>
    <w:rsid w:val="00F433C1"/>
    <w:rsid w:val="00F43571"/>
    <w:rsid w:val="00F43591"/>
    <w:rsid w:val="00F435BF"/>
    <w:rsid w:val="00F436D9"/>
    <w:rsid w:val="00F43724"/>
    <w:rsid w:val="00F43743"/>
    <w:rsid w:val="00F43783"/>
    <w:rsid w:val="00F437E2"/>
    <w:rsid w:val="00F43918"/>
    <w:rsid w:val="00F4395B"/>
    <w:rsid w:val="00F439E2"/>
    <w:rsid w:val="00F43B02"/>
    <w:rsid w:val="00F43BC7"/>
    <w:rsid w:val="00F43D83"/>
    <w:rsid w:val="00F43DAE"/>
    <w:rsid w:val="00F43F77"/>
    <w:rsid w:val="00F44049"/>
    <w:rsid w:val="00F440FB"/>
    <w:rsid w:val="00F44181"/>
    <w:rsid w:val="00F44187"/>
    <w:rsid w:val="00F44216"/>
    <w:rsid w:val="00F44233"/>
    <w:rsid w:val="00F44274"/>
    <w:rsid w:val="00F44290"/>
    <w:rsid w:val="00F4429B"/>
    <w:rsid w:val="00F442CB"/>
    <w:rsid w:val="00F44463"/>
    <w:rsid w:val="00F444FC"/>
    <w:rsid w:val="00F4464B"/>
    <w:rsid w:val="00F44653"/>
    <w:rsid w:val="00F44672"/>
    <w:rsid w:val="00F446C1"/>
    <w:rsid w:val="00F4477D"/>
    <w:rsid w:val="00F447C6"/>
    <w:rsid w:val="00F447E7"/>
    <w:rsid w:val="00F4484C"/>
    <w:rsid w:val="00F4484D"/>
    <w:rsid w:val="00F448B7"/>
    <w:rsid w:val="00F448D8"/>
    <w:rsid w:val="00F4498C"/>
    <w:rsid w:val="00F449CC"/>
    <w:rsid w:val="00F44A0A"/>
    <w:rsid w:val="00F44A97"/>
    <w:rsid w:val="00F44ABD"/>
    <w:rsid w:val="00F44B84"/>
    <w:rsid w:val="00F44B99"/>
    <w:rsid w:val="00F44BCE"/>
    <w:rsid w:val="00F44C92"/>
    <w:rsid w:val="00F44CC3"/>
    <w:rsid w:val="00F44CE2"/>
    <w:rsid w:val="00F44D62"/>
    <w:rsid w:val="00F44DA3"/>
    <w:rsid w:val="00F44EBC"/>
    <w:rsid w:val="00F44F14"/>
    <w:rsid w:val="00F44F49"/>
    <w:rsid w:val="00F450CD"/>
    <w:rsid w:val="00F450D1"/>
    <w:rsid w:val="00F45129"/>
    <w:rsid w:val="00F45168"/>
    <w:rsid w:val="00F45194"/>
    <w:rsid w:val="00F451AD"/>
    <w:rsid w:val="00F45293"/>
    <w:rsid w:val="00F452C2"/>
    <w:rsid w:val="00F4534E"/>
    <w:rsid w:val="00F45364"/>
    <w:rsid w:val="00F453F7"/>
    <w:rsid w:val="00F45400"/>
    <w:rsid w:val="00F4540B"/>
    <w:rsid w:val="00F45424"/>
    <w:rsid w:val="00F4545F"/>
    <w:rsid w:val="00F4548E"/>
    <w:rsid w:val="00F45551"/>
    <w:rsid w:val="00F4557A"/>
    <w:rsid w:val="00F4566D"/>
    <w:rsid w:val="00F45685"/>
    <w:rsid w:val="00F45739"/>
    <w:rsid w:val="00F4579C"/>
    <w:rsid w:val="00F45807"/>
    <w:rsid w:val="00F458F6"/>
    <w:rsid w:val="00F45913"/>
    <w:rsid w:val="00F4595B"/>
    <w:rsid w:val="00F4598F"/>
    <w:rsid w:val="00F459F1"/>
    <w:rsid w:val="00F45A6C"/>
    <w:rsid w:val="00F45AB5"/>
    <w:rsid w:val="00F45AEC"/>
    <w:rsid w:val="00F45B3F"/>
    <w:rsid w:val="00F45B5C"/>
    <w:rsid w:val="00F45B70"/>
    <w:rsid w:val="00F45B81"/>
    <w:rsid w:val="00F45BA8"/>
    <w:rsid w:val="00F45D50"/>
    <w:rsid w:val="00F45D5C"/>
    <w:rsid w:val="00F45E91"/>
    <w:rsid w:val="00F45ECD"/>
    <w:rsid w:val="00F45F0E"/>
    <w:rsid w:val="00F460A6"/>
    <w:rsid w:val="00F46139"/>
    <w:rsid w:val="00F4614B"/>
    <w:rsid w:val="00F462F3"/>
    <w:rsid w:val="00F463F7"/>
    <w:rsid w:val="00F46476"/>
    <w:rsid w:val="00F46493"/>
    <w:rsid w:val="00F4651A"/>
    <w:rsid w:val="00F4657F"/>
    <w:rsid w:val="00F465E6"/>
    <w:rsid w:val="00F4666E"/>
    <w:rsid w:val="00F466D4"/>
    <w:rsid w:val="00F4672E"/>
    <w:rsid w:val="00F46747"/>
    <w:rsid w:val="00F4678E"/>
    <w:rsid w:val="00F468FF"/>
    <w:rsid w:val="00F46915"/>
    <w:rsid w:val="00F46A16"/>
    <w:rsid w:val="00F46A42"/>
    <w:rsid w:val="00F46B2D"/>
    <w:rsid w:val="00F46BBB"/>
    <w:rsid w:val="00F46BC2"/>
    <w:rsid w:val="00F46C07"/>
    <w:rsid w:val="00F46D0F"/>
    <w:rsid w:val="00F46D31"/>
    <w:rsid w:val="00F46DEA"/>
    <w:rsid w:val="00F46E9A"/>
    <w:rsid w:val="00F46F64"/>
    <w:rsid w:val="00F47031"/>
    <w:rsid w:val="00F4703D"/>
    <w:rsid w:val="00F47044"/>
    <w:rsid w:val="00F47087"/>
    <w:rsid w:val="00F470B0"/>
    <w:rsid w:val="00F47163"/>
    <w:rsid w:val="00F4719F"/>
    <w:rsid w:val="00F471A9"/>
    <w:rsid w:val="00F471B4"/>
    <w:rsid w:val="00F47275"/>
    <w:rsid w:val="00F47352"/>
    <w:rsid w:val="00F47365"/>
    <w:rsid w:val="00F473F3"/>
    <w:rsid w:val="00F4754D"/>
    <w:rsid w:val="00F475BD"/>
    <w:rsid w:val="00F47661"/>
    <w:rsid w:val="00F476D5"/>
    <w:rsid w:val="00F4771B"/>
    <w:rsid w:val="00F47802"/>
    <w:rsid w:val="00F478C6"/>
    <w:rsid w:val="00F47915"/>
    <w:rsid w:val="00F4793C"/>
    <w:rsid w:val="00F4797B"/>
    <w:rsid w:val="00F479F6"/>
    <w:rsid w:val="00F479FD"/>
    <w:rsid w:val="00F47A8C"/>
    <w:rsid w:val="00F47B72"/>
    <w:rsid w:val="00F47BFE"/>
    <w:rsid w:val="00F47C17"/>
    <w:rsid w:val="00F47D26"/>
    <w:rsid w:val="00F47E1C"/>
    <w:rsid w:val="00F47E7B"/>
    <w:rsid w:val="00F47EE8"/>
    <w:rsid w:val="00F47EF4"/>
    <w:rsid w:val="00F47F0A"/>
    <w:rsid w:val="00F47F1A"/>
    <w:rsid w:val="00F50027"/>
    <w:rsid w:val="00F50077"/>
    <w:rsid w:val="00F5009D"/>
    <w:rsid w:val="00F500D0"/>
    <w:rsid w:val="00F501D4"/>
    <w:rsid w:val="00F501FF"/>
    <w:rsid w:val="00F5027B"/>
    <w:rsid w:val="00F50375"/>
    <w:rsid w:val="00F503F9"/>
    <w:rsid w:val="00F5040B"/>
    <w:rsid w:val="00F5040C"/>
    <w:rsid w:val="00F50419"/>
    <w:rsid w:val="00F5044B"/>
    <w:rsid w:val="00F504AD"/>
    <w:rsid w:val="00F50508"/>
    <w:rsid w:val="00F5054C"/>
    <w:rsid w:val="00F5056E"/>
    <w:rsid w:val="00F50701"/>
    <w:rsid w:val="00F507A4"/>
    <w:rsid w:val="00F507D3"/>
    <w:rsid w:val="00F508E4"/>
    <w:rsid w:val="00F508EB"/>
    <w:rsid w:val="00F509CC"/>
    <w:rsid w:val="00F50A0B"/>
    <w:rsid w:val="00F50A0C"/>
    <w:rsid w:val="00F50A6D"/>
    <w:rsid w:val="00F50AE7"/>
    <w:rsid w:val="00F50B54"/>
    <w:rsid w:val="00F50B5E"/>
    <w:rsid w:val="00F50BC3"/>
    <w:rsid w:val="00F50BD6"/>
    <w:rsid w:val="00F50BDF"/>
    <w:rsid w:val="00F50D86"/>
    <w:rsid w:val="00F50E0C"/>
    <w:rsid w:val="00F50E72"/>
    <w:rsid w:val="00F50ECE"/>
    <w:rsid w:val="00F50F07"/>
    <w:rsid w:val="00F50F4D"/>
    <w:rsid w:val="00F51000"/>
    <w:rsid w:val="00F51054"/>
    <w:rsid w:val="00F51071"/>
    <w:rsid w:val="00F510BB"/>
    <w:rsid w:val="00F51102"/>
    <w:rsid w:val="00F51179"/>
    <w:rsid w:val="00F51255"/>
    <w:rsid w:val="00F5131F"/>
    <w:rsid w:val="00F5150E"/>
    <w:rsid w:val="00F5155C"/>
    <w:rsid w:val="00F515AE"/>
    <w:rsid w:val="00F51632"/>
    <w:rsid w:val="00F516A5"/>
    <w:rsid w:val="00F51705"/>
    <w:rsid w:val="00F517CD"/>
    <w:rsid w:val="00F517E0"/>
    <w:rsid w:val="00F518C4"/>
    <w:rsid w:val="00F518CB"/>
    <w:rsid w:val="00F5192B"/>
    <w:rsid w:val="00F51952"/>
    <w:rsid w:val="00F5198B"/>
    <w:rsid w:val="00F51A5E"/>
    <w:rsid w:val="00F51AA6"/>
    <w:rsid w:val="00F51C16"/>
    <w:rsid w:val="00F51C6E"/>
    <w:rsid w:val="00F51CFD"/>
    <w:rsid w:val="00F51E06"/>
    <w:rsid w:val="00F51FDD"/>
    <w:rsid w:val="00F520A2"/>
    <w:rsid w:val="00F520CC"/>
    <w:rsid w:val="00F52115"/>
    <w:rsid w:val="00F521FF"/>
    <w:rsid w:val="00F5222F"/>
    <w:rsid w:val="00F52264"/>
    <w:rsid w:val="00F5226B"/>
    <w:rsid w:val="00F522CD"/>
    <w:rsid w:val="00F522EA"/>
    <w:rsid w:val="00F5246D"/>
    <w:rsid w:val="00F524BF"/>
    <w:rsid w:val="00F5250C"/>
    <w:rsid w:val="00F5252E"/>
    <w:rsid w:val="00F525DD"/>
    <w:rsid w:val="00F525E4"/>
    <w:rsid w:val="00F525E5"/>
    <w:rsid w:val="00F52624"/>
    <w:rsid w:val="00F52628"/>
    <w:rsid w:val="00F5265D"/>
    <w:rsid w:val="00F526D8"/>
    <w:rsid w:val="00F52706"/>
    <w:rsid w:val="00F52747"/>
    <w:rsid w:val="00F52954"/>
    <w:rsid w:val="00F52966"/>
    <w:rsid w:val="00F529FF"/>
    <w:rsid w:val="00F52A2B"/>
    <w:rsid w:val="00F52A3B"/>
    <w:rsid w:val="00F52A97"/>
    <w:rsid w:val="00F52ACC"/>
    <w:rsid w:val="00F52AF7"/>
    <w:rsid w:val="00F52BB2"/>
    <w:rsid w:val="00F52C28"/>
    <w:rsid w:val="00F52CB5"/>
    <w:rsid w:val="00F52CCD"/>
    <w:rsid w:val="00F52E63"/>
    <w:rsid w:val="00F52E98"/>
    <w:rsid w:val="00F52ED6"/>
    <w:rsid w:val="00F52F1D"/>
    <w:rsid w:val="00F52F4B"/>
    <w:rsid w:val="00F52F82"/>
    <w:rsid w:val="00F52F96"/>
    <w:rsid w:val="00F53022"/>
    <w:rsid w:val="00F53042"/>
    <w:rsid w:val="00F530E0"/>
    <w:rsid w:val="00F530F1"/>
    <w:rsid w:val="00F53130"/>
    <w:rsid w:val="00F531F7"/>
    <w:rsid w:val="00F53246"/>
    <w:rsid w:val="00F53253"/>
    <w:rsid w:val="00F5325B"/>
    <w:rsid w:val="00F532D8"/>
    <w:rsid w:val="00F533B4"/>
    <w:rsid w:val="00F533B8"/>
    <w:rsid w:val="00F53428"/>
    <w:rsid w:val="00F534A5"/>
    <w:rsid w:val="00F53500"/>
    <w:rsid w:val="00F5359B"/>
    <w:rsid w:val="00F535B3"/>
    <w:rsid w:val="00F535F8"/>
    <w:rsid w:val="00F53634"/>
    <w:rsid w:val="00F5363C"/>
    <w:rsid w:val="00F53657"/>
    <w:rsid w:val="00F53671"/>
    <w:rsid w:val="00F536AF"/>
    <w:rsid w:val="00F536D3"/>
    <w:rsid w:val="00F537FB"/>
    <w:rsid w:val="00F53804"/>
    <w:rsid w:val="00F5381C"/>
    <w:rsid w:val="00F538F4"/>
    <w:rsid w:val="00F53979"/>
    <w:rsid w:val="00F53AC6"/>
    <w:rsid w:val="00F53B0B"/>
    <w:rsid w:val="00F53B17"/>
    <w:rsid w:val="00F53B50"/>
    <w:rsid w:val="00F53B60"/>
    <w:rsid w:val="00F53B61"/>
    <w:rsid w:val="00F53BAA"/>
    <w:rsid w:val="00F53C74"/>
    <w:rsid w:val="00F53CD2"/>
    <w:rsid w:val="00F53E54"/>
    <w:rsid w:val="00F53E76"/>
    <w:rsid w:val="00F53EFE"/>
    <w:rsid w:val="00F53F12"/>
    <w:rsid w:val="00F53F28"/>
    <w:rsid w:val="00F53F66"/>
    <w:rsid w:val="00F54157"/>
    <w:rsid w:val="00F5424F"/>
    <w:rsid w:val="00F542B2"/>
    <w:rsid w:val="00F542D5"/>
    <w:rsid w:val="00F542EE"/>
    <w:rsid w:val="00F54320"/>
    <w:rsid w:val="00F543C2"/>
    <w:rsid w:val="00F543EC"/>
    <w:rsid w:val="00F54405"/>
    <w:rsid w:val="00F5441B"/>
    <w:rsid w:val="00F544AB"/>
    <w:rsid w:val="00F54506"/>
    <w:rsid w:val="00F54532"/>
    <w:rsid w:val="00F545A0"/>
    <w:rsid w:val="00F54672"/>
    <w:rsid w:val="00F546AB"/>
    <w:rsid w:val="00F5470A"/>
    <w:rsid w:val="00F54746"/>
    <w:rsid w:val="00F5475D"/>
    <w:rsid w:val="00F547CB"/>
    <w:rsid w:val="00F54837"/>
    <w:rsid w:val="00F548E7"/>
    <w:rsid w:val="00F549AC"/>
    <w:rsid w:val="00F54A44"/>
    <w:rsid w:val="00F54A7F"/>
    <w:rsid w:val="00F54A86"/>
    <w:rsid w:val="00F54A92"/>
    <w:rsid w:val="00F54AAA"/>
    <w:rsid w:val="00F54B39"/>
    <w:rsid w:val="00F54C25"/>
    <w:rsid w:val="00F54C8B"/>
    <w:rsid w:val="00F54C9C"/>
    <w:rsid w:val="00F54D19"/>
    <w:rsid w:val="00F54D8C"/>
    <w:rsid w:val="00F55079"/>
    <w:rsid w:val="00F550F8"/>
    <w:rsid w:val="00F550FE"/>
    <w:rsid w:val="00F55135"/>
    <w:rsid w:val="00F5522D"/>
    <w:rsid w:val="00F55254"/>
    <w:rsid w:val="00F55280"/>
    <w:rsid w:val="00F55314"/>
    <w:rsid w:val="00F55458"/>
    <w:rsid w:val="00F5549E"/>
    <w:rsid w:val="00F555C7"/>
    <w:rsid w:val="00F55634"/>
    <w:rsid w:val="00F55665"/>
    <w:rsid w:val="00F556CF"/>
    <w:rsid w:val="00F5571F"/>
    <w:rsid w:val="00F558E1"/>
    <w:rsid w:val="00F55903"/>
    <w:rsid w:val="00F55935"/>
    <w:rsid w:val="00F55A98"/>
    <w:rsid w:val="00F55B14"/>
    <w:rsid w:val="00F55B38"/>
    <w:rsid w:val="00F55CDC"/>
    <w:rsid w:val="00F55D08"/>
    <w:rsid w:val="00F55E0A"/>
    <w:rsid w:val="00F55E7A"/>
    <w:rsid w:val="00F55EB0"/>
    <w:rsid w:val="00F55F2C"/>
    <w:rsid w:val="00F55F62"/>
    <w:rsid w:val="00F55F8A"/>
    <w:rsid w:val="00F5602A"/>
    <w:rsid w:val="00F56054"/>
    <w:rsid w:val="00F56058"/>
    <w:rsid w:val="00F560A0"/>
    <w:rsid w:val="00F562A1"/>
    <w:rsid w:val="00F5634E"/>
    <w:rsid w:val="00F5635A"/>
    <w:rsid w:val="00F563F1"/>
    <w:rsid w:val="00F56584"/>
    <w:rsid w:val="00F565D2"/>
    <w:rsid w:val="00F565EC"/>
    <w:rsid w:val="00F565F1"/>
    <w:rsid w:val="00F5665C"/>
    <w:rsid w:val="00F56690"/>
    <w:rsid w:val="00F56735"/>
    <w:rsid w:val="00F56777"/>
    <w:rsid w:val="00F567A8"/>
    <w:rsid w:val="00F568AB"/>
    <w:rsid w:val="00F5696A"/>
    <w:rsid w:val="00F5697A"/>
    <w:rsid w:val="00F56A48"/>
    <w:rsid w:val="00F56AD4"/>
    <w:rsid w:val="00F56B07"/>
    <w:rsid w:val="00F56C35"/>
    <w:rsid w:val="00F56C36"/>
    <w:rsid w:val="00F56C6A"/>
    <w:rsid w:val="00F56CC9"/>
    <w:rsid w:val="00F56D36"/>
    <w:rsid w:val="00F56E07"/>
    <w:rsid w:val="00F56E13"/>
    <w:rsid w:val="00F56E8D"/>
    <w:rsid w:val="00F56E97"/>
    <w:rsid w:val="00F56EBD"/>
    <w:rsid w:val="00F56F35"/>
    <w:rsid w:val="00F56FBC"/>
    <w:rsid w:val="00F57023"/>
    <w:rsid w:val="00F57042"/>
    <w:rsid w:val="00F5706E"/>
    <w:rsid w:val="00F5709D"/>
    <w:rsid w:val="00F570E1"/>
    <w:rsid w:val="00F571F4"/>
    <w:rsid w:val="00F57239"/>
    <w:rsid w:val="00F57242"/>
    <w:rsid w:val="00F5729A"/>
    <w:rsid w:val="00F572AE"/>
    <w:rsid w:val="00F572E6"/>
    <w:rsid w:val="00F572EE"/>
    <w:rsid w:val="00F5736D"/>
    <w:rsid w:val="00F57457"/>
    <w:rsid w:val="00F5747B"/>
    <w:rsid w:val="00F574E1"/>
    <w:rsid w:val="00F57505"/>
    <w:rsid w:val="00F575FD"/>
    <w:rsid w:val="00F5760D"/>
    <w:rsid w:val="00F5768A"/>
    <w:rsid w:val="00F576C0"/>
    <w:rsid w:val="00F576DD"/>
    <w:rsid w:val="00F57726"/>
    <w:rsid w:val="00F57787"/>
    <w:rsid w:val="00F5778C"/>
    <w:rsid w:val="00F577E4"/>
    <w:rsid w:val="00F57886"/>
    <w:rsid w:val="00F578B1"/>
    <w:rsid w:val="00F578F4"/>
    <w:rsid w:val="00F57994"/>
    <w:rsid w:val="00F57A00"/>
    <w:rsid w:val="00F57A16"/>
    <w:rsid w:val="00F57A6B"/>
    <w:rsid w:val="00F57A88"/>
    <w:rsid w:val="00F57A98"/>
    <w:rsid w:val="00F57B4E"/>
    <w:rsid w:val="00F57B6E"/>
    <w:rsid w:val="00F57B7E"/>
    <w:rsid w:val="00F57B83"/>
    <w:rsid w:val="00F57CED"/>
    <w:rsid w:val="00F57DC4"/>
    <w:rsid w:val="00F57E00"/>
    <w:rsid w:val="00F57E09"/>
    <w:rsid w:val="00F57EC0"/>
    <w:rsid w:val="00F57F02"/>
    <w:rsid w:val="00F600F3"/>
    <w:rsid w:val="00F6011E"/>
    <w:rsid w:val="00F60126"/>
    <w:rsid w:val="00F60129"/>
    <w:rsid w:val="00F601DD"/>
    <w:rsid w:val="00F6027F"/>
    <w:rsid w:val="00F602ED"/>
    <w:rsid w:val="00F602F8"/>
    <w:rsid w:val="00F6031E"/>
    <w:rsid w:val="00F60449"/>
    <w:rsid w:val="00F604B4"/>
    <w:rsid w:val="00F6050D"/>
    <w:rsid w:val="00F60510"/>
    <w:rsid w:val="00F6052A"/>
    <w:rsid w:val="00F60575"/>
    <w:rsid w:val="00F605A9"/>
    <w:rsid w:val="00F605AF"/>
    <w:rsid w:val="00F605CE"/>
    <w:rsid w:val="00F606D4"/>
    <w:rsid w:val="00F607A7"/>
    <w:rsid w:val="00F607EF"/>
    <w:rsid w:val="00F60805"/>
    <w:rsid w:val="00F608DD"/>
    <w:rsid w:val="00F60922"/>
    <w:rsid w:val="00F6096A"/>
    <w:rsid w:val="00F6098D"/>
    <w:rsid w:val="00F609E0"/>
    <w:rsid w:val="00F60A2C"/>
    <w:rsid w:val="00F60ABC"/>
    <w:rsid w:val="00F60B97"/>
    <w:rsid w:val="00F60C1F"/>
    <w:rsid w:val="00F60C69"/>
    <w:rsid w:val="00F60C92"/>
    <w:rsid w:val="00F60CFF"/>
    <w:rsid w:val="00F60D42"/>
    <w:rsid w:val="00F60EE6"/>
    <w:rsid w:val="00F60EE9"/>
    <w:rsid w:val="00F610F6"/>
    <w:rsid w:val="00F61106"/>
    <w:rsid w:val="00F61187"/>
    <w:rsid w:val="00F611DF"/>
    <w:rsid w:val="00F61264"/>
    <w:rsid w:val="00F6129E"/>
    <w:rsid w:val="00F612AD"/>
    <w:rsid w:val="00F612CD"/>
    <w:rsid w:val="00F61350"/>
    <w:rsid w:val="00F61429"/>
    <w:rsid w:val="00F61435"/>
    <w:rsid w:val="00F614EB"/>
    <w:rsid w:val="00F61554"/>
    <w:rsid w:val="00F61578"/>
    <w:rsid w:val="00F615F4"/>
    <w:rsid w:val="00F61677"/>
    <w:rsid w:val="00F616A1"/>
    <w:rsid w:val="00F61700"/>
    <w:rsid w:val="00F61787"/>
    <w:rsid w:val="00F6180A"/>
    <w:rsid w:val="00F61896"/>
    <w:rsid w:val="00F6189C"/>
    <w:rsid w:val="00F618C7"/>
    <w:rsid w:val="00F618D0"/>
    <w:rsid w:val="00F61AB2"/>
    <w:rsid w:val="00F61B2A"/>
    <w:rsid w:val="00F61BD7"/>
    <w:rsid w:val="00F61C44"/>
    <w:rsid w:val="00F61C4D"/>
    <w:rsid w:val="00F61CB7"/>
    <w:rsid w:val="00F61D7A"/>
    <w:rsid w:val="00F61DE4"/>
    <w:rsid w:val="00F61E98"/>
    <w:rsid w:val="00F61EA9"/>
    <w:rsid w:val="00F61EC1"/>
    <w:rsid w:val="00F61F0F"/>
    <w:rsid w:val="00F61F6D"/>
    <w:rsid w:val="00F61F77"/>
    <w:rsid w:val="00F61F92"/>
    <w:rsid w:val="00F620CD"/>
    <w:rsid w:val="00F621A0"/>
    <w:rsid w:val="00F621C0"/>
    <w:rsid w:val="00F621E8"/>
    <w:rsid w:val="00F6227B"/>
    <w:rsid w:val="00F62365"/>
    <w:rsid w:val="00F62383"/>
    <w:rsid w:val="00F6239D"/>
    <w:rsid w:val="00F624A0"/>
    <w:rsid w:val="00F624C5"/>
    <w:rsid w:val="00F625C5"/>
    <w:rsid w:val="00F62687"/>
    <w:rsid w:val="00F626A1"/>
    <w:rsid w:val="00F6276A"/>
    <w:rsid w:val="00F62867"/>
    <w:rsid w:val="00F628B5"/>
    <w:rsid w:val="00F629B0"/>
    <w:rsid w:val="00F62A0F"/>
    <w:rsid w:val="00F62A29"/>
    <w:rsid w:val="00F62A82"/>
    <w:rsid w:val="00F62B38"/>
    <w:rsid w:val="00F62B4A"/>
    <w:rsid w:val="00F62B4B"/>
    <w:rsid w:val="00F62B9B"/>
    <w:rsid w:val="00F62BCB"/>
    <w:rsid w:val="00F62BF3"/>
    <w:rsid w:val="00F62CF6"/>
    <w:rsid w:val="00F62DBA"/>
    <w:rsid w:val="00F62DFA"/>
    <w:rsid w:val="00F62EB6"/>
    <w:rsid w:val="00F6302A"/>
    <w:rsid w:val="00F63036"/>
    <w:rsid w:val="00F630DB"/>
    <w:rsid w:val="00F630ED"/>
    <w:rsid w:val="00F6310E"/>
    <w:rsid w:val="00F63146"/>
    <w:rsid w:val="00F63184"/>
    <w:rsid w:val="00F631E2"/>
    <w:rsid w:val="00F6322C"/>
    <w:rsid w:val="00F632CF"/>
    <w:rsid w:val="00F632FE"/>
    <w:rsid w:val="00F63467"/>
    <w:rsid w:val="00F634A4"/>
    <w:rsid w:val="00F634FA"/>
    <w:rsid w:val="00F63567"/>
    <w:rsid w:val="00F63758"/>
    <w:rsid w:val="00F638A7"/>
    <w:rsid w:val="00F638E1"/>
    <w:rsid w:val="00F63903"/>
    <w:rsid w:val="00F63948"/>
    <w:rsid w:val="00F63965"/>
    <w:rsid w:val="00F63984"/>
    <w:rsid w:val="00F639D1"/>
    <w:rsid w:val="00F63A50"/>
    <w:rsid w:val="00F63AF2"/>
    <w:rsid w:val="00F63B38"/>
    <w:rsid w:val="00F63B42"/>
    <w:rsid w:val="00F63BF7"/>
    <w:rsid w:val="00F63C37"/>
    <w:rsid w:val="00F63C67"/>
    <w:rsid w:val="00F63CD5"/>
    <w:rsid w:val="00F63D12"/>
    <w:rsid w:val="00F63D50"/>
    <w:rsid w:val="00F63D68"/>
    <w:rsid w:val="00F63DF5"/>
    <w:rsid w:val="00F63E2A"/>
    <w:rsid w:val="00F63E49"/>
    <w:rsid w:val="00F63E7A"/>
    <w:rsid w:val="00F63E82"/>
    <w:rsid w:val="00F63ED1"/>
    <w:rsid w:val="00F63F6A"/>
    <w:rsid w:val="00F640CD"/>
    <w:rsid w:val="00F640D2"/>
    <w:rsid w:val="00F64119"/>
    <w:rsid w:val="00F64156"/>
    <w:rsid w:val="00F64219"/>
    <w:rsid w:val="00F64234"/>
    <w:rsid w:val="00F64256"/>
    <w:rsid w:val="00F645C4"/>
    <w:rsid w:val="00F645D6"/>
    <w:rsid w:val="00F645DE"/>
    <w:rsid w:val="00F6469E"/>
    <w:rsid w:val="00F6478A"/>
    <w:rsid w:val="00F647A5"/>
    <w:rsid w:val="00F647EE"/>
    <w:rsid w:val="00F64863"/>
    <w:rsid w:val="00F648B4"/>
    <w:rsid w:val="00F649B9"/>
    <w:rsid w:val="00F649BF"/>
    <w:rsid w:val="00F649DC"/>
    <w:rsid w:val="00F64A80"/>
    <w:rsid w:val="00F64B20"/>
    <w:rsid w:val="00F64B67"/>
    <w:rsid w:val="00F64B7F"/>
    <w:rsid w:val="00F64B86"/>
    <w:rsid w:val="00F64BA3"/>
    <w:rsid w:val="00F64C2E"/>
    <w:rsid w:val="00F64C8D"/>
    <w:rsid w:val="00F64C91"/>
    <w:rsid w:val="00F64E0E"/>
    <w:rsid w:val="00F64E95"/>
    <w:rsid w:val="00F64ECE"/>
    <w:rsid w:val="00F64ED7"/>
    <w:rsid w:val="00F64FCF"/>
    <w:rsid w:val="00F6512C"/>
    <w:rsid w:val="00F6515C"/>
    <w:rsid w:val="00F65174"/>
    <w:rsid w:val="00F651B8"/>
    <w:rsid w:val="00F65254"/>
    <w:rsid w:val="00F65260"/>
    <w:rsid w:val="00F652AF"/>
    <w:rsid w:val="00F6536E"/>
    <w:rsid w:val="00F6538B"/>
    <w:rsid w:val="00F653AC"/>
    <w:rsid w:val="00F656A2"/>
    <w:rsid w:val="00F65807"/>
    <w:rsid w:val="00F658E0"/>
    <w:rsid w:val="00F658F5"/>
    <w:rsid w:val="00F658FA"/>
    <w:rsid w:val="00F659BC"/>
    <w:rsid w:val="00F659CC"/>
    <w:rsid w:val="00F65A51"/>
    <w:rsid w:val="00F65A68"/>
    <w:rsid w:val="00F65AA6"/>
    <w:rsid w:val="00F65B07"/>
    <w:rsid w:val="00F65B58"/>
    <w:rsid w:val="00F65C78"/>
    <w:rsid w:val="00F65F83"/>
    <w:rsid w:val="00F65FBC"/>
    <w:rsid w:val="00F65FF2"/>
    <w:rsid w:val="00F66016"/>
    <w:rsid w:val="00F66057"/>
    <w:rsid w:val="00F6613C"/>
    <w:rsid w:val="00F6618E"/>
    <w:rsid w:val="00F661C5"/>
    <w:rsid w:val="00F66208"/>
    <w:rsid w:val="00F662BA"/>
    <w:rsid w:val="00F662D5"/>
    <w:rsid w:val="00F662FF"/>
    <w:rsid w:val="00F663CB"/>
    <w:rsid w:val="00F6644A"/>
    <w:rsid w:val="00F66605"/>
    <w:rsid w:val="00F666CD"/>
    <w:rsid w:val="00F6677A"/>
    <w:rsid w:val="00F66810"/>
    <w:rsid w:val="00F66854"/>
    <w:rsid w:val="00F66855"/>
    <w:rsid w:val="00F669C6"/>
    <w:rsid w:val="00F669CC"/>
    <w:rsid w:val="00F669D2"/>
    <w:rsid w:val="00F66A03"/>
    <w:rsid w:val="00F66A2E"/>
    <w:rsid w:val="00F66ACF"/>
    <w:rsid w:val="00F66BB2"/>
    <w:rsid w:val="00F66D5A"/>
    <w:rsid w:val="00F66D7F"/>
    <w:rsid w:val="00F66DDC"/>
    <w:rsid w:val="00F66DE3"/>
    <w:rsid w:val="00F66E35"/>
    <w:rsid w:val="00F66E78"/>
    <w:rsid w:val="00F66E9D"/>
    <w:rsid w:val="00F66F2A"/>
    <w:rsid w:val="00F66F79"/>
    <w:rsid w:val="00F66FAA"/>
    <w:rsid w:val="00F66FC6"/>
    <w:rsid w:val="00F66FF0"/>
    <w:rsid w:val="00F67092"/>
    <w:rsid w:val="00F670C3"/>
    <w:rsid w:val="00F670DE"/>
    <w:rsid w:val="00F671C4"/>
    <w:rsid w:val="00F671EE"/>
    <w:rsid w:val="00F67218"/>
    <w:rsid w:val="00F67221"/>
    <w:rsid w:val="00F67388"/>
    <w:rsid w:val="00F673FA"/>
    <w:rsid w:val="00F6742E"/>
    <w:rsid w:val="00F6757E"/>
    <w:rsid w:val="00F67595"/>
    <w:rsid w:val="00F676A8"/>
    <w:rsid w:val="00F676D5"/>
    <w:rsid w:val="00F677B6"/>
    <w:rsid w:val="00F67807"/>
    <w:rsid w:val="00F6781A"/>
    <w:rsid w:val="00F67863"/>
    <w:rsid w:val="00F67A8B"/>
    <w:rsid w:val="00F67B8B"/>
    <w:rsid w:val="00F67C2D"/>
    <w:rsid w:val="00F67CD9"/>
    <w:rsid w:val="00F67D0F"/>
    <w:rsid w:val="00F67D8E"/>
    <w:rsid w:val="00F67E4D"/>
    <w:rsid w:val="00F67EC6"/>
    <w:rsid w:val="00F67EE0"/>
    <w:rsid w:val="00F67EEE"/>
    <w:rsid w:val="00F67F12"/>
    <w:rsid w:val="00F67F37"/>
    <w:rsid w:val="00F67F8F"/>
    <w:rsid w:val="00F67FE6"/>
    <w:rsid w:val="00F70054"/>
    <w:rsid w:val="00F70078"/>
    <w:rsid w:val="00F7008C"/>
    <w:rsid w:val="00F7014E"/>
    <w:rsid w:val="00F70156"/>
    <w:rsid w:val="00F7020A"/>
    <w:rsid w:val="00F70271"/>
    <w:rsid w:val="00F70298"/>
    <w:rsid w:val="00F703F0"/>
    <w:rsid w:val="00F70430"/>
    <w:rsid w:val="00F70463"/>
    <w:rsid w:val="00F70546"/>
    <w:rsid w:val="00F70575"/>
    <w:rsid w:val="00F706BE"/>
    <w:rsid w:val="00F706DF"/>
    <w:rsid w:val="00F7070C"/>
    <w:rsid w:val="00F70740"/>
    <w:rsid w:val="00F70757"/>
    <w:rsid w:val="00F7075B"/>
    <w:rsid w:val="00F7083F"/>
    <w:rsid w:val="00F708A7"/>
    <w:rsid w:val="00F7097F"/>
    <w:rsid w:val="00F70C22"/>
    <w:rsid w:val="00F70CD2"/>
    <w:rsid w:val="00F70D6C"/>
    <w:rsid w:val="00F70DD7"/>
    <w:rsid w:val="00F70DFA"/>
    <w:rsid w:val="00F70E60"/>
    <w:rsid w:val="00F70F2A"/>
    <w:rsid w:val="00F70FE3"/>
    <w:rsid w:val="00F71075"/>
    <w:rsid w:val="00F710B0"/>
    <w:rsid w:val="00F71106"/>
    <w:rsid w:val="00F71117"/>
    <w:rsid w:val="00F711BD"/>
    <w:rsid w:val="00F711F6"/>
    <w:rsid w:val="00F71200"/>
    <w:rsid w:val="00F712F8"/>
    <w:rsid w:val="00F712FD"/>
    <w:rsid w:val="00F71398"/>
    <w:rsid w:val="00F713D7"/>
    <w:rsid w:val="00F713E9"/>
    <w:rsid w:val="00F715B1"/>
    <w:rsid w:val="00F715ED"/>
    <w:rsid w:val="00F71642"/>
    <w:rsid w:val="00F71644"/>
    <w:rsid w:val="00F716B6"/>
    <w:rsid w:val="00F71962"/>
    <w:rsid w:val="00F7197C"/>
    <w:rsid w:val="00F71A23"/>
    <w:rsid w:val="00F71B1B"/>
    <w:rsid w:val="00F71B91"/>
    <w:rsid w:val="00F71BB2"/>
    <w:rsid w:val="00F71BBA"/>
    <w:rsid w:val="00F71BC4"/>
    <w:rsid w:val="00F71BD7"/>
    <w:rsid w:val="00F71C0A"/>
    <w:rsid w:val="00F71C7C"/>
    <w:rsid w:val="00F71C8F"/>
    <w:rsid w:val="00F71D25"/>
    <w:rsid w:val="00F71DEC"/>
    <w:rsid w:val="00F71E3C"/>
    <w:rsid w:val="00F71E45"/>
    <w:rsid w:val="00F71E7F"/>
    <w:rsid w:val="00F71FD8"/>
    <w:rsid w:val="00F7205F"/>
    <w:rsid w:val="00F720C5"/>
    <w:rsid w:val="00F72105"/>
    <w:rsid w:val="00F72111"/>
    <w:rsid w:val="00F72246"/>
    <w:rsid w:val="00F722B4"/>
    <w:rsid w:val="00F722D7"/>
    <w:rsid w:val="00F72340"/>
    <w:rsid w:val="00F72346"/>
    <w:rsid w:val="00F7239C"/>
    <w:rsid w:val="00F72407"/>
    <w:rsid w:val="00F72416"/>
    <w:rsid w:val="00F72461"/>
    <w:rsid w:val="00F7263D"/>
    <w:rsid w:val="00F726E8"/>
    <w:rsid w:val="00F72782"/>
    <w:rsid w:val="00F72798"/>
    <w:rsid w:val="00F727A2"/>
    <w:rsid w:val="00F727D5"/>
    <w:rsid w:val="00F7282D"/>
    <w:rsid w:val="00F72832"/>
    <w:rsid w:val="00F7290F"/>
    <w:rsid w:val="00F7291D"/>
    <w:rsid w:val="00F729EC"/>
    <w:rsid w:val="00F72A4A"/>
    <w:rsid w:val="00F72A50"/>
    <w:rsid w:val="00F72AB0"/>
    <w:rsid w:val="00F72B30"/>
    <w:rsid w:val="00F72B40"/>
    <w:rsid w:val="00F72C84"/>
    <w:rsid w:val="00F72DDE"/>
    <w:rsid w:val="00F72E43"/>
    <w:rsid w:val="00F72EA5"/>
    <w:rsid w:val="00F72EDD"/>
    <w:rsid w:val="00F72FC6"/>
    <w:rsid w:val="00F72FE6"/>
    <w:rsid w:val="00F730F4"/>
    <w:rsid w:val="00F730FC"/>
    <w:rsid w:val="00F7310D"/>
    <w:rsid w:val="00F73138"/>
    <w:rsid w:val="00F731B3"/>
    <w:rsid w:val="00F731D4"/>
    <w:rsid w:val="00F73255"/>
    <w:rsid w:val="00F7325B"/>
    <w:rsid w:val="00F7334B"/>
    <w:rsid w:val="00F73371"/>
    <w:rsid w:val="00F733FD"/>
    <w:rsid w:val="00F73496"/>
    <w:rsid w:val="00F734C4"/>
    <w:rsid w:val="00F734EA"/>
    <w:rsid w:val="00F7351F"/>
    <w:rsid w:val="00F7357B"/>
    <w:rsid w:val="00F735A6"/>
    <w:rsid w:val="00F73609"/>
    <w:rsid w:val="00F73637"/>
    <w:rsid w:val="00F73665"/>
    <w:rsid w:val="00F73677"/>
    <w:rsid w:val="00F73852"/>
    <w:rsid w:val="00F73AD6"/>
    <w:rsid w:val="00F73B3B"/>
    <w:rsid w:val="00F73B9A"/>
    <w:rsid w:val="00F73BBD"/>
    <w:rsid w:val="00F73CD3"/>
    <w:rsid w:val="00F73CEA"/>
    <w:rsid w:val="00F73D33"/>
    <w:rsid w:val="00F73D88"/>
    <w:rsid w:val="00F73DA8"/>
    <w:rsid w:val="00F73E03"/>
    <w:rsid w:val="00F73E06"/>
    <w:rsid w:val="00F73E51"/>
    <w:rsid w:val="00F73EF6"/>
    <w:rsid w:val="00F73EFE"/>
    <w:rsid w:val="00F73FA4"/>
    <w:rsid w:val="00F74076"/>
    <w:rsid w:val="00F74089"/>
    <w:rsid w:val="00F74170"/>
    <w:rsid w:val="00F74180"/>
    <w:rsid w:val="00F74196"/>
    <w:rsid w:val="00F74202"/>
    <w:rsid w:val="00F74218"/>
    <w:rsid w:val="00F74262"/>
    <w:rsid w:val="00F742BE"/>
    <w:rsid w:val="00F742C7"/>
    <w:rsid w:val="00F74376"/>
    <w:rsid w:val="00F743C6"/>
    <w:rsid w:val="00F74439"/>
    <w:rsid w:val="00F7451F"/>
    <w:rsid w:val="00F746AB"/>
    <w:rsid w:val="00F74705"/>
    <w:rsid w:val="00F748CA"/>
    <w:rsid w:val="00F748F5"/>
    <w:rsid w:val="00F748FE"/>
    <w:rsid w:val="00F74911"/>
    <w:rsid w:val="00F74933"/>
    <w:rsid w:val="00F74A2D"/>
    <w:rsid w:val="00F74A42"/>
    <w:rsid w:val="00F74A90"/>
    <w:rsid w:val="00F74AB5"/>
    <w:rsid w:val="00F74B0F"/>
    <w:rsid w:val="00F74B42"/>
    <w:rsid w:val="00F74BA0"/>
    <w:rsid w:val="00F74BB2"/>
    <w:rsid w:val="00F74C0E"/>
    <w:rsid w:val="00F74C53"/>
    <w:rsid w:val="00F74C9B"/>
    <w:rsid w:val="00F74CA8"/>
    <w:rsid w:val="00F74CB7"/>
    <w:rsid w:val="00F74DC3"/>
    <w:rsid w:val="00F74DEA"/>
    <w:rsid w:val="00F74E0C"/>
    <w:rsid w:val="00F74E31"/>
    <w:rsid w:val="00F74E4E"/>
    <w:rsid w:val="00F74E89"/>
    <w:rsid w:val="00F74EBC"/>
    <w:rsid w:val="00F74EE8"/>
    <w:rsid w:val="00F7512E"/>
    <w:rsid w:val="00F75170"/>
    <w:rsid w:val="00F7527A"/>
    <w:rsid w:val="00F75294"/>
    <w:rsid w:val="00F752DF"/>
    <w:rsid w:val="00F75453"/>
    <w:rsid w:val="00F75454"/>
    <w:rsid w:val="00F754B8"/>
    <w:rsid w:val="00F75513"/>
    <w:rsid w:val="00F7555A"/>
    <w:rsid w:val="00F75584"/>
    <w:rsid w:val="00F7559D"/>
    <w:rsid w:val="00F75667"/>
    <w:rsid w:val="00F75693"/>
    <w:rsid w:val="00F756B2"/>
    <w:rsid w:val="00F7577C"/>
    <w:rsid w:val="00F757FD"/>
    <w:rsid w:val="00F75806"/>
    <w:rsid w:val="00F75883"/>
    <w:rsid w:val="00F758F1"/>
    <w:rsid w:val="00F75933"/>
    <w:rsid w:val="00F75945"/>
    <w:rsid w:val="00F75A53"/>
    <w:rsid w:val="00F75A67"/>
    <w:rsid w:val="00F75A7F"/>
    <w:rsid w:val="00F75AEC"/>
    <w:rsid w:val="00F75B02"/>
    <w:rsid w:val="00F75BBC"/>
    <w:rsid w:val="00F75BDA"/>
    <w:rsid w:val="00F75C76"/>
    <w:rsid w:val="00F75D76"/>
    <w:rsid w:val="00F75DEC"/>
    <w:rsid w:val="00F75F33"/>
    <w:rsid w:val="00F75F4E"/>
    <w:rsid w:val="00F75F6C"/>
    <w:rsid w:val="00F76191"/>
    <w:rsid w:val="00F7619A"/>
    <w:rsid w:val="00F761E5"/>
    <w:rsid w:val="00F76263"/>
    <w:rsid w:val="00F762F6"/>
    <w:rsid w:val="00F76384"/>
    <w:rsid w:val="00F76455"/>
    <w:rsid w:val="00F76486"/>
    <w:rsid w:val="00F764DD"/>
    <w:rsid w:val="00F76514"/>
    <w:rsid w:val="00F76535"/>
    <w:rsid w:val="00F765CD"/>
    <w:rsid w:val="00F765F4"/>
    <w:rsid w:val="00F76627"/>
    <w:rsid w:val="00F7662A"/>
    <w:rsid w:val="00F76657"/>
    <w:rsid w:val="00F7672D"/>
    <w:rsid w:val="00F76770"/>
    <w:rsid w:val="00F768AA"/>
    <w:rsid w:val="00F768CD"/>
    <w:rsid w:val="00F76972"/>
    <w:rsid w:val="00F76976"/>
    <w:rsid w:val="00F769E3"/>
    <w:rsid w:val="00F76AE7"/>
    <w:rsid w:val="00F76B6C"/>
    <w:rsid w:val="00F76C73"/>
    <w:rsid w:val="00F76CA3"/>
    <w:rsid w:val="00F76CB3"/>
    <w:rsid w:val="00F76DDC"/>
    <w:rsid w:val="00F76E48"/>
    <w:rsid w:val="00F76E9E"/>
    <w:rsid w:val="00F76F79"/>
    <w:rsid w:val="00F770F9"/>
    <w:rsid w:val="00F77103"/>
    <w:rsid w:val="00F77182"/>
    <w:rsid w:val="00F77322"/>
    <w:rsid w:val="00F775CC"/>
    <w:rsid w:val="00F77612"/>
    <w:rsid w:val="00F7767B"/>
    <w:rsid w:val="00F77741"/>
    <w:rsid w:val="00F77774"/>
    <w:rsid w:val="00F77795"/>
    <w:rsid w:val="00F77802"/>
    <w:rsid w:val="00F7784F"/>
    <w:rsid w:val="00F77861"/>
    <w:rsid w:val="00F77872"/>
    <w:rsid w:val="00F77898"/>
    <w:rsid w:val="00F779B4"/>
    <w:rsid w:val="00F779B7"/>
    <w:rsid w:val="00F77A4B"/>
    <w:rsid w:val="00F77A77"/>
    <w:rsid w:val="00F77B2F"/>
    <w:rsid w:val="00F77CA4"/>
    <w:rsid w:val="00F77D85"/>
    <w:rsid w:val="00F77D87"/>
    <w:rsid w:val="00F77F18"/>
    <w:rsid w:val="00F77F1C"/>
    <w:rsid w:val="00F77F1D"/>
    <w:rsid w:val="00F77F2D"/>
    <w:rsid w:val="00F77FCE"/>
    <w:rsid w:val="00F800BC"/>
    <w:rsid w:val="00F800DC"/>
    <w:rsid w:val="00F8016B"/>
    <w:rsid w:val="00F80213"/>
    <w:rsid w:val="00F8032D"/>
    <w:rsid w:val="00F8042A"/>
    <w:rsid w:val="00F804D5"/>
    <w:rsid w:val="00F804D6"/>
    <w:rsid w:val="00F804D7"/>
    <w:rsid w:val="00F805B7"/>
    <w:rsid w:val="00F805BE"/>
    <w:rsid w:val="00F8071A"/>
    <w:rsid w:val="00F8081C"/>
    <w:rsid w:val="00F80893"/>
    <w:rsid w:val="00F80910"/>
    <w:rsid w:val="00F8095E"/>
    <w:rsid w:val="00F8096A"/>
    <w:rsid w:val="00F8099D"/>
    <w:rsid w:val="00F809A2"/>
    <w:rsid w:val="00F80A1A"/>
    <w:rsid w:val="00F80A2D"/>
    <w:rsid w:val="00F80A8B"/>
    <w:rsid w:val="00F80AAC"/>
    <w:rsid w:val="00F80ACE"/>
    <w:rsid w:val="00F80B54"/>
    <w:rsid w:val="00F80B80"/>
    <w:rsid w:val="00F80B8F"/>
    <w:rsid w:val="00F80BAC"/>
    <w:rsid w:val="00F80BFD"/>
    <w:rsid w:val="00F80CE1"/>
    <w:rsid w:val="00F80D12"/>
    <w:rsid w:val="00F80FFA"/>
    <w:rsid w:val="00F81022"/>
    <w:rsid w:val="00F81159"/>
    <w:rsid w:val="00F811F0"/>
    <w:rsid w:val="00F811F3"/>
    <w:rsid w:val="00F81244"/>
    <w:rsid w:val="00F8125F"/>
    <w:rsid w:val="00F812AE"/>
    <w:rsid w:val="00F814AD"/>
    <w:rsid w:val="00F814CF"/>
    <w:rsid w:val="00F8151C"/>
    <w:rsid w:val="00F8151F"/>
    <w:rsid w:val="00F8153C"/>
    <w:rsid w:val="00F8154C"/>
    <w:rsid w:val="00F815E5"/>
    <w:rsid w:val="00F81645"/>
    <w:rsid w:val="00F81669"/>
    <w:rsid w:val="00F8167B"/>
    <w:rsid w:val="00F817FB"/>
    <w:rsid w:val="00F8182E"/>
    <w:rsid w:val="00F81894"/>
    <w:rsid w:val="00F818FE"/>
    <w:rsid w:val="00F8192B"/>
    <w:rsid w:val="00F81955"/>
    <w:rsid w:val="00F819B2"/>
    <w:rsid w:val="00F81A28"/>
    <w:rsid w:val="00F81A75"/>
    <w:rsid w:val="00F81B91"/>
    <w:rsid w:val="00F81BE2"/>
    <w:rsid w:val="00F81BEF"/>
    <w:rsid w:val="00F81CCB"/>
    <w:rsid w:val="00F81CD3"/>
    <w:rsid w:val="00F81CE2"/>
    <w:rsid w:val="00F81D3C"/>
    <w:rsid w:val="00F81D6D"/>
    <w:rsid w:val="00F81EEC"/>
    <w:rsid w:val="00F82009"/>
    <w:rsid w:val="00F8205C"/>
    <w:rsid w:val="00F82078"/>
    <w:rsid w:val="00F82117"/>
    <w:rsid w:val="00F8218B"/>
    <w:rsid w:val="00F82195"/>
    <w:rsid w:val="00F82238"/>
    <w:rsid w:val="00F82242"/>
    <w:rsid w:val="00F8227B"/>
    <w:rsid w:val="00F822B8"/>
    <w:rsid w:val="00F82328"/>
    <w:rsid w:val="00F82453"/>
    <w:rsid w:val="00F824B6"/>
    <w:rsid w:val="00F824D3"/>
    <w:rsid w:val="00F824D5"/>
    <w:rsid w:val="00F82514"/>
    <w:rsid w:val="00F82538"/>
    <w:rsid w:val="00F8263C"/>
    <w:rsid w:val="00F82667"/>
    <w:rsid w:val="00F826A1"/>
    <w:rsid w:val="00F826FF"/>
    <w:rsid w:val="00F8299C"/>
    <w:rsid w:val="00F829B6"/>
    <w:rsid w:val="00F829B8"/>
    <w:rsid w:val="00F82A31"/>
    <w:rsid w:val="00F82A57"/>
    <w:rsid w:val="00F82A86"/>
    <w:rsid w:val="00F82AD2"/>
    <w:rsid w:val="00F82AEA"/>
    <w:rsid w:val="00F82BC5"/>
    <w:rsid w:val="00F82C7C"/>
    <w:rsid w:val="00F82CBC"/>
    <w:rsid w:val="00F82D7A"/>
    <w:rsid w:val="00F82DA8"/>
    <w:rsid w:val="00F82DF9"/>
    <w:rsid w:val="00F82EA8"/>
    <w:rsid w:val="00F82FD5"/>
    <w:rsid w:val="00F8307B"/>
    <w:rsid w:val="00F8309E"/>
    <w:rsid w:val="00F8328D"/>
    <w:rsid w:val="00F8329D"/>
    <w:rsid w:val="00F832AB"/>
    <w:rsid w:val="00F83439"/>
    <w:rsid w:val="00F83461"/>
    <w:rsid w:val="00F834EF"/>
    <w:rsid w:val="00F834F0"/>
    <w:rsid w:val="00F8351C"/>
    <w:rsid w:val="00F8352A"/>
    <w:rsid w:val="00F83579"/>
    <w:rsid w:val="00F83590"/>
    <w:rsid w:val="00F835AE"/>
    <w:rsid w:val="00F835F9"/>
    <w:rsid w:val="00F8365A"/>
    <w:rsid w:val="00F8377A"/>
    <w:rsid w:val="00F837EA"/>
    <w:rsid w:val="00F837FB"/>
    <w:rsid w:val="00F838BF"/>
    <w:rsid w:val="00F8395E"/>
    <w:rsid w:val="00F83B33"/>
    <w:rsid w:val="00F83C86"/>
    <w:rsid w:val="00F83C89"/>
    <w:rsid w:val="00F83D52"/>
    <w:rsid w:val="00F83DB1"/>
    <w:rsid w:val="00F83E36"/>
    <w:rsid w:val="00F83E3A"/>
    <w:rsid w:val="00F83EF5"/>
    <w:rsid w:val="00F83F1C"/>
    <w:rsid w:val="00F83F7C"/>
    <w:rsid w:val="00F83F9B"/>
    <w:rsid w:val="00F84006"/>
    <w:rsid w:val="00F84030"/>
    <w:rsid w:val="00F8405F"/>
    <w:rsid w:val="00F84061"/>
    <w:rsid w:val="00F84090"/>
    <w:rsid w:val="00F840A3"/>
    <w:rsid w:val="00F840C0"/>
    <w:rsid w:val="00F84123"/>
    <w:rsid w:val="00F84152"/>
    <w:rsid w:val="00F8415A"/>
    <w:rsid w:val="00F841E1"/>
    <w:rsid w:val="00F84243"/>
    <w:rsid w:val="00F842ED"/>
    <w:rsid w:val="00F843DE"/>
    <w:rsid w:val="00F844AC"/>
    <w:rsid w:val="00F84570"/>
    <w:rsid w:val="00F845E6"/>
    <w:rsid w:val="00F84614"/>
    <w:rsid w:val="00F84616"/>
    <w:rsid w:val="00F847BB"/>
    <w:rsid w:val="00F847BC"/>
    <w:rsid w:val="00F84831"/>
    <w:rsid w:val="00F8491E"/>
    <w:rsid w:val="00F84974"/>
    <w:rsid w:val="00F849A4"/>
    <w:rsid w:val="00F849FD"/>
    <w:rsid w:val="00F84B3A"/>
    <w:rsid w:val="00F84BE4"/>
    <w:rsid w:val="00F84C60"/>
    <w:rsid w:val="00F84D2D"/>
    <w:rsid w:val="00F84D78"/>
    <w:rsid w:val="00F84DB9"/>
    <w:rsid w:val="00F84DD2"/>
    <w:rsid w:val="00F84E44"/>
    <w:rsid w:val="00F84EAA"/>
    <w:rsid w:val="00F84EF2"/>
    <w:rsid w:val="00F84F3E"/>
    <w:rsid w:val="00F84F6B"/>
    <w:rsid w:val="00F84FC9"/>
    <w:rsid w:val="00F84FCB"/>
    <w:rsid w:val="00F85086"/>
    <w:rsid w:val="00F850E1"/>
    <w:rsid w:val="00F850E8"/>
    <w:rsid w:val="00F850F4"/>
    <w:rsid w:val="00F85290"/>
    <w:rsid w:val="00F852BA"/>
    <w:rsid w:val="00F85358"/>
    <w:rsid w:val="00F85432"/>
    <w:rsid w:val="00F8543D"/>
    <w:rsid w:val="00F8545E"/>
    <w:rsid w:val="00F8546C"/>
    <w:rsid w:val="00F8546D"/>
    <w:rsid w:val="00F8547F"/>
    <w:rsid w:val="00F854E2"/>
    <w:rsid w:val="00F854FB"/>
    <w:rsid w:val="00F85526"/>
    <w:rsid w:val="00F85527"/>
    <w:rsid w:val="00F8564D"/>
    <w:rsid w:val="00F856BF"/>
    <w:rsid w:val="00F8576C"/>
    <w:rsid w:val="00F8579E"/>
    <w:rsid w:val="00F857DA"/>
    <w:rsid w:val="00F8581A"/>
    <w:rsid w:val="00F8581F"/>
    <w:rsid w:val="00F858E8"/>
    <w:rsid w:val="00F8597C"/>
    <w:rsid w:val="00F85A0E"/>
    <w:rsid w:val="00F85C14"/>
    <w:rsid w:val="00F85CB3"/>
    <w:rsid w:val="00F85E06"/>
    <w:rsid w:val="00F85EA8"/>
    <w:rsid w:val="00F85EEA"/>
    <w:rsid w:val="00F85FE4"/>
    <w:rsid w:val="00F86068"/>
    <w:rsid w:val="00F860E9"/>
    <w:rsid w:val="00F8612F"/>
    <w:rsid w:val="00F86160"/>
    <w:rsid w:val="00F86186"/>
    <w:rsid w:val="00F861D0"/>
    <w:rsid w:val="00F861D5"/>
    <w:rsid w:val="00F8623F"/>
    <w:rsid w:val="00F862DE"/>
    <w:rsid w:val="00F862E1"/>
    <w:rsid w:val="00F86329"/>
    <w:rsid w:val="00F8637F"/>
    <w:rsid w:val="00F863E0"/>
    <w:rsid w:val="00F864AB"/>
    <w:rsid w:val="00F865B6"/>
    <w:rsid w:val="00F8661F"/>
    <w:rsid w:val="00F86628"/>
    <w:rsid w:val="00F86659"/>
    <w:rsid w:val="00F868C2"/>
    <w:rsid w:val="00F869C4"/>
    <w:rsid w:val="00F86A35"/>
    <w:rsid w:val="00F86A6E"/>
    <w:rsid w:val="00F86B24"/>
    <w:rsid w:val="00F86B4A"/>
    <w:rsid w:val="00F86BFF"/>
    <w:rsid w:val="00F86C52"/>
    <w:rsid w:val="00F86C8D"/>
    <w:rsid w:val="00F86D0C"/>
    <w:rsid w:val="00F86D43"/>
    <w:rsid w:val="00F86E2C"/>
    <w:rsid w:val="00F86FA3"/>
    <w:rsid w:val="00F86FB3"/>
    <w:rsid w:val="00F8702F"/>
    <w:rsid w:val="00F87119"/>
    <w:rsid w:val="00F87210"/>
    <w:rsid w:val="00F87287"/>
    <w:rsid w:val="00F873AC"/>
    <w:rsid w:val="00F87452"/>
    <w:rsid w:val="00F8748D"/>
    <w:rsid w:val="00F874D6"/>
    <w:rsid w:val="00F874E3"/>
    <w:rsid w:val="00F87525"/>
    <w:rsid w:val="00F87575"/>
    <w:rsid w:val="00F8759F"/>
    <w:rsid w:val="00F875C3"/>
    <w:rsid w:val="00F875EA"/>
    <w:rsid w:val="00F875F1"/>
    <w:rsid w:val="00F87697"/>
    <w:rsid w:val="00F8776E"/>
    <w:rsid w:val="00F878CD"/>
    <w:rsid w:val="00F878DB"/>
    <w:rsid w:val="00F878E6"/>
    <w:rsid w:val="00F8798A"/>
    <w:rsid w:val="00F87A21"/>
    <w:rsid w:val="00F87B23"/>
    <w:rsid w:val="00F87C2A"/>
    <w:rsid w:val="00F87CC7"/>
    <w:rsid w:val="00F87D52"/>
    <w:rsid w:val="00F87DE8"/>
    <w:rsid w:val="00F87DFC"/>
    <w:rsid w:val="00F87E40"/>
    <w:rsid w:val="00F87E68"/>
    <w:rsid w:val="00F87ED0"/>
    <w:rsid w:val="00F87F0A"/>
    <w:rsid w:val="00F87F1E"/>
    <w:rsid w:val="00F87F50"/>
    <w:rsid w:val="00F9001A"/>
    <w:rsid w:val="00F9001D"/>
    <w:rsid w:val="00F9004E"/>
    <w:rsid w:val="00F9011D"/>
    <w:rsid w:val="00F9013A"/>
    <w:rsid w:val="00F9017E"/>
    <w:rsid w:val="00F9018A"/>
    <w:rsid w:val="00F90283"/>
    <w:rsid w:val="00F90324"/>
    <w:rsid w:val="00F90340"/>
    <w:rsid w:val="00F9036D"/>
    <w:rsid w:val="00F9037C"/>
    <w:rsid w:val="00F90413"/>
    <w:rsid w:val="00F904CB"/>
    <w:rsid w:val="00F904FC"/>
    <w:rsid w:val="00F90599"/>
    <w:rsid w:val="00F905FA"/>
    <w:rsid w:val="00F905FD"/>
    <w:rsid w:val="00F9064D"/>
    <w:rsid w:val="00F906DE"/>
    <w:rsid w:val="00F90775"/>
    <w:rsid w:val="00F907B8"/>
    <w:rsid w:val="00F909EF"/>
    <w:rsid w:val="00F90B19"/>
    <w:rsid w:val="00F90B4A"/>
    <w:rsid w:val="00F90B6C"/>
    <w:rsid w:val="00F90B6F"/>
    <w:rsid w:val="00F90BB8"/>
    <w:rsid w:val="00F90DCE"/>
    <w:rsid w:val="00F90E3C"/>
    <w:rsid w:val="00F90E53"/>
    <w:rsid w:val="00F90E7F"/>
    <w:rsid w:val="00F90EBA"/>
    <w:rsid w:val="00F90EF8"/>
    <w:rsid w:val="00F90EFA"/>
    <w:rsid w:val="00F90F19"/>
    <w:rsid w:val="00F90F4D"/>
    <w:rsid w:val="00F90F73"/>
    <w:rsid w:val="00F9100B"/>
    <w:rsid w:val="00F91024"/>
    <w:rsid w:val="00F91092"/>
    <w:rsid w:val="00F9109D"/>
    <w:rsid w:val="00F91144"/>
    <w:rsid w:val="00F9121A"/>
    <w:rsid w:val="00F91234"/>
    <w:rsid w:val="00F91262"/>
    <w:rsid w:val="00F91274"/>
    <w:rsid w:val="00F912B4"/>
    <w:rsid w:val="00F9130C"/>
    <w:rsid w:val="00F9134A"/>
    <w:rsid w:val="00F9137B"/>
    <w:rsid w:val="00F913B1"/>
    <w:rsid w:val="00F913CD"/>
    <w:rsid w:val="00F91490"/>
    <w:rsid w:val="00F9155C"/>
    <w:rsid w:val="00F916A3"/>
    <w:rsid w:val="00F91742"/>
    <w:rsid w:val="00F9176E"/>
    <w:rsid w:val="00F917AA"/>
    <w:rsid w:val="00F91808"/>
    <w:rsid w:val="00F91853"/>
    <w:rsid w:val="00F9189D"/>
    <w:rsid w:val="00F918C2"/>
    <w:rsid w:val="00F918EC"/>
    <w:rsid w:val="00F91916"/>
    <w:rsid w:val="00F91933"/>
    <w:rsid w:val="00F919BE"/>
    <w:rsid w:val="00F91B15"/>
    <w:rsid w:val="00F91BED"/>
    <w:rsid w:val="00F91D5F"/>
    <w:rsid w:val="00F91D9E"/>
    <w:rsid w:val="00F91DEF"/>
    <w:rsid w:val="00F91E50"/>
    <w:rsid w:val="00F91E52"/>
    <w:rsid w:val="00F91E96"/>
    <w:rsid w:val="00F91EDE"/>
    <w:rsid w:val="00F92044"/>
    <w:rsid w:val="00F9205A"/>
    <w:rsid w:val="00F92250"/>
    <w:rsid w:val="00F92265"/>
    <w:rsid w:val="00F92284"/>
    <w:rsid w:val="00F922B2"/>
    <w:rsid w:val="00F923FE"/>
    <w:rsid w:val="00F9242A"/>
    <w:rsid w:val="00F924B3"/>
    <w:rsid w:val="00F925E5"/>
    <w:rsid w:val="00F9265A"/>
    <w:rsid w:val="00F9266E"/>
    <w:rsid w:val="00F92803"/>
    <w:rsid w:val="00F92833"/>
    <w:rsid w:val="00F9286E"/>
    <w:rsid w:val="00F928F6"/>
    <w:rsid w:val="00F92902"/>
    <w:rsid w:val="00F92927"/>
    <w:rsid w:val="00F9294F"/>
    <w:rsid w:val="00F929C1"/>
    <w:rsid w:val="00F92B41"/>
    <w:rsid w:val="00F92BCB"/>
    <w:rsid w:val="00F92C1B"/>
    <w:rsid w:val="00F92C46"/>
    <w:rsid w:val="00F92CA4"/>
    <w:rsid w:val="00F92CCD"/>
    <w:rsid w:val="00F92D2A"/>
    <w:rsid w:val="00F92E43"/>
    <w:rsid w:val="00F92F20"/>
    <w:rsid w:val="00F93060"/>
    <w:rsid w:val="00F93074"/>
    <w:rsid w:val="00F9309B"/>
    <w:rsid w:val="00F930C9"/>
    <w:rsid w:val="00F9313B"/>
    <w:rsid w:val="00F9314D"/>
    <w:rsid w:val="00F9314F"/>
    <w:rsid w:val="00F93253"/>
    <w:rsid w:val="00F9330C"/>
    <w:rsid w:val="00F93384"/>
    <w:rsid w:val="00F93388"/>
    <w:rsid w:val="00F933C4"/>
    <w:rsid w:val="00F933D0"/>
    <w:rsid w:val="00F93451"/>
    <w:rsid w:val="00F934A7"/>
    <w:rsid w:val="00F93516"/>
    <w:rsid w:val="00F936C1"/>
    <w:rsid w:val="00F93713"/>
    <w:rsid w:val="00F937C0"/>
    <w:rsid w:val="00F93862"/>
    <w:rsid w:val="00F93895"/>
    <w:rsid w:val="00F938A6"/>
    <w:rsid w:val="00F938BF"/>
    <w:rsid w:val="00F938F8"/>
    <w:rsid w:val="00F93902"/>
    <w:rsid w:val="00F9390A"/>
    <w:rsid w:val="00F939EC"/>
    <w:rsid w:val="00F93B78"/>
    <w:rsid w:val="00F93B96"/>
    <w:rsid w:val="00F93BC3"/>
    <w:rsid w:val="00F93C12"/>
    <w:rsid w:val="00F93D73"/>
    <w:rsid w:val="00F93D9A"/>
    <w:rsid w:val="00F93DED"/>
    <w:rsid w:val="00F93E1E"/>
    <w:rsid w:val="00F93E3B"/>
    <w:rsid w:val="00F93E6A"/>
    <w:rsid w:val="00F93E8C"/>
    <w:rsid w:val="00F93F63"/>
    <w:rsid w:val="00F9404E"/>
    <w:rsid w:val="00F94059"/>
    <w:rsid w:val="00F94176"/>
    <w:rsid w:val="00F941BE"/>
    <w:rsid w:val="00F94317"/>
    <w:rsid w:val="00F9432F"/>
    <w:rsid w:val="00F943B7"/>
    <w:rsid w:val="00F94437"/>
    <w:rsid w:val="00F94455"/>
    <w:rsid w:val="00F944AF"/>
    <w:rsid w:val="00F945F0"/>
    <w:rsid w:val="00F9464D"/>
    <w:rsid w:val="00F94667"/>
    <w:rsid w:val="00F946BF"/>
    <w:rsid w:val="00F94714"/>
    <w:rsid w:val="00F9485B"/>
    <w:rsid w:val="00F94938"/>
    <w:rsid w:val="00F9495A"/>
    <w:rsid w:val="00F9499A"/>
    <w:rsid w:val="00F949A3"/>
    <w:rsid w:val="00F94A1F"/>
    <w:rsid w:val="00F94A52"/>
    <w:rsid w:val="00F94A73"/>
    <w:rsid w:val="00F94BDF"/>
    <w:rsid w:val="00F94BE4"/>
    <w:rsid w:val="00F94C56"/>
    <w:rsid w:val="00F94C90"/>
    <w:rsid w:val="00F94CDC"/>
    <w:rsid w:val="00F94E1D"/>
    <w:rsid w:val="00F94E58"/>
    <w:rsid w:val="00F94F10"/>
    <w:rsid w:val="00F94F22"/>
    <w:rsid w:val="00F94F2C"/>
    <w:rsid w:val="00F94F4E"/>
    <w:rsid w:val="00F94F5A"/>
    <w:rsid w:val="00F94F84"/>
    <w:rsid w:val="00F950E3"/>
    <w:rsid w:val="00F95113"/>
    <w:rsid w:val="00F9516C"/>
    <w:rsid w:val="00F95209"/>
    <w:rsid w:val="00F952BD"/>
    <w:rsid w:val="00F9533D"/>
    <w:rsid w:val="00F95382"/>
    <w:rsid w:val="00F953D8"/>
    <w:rsid w:val="00F953F6"/>
    <w:rsid w:val="00F9542A"/>
    <w:rsid w:val="00F954CA"/>
    <w:rsid w:val="00F9559A"/>
    <w:rsid w:val="00F955F5"/>
    <w:rsid w:val="00F95635"/>
    <w:rsid w:val="00F956D9"/>
    <w:rsid w:val="00F956E5"/>
    <w:rsid w:val="00F95705"/>
    <w:rsid w:val="00F95768"/>
    <w:rsid w:val="00F957A8"/>
    <w:rsid w:val="00F958D0"/>
    <w:rsid w:val="00F958D5"/>
    <w:rsid w:val="00F95903"/>
    <w:rsid w:val="00F9592D"/>
    <w:rsid w:val="00F9595A"/>
    <w:rsid w:val="00F95ABD"/>
    <w:rsid w:val="00F95B40"/>
    <w:rsid w:val="00F95B44"/>
    <w:rsid w:val="00F95B63"/>
    <w:rsid w:val="00F95BE9"/>
    <w:rsid w:val="00F95CC2"/>
    <w:rsid w:val="00F95E35"/>
    <w:rsid w:val="00F95E90"/>
    <w:rsid w:val="00F95EDE"/>
    <w:rsid w:val="00F95EE9"/>
    <w:rsid w:val="00F96058"/>
    <w:rsid w:val="00F96082"/>
    <w:rsid w:val="00F960A4"/>
    <w:rsid w:val="00F960D5"/>
    <w:rsid w:val="00F96101"/>
    <w:rsid w:val="00F961C6"/>
    <w:rsid w:val="00F961D1"/>
    <w:rsid w:val="00F962FA"/>
    <w:rsid w:val="00F962FD"/>
    <w:rsid w:val="00F9636B"/>
    <w:rsid w:val="00F9636D"/>
    <w:rsid w:val="00F96453"/>
    <w:rsid w:val="00F96473"/>
    <w:rsid w:val="00F964B7"/>
    <w:rsid w:val="00F964CD"/>
    <w:rsid w:val="00F964E3"/>
    <w:rsid w:val="00F964FF"/>
    <w:rsid w:val="00F96519"/>
    <w:rsid w:val="00F965DB"/>
    <w:rsid w:val="00F965FA"/>
    <w:rsid w:val="00F9669E"/>
    <w:rsid w:val="00F9676B"/>
    <w:rsid w:val="00F9678D"/>
    <w:rsid w:val="00F9679D"/>
    <w:rsid w:val="00F96829"/>
    <w:rsid w:val="00F96969"/>
    <w:rsid w:val="00F96A03"/>
    <w:rsid w:val="00F96A2F"/>
    <w:rsid w:val="00F96C04"/>
    <w:rsid w:val="00F96C20"/>
    <w:rsid w:val="00F96CD0"/>
    <w:rsid w:val="00F96CF4"/>
    <w:rsid w:val="00F96D67"/>
    <w:rsid w:val="00F96D85"/>
    <w:rsid w:val="00F96DB9"/>
    <w:rsid w:val="00F96EA9"/>
    <w:rsid w:val="00F96EC1"/>
    <w:rsid w:val="00F96F5A"/>
    <w:rsid w:val="00F97021"/>
    <w:rsid w:val="00F9703F"/>
    <w:rsid w:val="00F9704B"/>
    <w:rsid w:val="00F970AE"/>
    <w:rsid w:val="00F97118"/>
    <w:rsid w:val="00F9714F"/>
    <w:rsid w:val="00F97222"/>
    <w:rsid w:val="00F9747D"/>
    <w:rsid w:val="00F974E8"/>
    <w:rsid w:val="00F975FD"/>
    <w:rsid w:val="00F97692"/>
    <w:rsid w:val="00F976F6"/>
    <w:rsid w:val="00F97750"/>
    <w:rsid w:val="00F97758"/>
    <w:rsid w:val="00F97759"/>
    <w:rsid w:val="00F97763"/>
    <w:rsid w:val="00F977EF"/>
    <w:rsid w:val="00F9781F"/>
    <w:rsid w:val="00F9789E"/>
    <w:rsid w:val="00F97906"/>
    <w:rsid w:val="00F97937"/>
    <w:rsid w:val="00F9799C"/>
    <w:rsid w:val="00F979A6"/>
    <w:rsid w:val="00F979FA"/>
    <w:rsid w:val="00F97A00"/>
    <w:rsid w:val="00F97A20"/>
    <w:rsid w:val="00F97A78"/>
    <w:rsid w:val="00F97B17"/>
    <w:rsid w:val="00F97B5D"/>
    <w:rsid w:val="00F97B64"/>
    <w:rsid w:val="00F97C8B"/>
    <w:rsid w:val="00F97CE1"/>
    <w:rsid w:val="00F97D00"/>
    <w:rsid w:val="00F97D83"/>
    <w:rsid w:val="00F97DE7"/>
    <w:rsid w:val="00F97E21"/>
    <w:rsid w:val="00F97E83"/>
    <w:rsid w:val="00F97F1B"/>
    <w:rsid w:val="00F97F1E"/>
    <w:rsid w:val="00F97FD3"/>
    <w:rsid w:val="00FA0019"/>
    <w:rsid w:val="00FA016F"/>
    <w:rsid w:val="00FA024E"/>
    <w:rsid w:val="00FA0339"/>
    <w:rsid w:val="00FA0350"/>
    <w:rsid w:val="00FA035D"/>
    <w:rsid w:val="00FA0434"/>
    <w:rsid w:val="00FA0479"/>
    <w:rsid w:val="00FA047D"/>
    <w:rsid w:val="00FA051C"/>
    <w:rsid w:val="00FA0563"/>
    <w:rsid w:val="00FA0583"/>
    <w:rsid w:val="00FA06F7"/>
    <w:rsid w:val="00FA07DD"/>
    <w:rsid w:val="00FA0870"/>
    <w:rsid w:val="00FA0882"/>
    <w:rsid w:val="00FA0892"/>
    <w:rsid w:val="00FA09C1"/>
    <w:rsid w:val="00FA09CC"/>
    <w:rsid w:val="00FA09F3"/>
    <w:rsid w:val="00FA0A2F"/>
    <w:rsid w:val="00FA0AF9"/>
    <w:rsid w:val="00FA0BE2"/>
    <w:rsid w:val="00FA0C82"/>
    <w:rsid w:val="00FA0D6B"/>
    <w:rsid w:val="00FA0D73"/>
    <w:rsid w:val="00FA0DA0"/>
    <w:rsid w:val="00FA0DAA"/>
    <w:rsid w:val="00FA0E1D"/>
    <w:rsid w:val="00FA0F46"/>
    <w:rsid w:val="00FA0FDC"/>
    <w:rsid w:val="00FA1090"/>
    <w:rsid w:val="00FA10CA"/>
    <w:rsid w:val="00FA10CB"/>
    <w:rsid w:val="00FA10ED"/>
    <w:rsid w:val="00FA1153"/>
    <w:rsid w:val="00FA117B"/>
    <w:rsid w:val="00FA1187"/>
    <w:rsid w:val="00FA119A"/>
    <w:rsid w:val="00FA119F"/>
    <w:rsid w:val="00FA11DB"/>
    <w:rsid w:val="00FA12F9"/>
    <w:rsid w:val="00FA1309"/>
    <w:rsid w:val="00FA1446"/>
    <w:rsid w:val="00FA14CF"/>
    <w:rsid w:val="00FA14E2"/>
    <w:rsid w:val="00FA154E"/>
    <w:rsid w:val="00FA15A8"/>
    <w:rsid w:val="00FA15C3"/>
    <w:rsid w:val="00FA15E8"/>
    <w:rsid w:val="00FA160D"/>
    <w:rsid w:val="00FA1621"/>
    <w:rsid w:val="00FA16CB"/>
    <w:rsid w:val="00FA172A"/>
    <w:rsid w:val="00FA1753"/>
    <w:rsid w:val="00FA1806"/>
    <w:rsid w:val="00FA184E"/>
    <w:rsid w:val="00FA18F9"/>
    <w:rsid w:val="00FA1901"/>
    <w:rsid w:val="00FA194B"/>
    <w:rsid w:val="00FA1991"/>
    <w:rsid w:val="00FA1A86"/>
    <w:rsid w:val="00FA1BC9"/>
    <w:rsid w:val="00FA1C75"/>
    <w:rsid w:val="00FA1C85"/>
    <w:rsid w:val="00FA1DD3"/>
    <w:rsid w:val="00FA1E82"/>
    <w:rsid w:val="00FA1F4D"/>
    <w:rsid w:val="00FA1F7B"/>
    <w:rsid w:val="00FA1FE7"/>
    <w:rsid w:val="00FA20A7"/>
    <w:rsid w:val="00FA220B"/>
    <w:rsid w:val="00FA221C"/>
    <w:rsid w:val="00FA22A8"/>
    <w:rsid w:val="00FA2372"/>
    <w:rsid w:val="00FA2380"/>
    <w:rsid w:val="00FA243D"/>
    <w:rsid w:val="00FA251E"/>
    <w:rsid w:val="00FA253C"/>
    <w:rsid w:val="00FA253E"/>
    <w:rsid w:val="00FA2594"/>
    <w:rsid w:val="00FA259E"/>
    <w:rsid w:val="00FA25B2"/>
    <w:rsid w:val="00FA26DC"/>
    <w:rsid w:val="00FA26FE"/>
    <w:rsid w:val="00FA274F"/>
    <w:rsid w:val="00FA2826"/>
    <w:rsid w:val="00FA28B5"/>
    <w:rsid w:val="00FA295D"/>
    <w:rsid w:val="00FA2963"/>
    <w:rsid w:val="00FA2990"/>
    <w:rsid w:val="00FA29E7"/>
    <w:rsid w:val="00FA2ADD"/>
    <w:rsid w:val="00FA2B52"/>
    <w:rsid w:val="00FA2B9B"/>
    <w:rsid w:val="00FA2BA6"/>
    <w:rsid w:val="00FA2C2E"/>
    <w:rsid w:val="00FA2C9E"/>
    <w:rsid w:val="00FA2D33"/>
    <w:rsid w:val="00FA2D45"/>
    <w:rsid w:val="00FA2D87"/>
    <w:rsid w:val="00FA2DC6"/>
    <w:rsid w:val="00FA2DD0"/>
    <w:rsid w:val="00FA2DED"/>
    <w:rsid w:val="00FA2E35"/>
    <w:rsid w:val="00FA2E9A"/>
    <w:rsid w:val="00FA2EDE"/>
    <w:rsid w:val="00FA2EF7"/>
    <w:rsid w:val="00FA3020"/>
    <w:rsid w:val="00FA30BF"/>
    <w:rsid w:val="00FA30CE"/>
    <w:rsid w:val="00FA3285"/>
    <w:rsid w:val="00FA3289"/>
    <w:rsid w:val="00FA345F"/>
    <w:rsid w:val="00FA34C6"/>
    <w:rsid w:val="00FA361F"/>
    <w:rsid w:val="00FA36A1"/>
    <w:rsid w:val="00FA3703"/>
    <w:rsid w:val="00FA370B"/>
    <w:rsid w:val="00FA37A3"/>
    <w:rsid w:val="00FA37BB"/>
    <w:rsid w:val="00FA37BE"/>
    <w:rsid w:val="00FA3821"/>
    <w:rsid w:val="00FA3865"/>
    <w:rsid w:val="00FA38BA"/>
    <w:rsid w:val="00FA38D2"/>
    <w:rsid w:val="00FA39A6"/>
    <w:rsid w:val="00FA3A28"/>
    <w:rsid w:val="00FA3ABD"/>
    <w:rsid w:val="00FA3B62"/>
    <w:rsid w:val="00FA3BA4"/>
    <w:rsid w:val="00FA3C6C"/>
    <w:rsid w:val="00FA3C9A"/>
    <w:rsid w:val="00FA3CBF"/>
    <w:rsid w:val="00FA3CFC"/>
    <w:rsid w:val="00FA3E80"/>
    <w:rsid w:val="00FA3EAD"/>
    <w:rsid w:val="00FA3ECC"/>
    <w:rsid w:val="00FA3ED6"/>
    <w:rsid w:val="00FA3F07"/>
    <w:rsid w:val="00FA3F40"/>
    <w:rsid w:val="00FA40BD"/>
    <w:rsid w:val="00FA4110"/>
    <w:rsid w:val="00FA412D"/>
    <w:rsid w:val="00FA416E"/>
    <w:rsid w:val="00FA419D"/>
    <w:rsid w:val="00FA4310"/>
    <w:rsid w:val="00FA434D"/>
    <w:rsid w:val="00FA43B6"/>
    <w:rsid w:val="00FA44C3"/>
    <w:rsid w:val="00FA450F"/>
    <w:rsid w:val="00FA4533"/>
    <w:rsid w:val="00FA4589"/>
    <w:rsid w:val="00FA4647"/>
    <w:rsid w:val="00FA4684"/>
    <w:rsid w:val="00FA46CC"/>
    <w:rsid w:val="00FA48A3"/>
    <w:rsid w:val="00FA4928"/>
    <w:rsid w:val="00FA4ABC"/>
    <w:rsid w:val="00FA4AC4"/>
    <w:rsid w:val="00FA4D03"/>
    <w:rsid w:val="00FA4D18"/>
    <w:rsid w:val="00FA4E58"/>
    <w:rsid w:val="00FA4ED4"/>
    <w:rsid w:val="00FA4EF7"/>
    <w:rsid w:val="00FA4F35"/>
    <w:rsid w:val="00FA4F89"/>
    <w:rsid w:val="00FA4F93"/>
    <w:rsid w:val="00FA5001"/>
    <w:rsid w:val="00FA5015"/>
    <w:rsid w:val="00FA5064"/>
    <w:rsid w:val="00FA5110"/>
    <w:rsid w:val="00FA517D"/>
    <w:rsid w:val="00FA51EC"/>
    <w:rsid w:val="00FA5283"/>
    <w:rsid w:val="00FA52A2"/>
    <w:rsid w:val="00FA532D"/>
    <w:rsid w:val="00FA53ED"/>
    <w:rsid w:val="00FA5420"/>
    <w:rsid w:val="00FA544C"/>
    <w:rsid w:val="00FA5458"/>
    <w:rsid w:val="00FA546F"/>
    <w:rsid w:val="00FA548F"/>
    <w:rsid w:val="00FA54B6"/>
    <w:rsid w:val="00FA55FC"/>
    <w:rsid w:val="00FA56AA"/>
    <w:rsid w:val="00FA56FE"/>
    <w:rsid w:val="00FA5719"/>
    <w:rsid w:val="00FA5869"/>
    <w:rsid w:val="00FA58B6"/>
    <w:rsid w:val="00FA58F8"/>
    <w:rsid w:val="00FA5903"/>
    <w:rsid w:val="00FA59D3"/>
    <w:rsid w:val="00FA59E0"/>
    <w:rsid w:val="00FA59E8"/>
    <w:rsid w:val="00FA5BC6"/>
    <w:rsid w:val="00FA5BDB"/>
    <w:rsid w:val="00FA5CCB"/>
    <w:rsid w:val="00FA5CDE"/>
    <w:rsid w:val="00FA5DED"/>
    <w:rsid w:val="00FA5F04"/>
    <w:rsid w:val="00FA6097"/>
    <w:rsid w:val="00FA6113"/>
    <w:rsid w:val="00FA611A"/>
    <w:rsid w:val="00FA6120"/>
    <w:rsid w:val="00FA6175"/>
    <w:rsid w:val="00FA6289"/>
    <w:rsid w:val="00FA6304"/>
    <w:rsid w:val="00FA63DE"/>
    <w:rsid w:val="00FA644D"/>
    <w:rsid w:val="00FA64A6"/>
    <w:rsid w:val="00FA64BE"/>
    <w:rsid w:val="00FA6503"/>
    <w:rsid w:val="00FA6549"/>
    <w:rsid w:val="00FA655F"/>
    <w:rsid w:val="00FA6615"/>
    <w:rsid w:val="00FA666B"/>
    <w:rsid w:val="00FA6775"/>
    <w:rsid w:val="00FA6783"/>
    <w:rsid w:val="00FA679F"/>
    <w:rsid w:val="00FA69FE"/>
    <w:rsid w:val="00FA6AAD"/>
    <w:rsid w:val="00FA6B1C"/>
    <w:rsid w:val="00FA6B6C"/>
    <w:rsid w:val="00FA6BDC"/>
    <w:rsid w:val="00FA6C71"/>
    <w:rsid w:val="00FA6D38"/>
    <w:rsid w:val="00FA6FC3"/>
    <w:rsid w:val="00FA7045"/>
    <w:rsid w:val="00FA705B"/>
    <w:rsid w:val="00FA70F2"/>
    <w:rsid w:val="00FA7101"/>
    <w:rsid w:val="00FA7116"/>
    <w:rsid w:val="00FA7187"/>
    <w:rsid w:val="00FA71B4"/>
    <w:rsid w:val="00FA729B"/>
    <w:rsid w:val="00FA7311"/>
    <w:rsid w:val="00FA7406"/>
    <w:rsid w:val="00FA7468"/>
    <w:rsid w:val="00FA756F"/>
    <w:rsid w:val="00FA75B4"/>
    <w:rsid w:val="00FA777C"/>
    <w:rsid w:val="00FA777D"/>
    <w:rsid w:val="00FA77D1"/>
    <w:rsid w:val="00FA7834"/>
    <w:rsid w:val="00FA786D"/>
    <w:rsid w:val="00FA789F"/>
    <w:rsid w:val="00FA79F6"/>
    <w:rsid w:val="00FA7AB9"/>
    <w:rsid w:val="00FA7B52"/>
    <w:rsid w:val="00FA7C61"/>
    <w:rsid w:val="00FA7C80"/>
    <w:rsid w:val="00FA7CC0"/>
    <w:rsid w:val="00FA7D39"/>
    <w:rsid w:val="00FA7D3A"/>
    <w:rsid w:val="00FA7D4A"/>
    <w:rsid w:val="00FA7D6E"/>
    <w:rsid w:val="00FA7E05"/>
    <w:rsid w:val="00FA7E64"/>
    <w:rsid w:val="00FA7EF2"/>
    <w:rsid w:val="00FA7F0C"/>
    <w:rsid w:val="00FA7F88"/>
    <w:rsid w:val="00FA7FA1"/>
    <w:rsid w:val="00FB0151"/>
    <w:rsid w:val="00FB026E"/>
    <w:rsid w:val="00FB036A"/>
    <w:rsid w:val="00FB038D"/>
    <w:rsid w:val="00FB03BA"/>
    <w:rsid w:val="00FB0542"/>
    <w:rsid w:val="00FB05BA"/>
    <w:rsid w:val="00FB05FC"/>
    <w:rsid w:val="00FB0615"/>
    <w:rsid w:val="00FB0666"/>
    <w:rsid w:val="00FB0700"/>
    <w:rsid w:val="00FB0753"/>
    <w:rsid w:val="00FB0841"/>
    <w:rsid w:val="00FB099A"/>
    <w:rsid w:val="00FB0A0B"/>
    <w:rsid w:val="00FB0A2A"/>
    <w:rsid w:val="00FB0A8A"/>
    <w:rsid w:val="00FB0BDD"/>
    <w:rsid w:val="00FB0C05"/>
    <w:rsid w:val="00FB0C8F"/>
    <w:rsid w:val="00FB0CA1"/>
    <w:rsid w:val="00FB0D1D"/>
    <w:rsid w:val="00FB0D31"/>
    <w:rsid w:val="00FB0D4B"/>
    <w:rsid w:val="00FB0DF3"/>
    <w:rsid w:val="00FB0E7F"/>
    <w:rsid w:val="00FB10E9"/>
    <w:rsid w:val="00FB12E5"/>
    <w:rsid w:val="00FB13B5"/>
    <w:rsid w:val="00FB13FE"/>
    <w:rsid w:val="00FB1458"/>
    <w:rsid w:val="00FB156C"/>
    <w:rsid w:val="00FB15FA"/>
    <w:rsid w:val="00FB1622"/>
    <w:rsid w:val="00FB166F"/>
    <w:rsid w:val="00FB1696"/>
    <w:rsid w:val="00FB16DB"/>
    <w:rsid w:val="00FB1734"/>
    <w:rsid w:val="00FB1870"/>
    <w:rsid w:val="00FB1876"/>
    <w:rsid w:val="00FB19DE"/>
    <w:rsid w:val="00FB19E7"/>
    <w:rsid w:val="00FB1AD3"/>
    <w:rsid w:val="00FB1AE3"/>
    <w:rsid w:val="00FB1B6F"/>
    <w:rsid w:val="00FB1BF9"/>
    <w:rsid w:val="00FB1C5B"/>
    <w:rsid w:val="00FB1EC3"/>
    <w:rsid w:val="00FB1F15"/>
    <w:rsid w:val="00FB1FF0"/>
    <w:rsid w:val="00FB207F"/>
    <w:rsid w:val="00FB20D9"/>
    <w:rsid w:val="00FB2168"/>
    <w:rsid w:val="00FB216F"/>
    <w:rsid w:val="00FB21B4"/>
    <w:rsid w:val="00FB227C"/>
    <w:rsid w:val="00FB238F"/>
    <w:rsid w:val="00FB23A0"/>
    <w:rsid w:val="00FB23E3"/>
    <w:rsid w:val="00FB2421"/>
    <w:rsid w:val="00FB2436"/>
    <w:rsid w:val="00FB2548"/>
    <w:rsid w:val="00FB2557"/>
    <w:rsid w:val="00FB2593"/>
    <w:rsid w:val="00FB25AF"/>
    <w:rsid w:val="00FB25DC"/>
    <w:rsid w:val="00FB26DA"/>
    <w:rsid w:val="00FB272E"/>
    <w:rsid w:val="00FB2809"/>
    <w:rsid w:val="00FB288C"/>
    <w:rsid w:val="00FB290D"/>
    <w:rsid w:val="00FB2930"/>
    <w:rsid w:val="00FB296E"/>
    <w:rsid w:val="00FB29B7"/>
    <w:rsid w:val="00FB29DC"/>
    <w:rsid w:val="00FB2A2C"/>
    <w:rsid w:val="00FB2A89"/>
    <w:rsid w:val="00FB2ACC"/>
    <w:rsid w:val="00FB2AD6"/>
    <w:rsid w:val="00FB2B7F"/>
    <w:rsid w:val="00FB2C4F"/>
    <w:rsid w:val="00FB2C97"/>
    <w:rsid w:val="00FB2D1F"/>
    <w:rsid w:val="00FB2D41"/>
    <w:rsid w:val="00FB2DD1"/>
    <w:rsid w:val="00FB2E3B"/>
    <w:rsid w:val="00FB2E3D"/>
    <w:rsid w:val="00FB2E4A"/>
    <w:rsid w:val="00FB2F35"/>
    <w:rsid w:val="00FB2FB5"/>
    <w:rsid w:val="00FB3065"/>
    <w:rsid w:val="00FB314B"/>
    <w:rsid w:val="00FB317C"/>
    <w:rsid w:val="00FB31C6"/>
    <w:rsid w:val="00FB329E"/>
    <w:rsid w:val="00FB32C1"/>
    <w:rsid w:val="00FB32DE"/>
    <w:rsid w:val="00FB32DF"/>
    <w:rsid w:val="00FB32E2"/>
    <w:rsid w:val="00FB3363"/>
    <w:rsid w:val="00FB336D"/>
    <w:rsid w:val="00FB33C3"/>
    <w:rsid w:val="00FB33E1"/>
    <w:rsid w:val="00FB33F9"/>
    <w:rsid w:val="00FB3456"/>
    <w:rsid w:val="00FB3505"/>
    <w:rsid w:val="00FB353A"/>
    <w:rsid w:val="00FB3564"/>
    <w:rsid w:val="00FB357F"/>
    <w:rsid w:val="00FB35AB"/>
    <w:rsid w:val="00FB36E3"/>
    <w:rsid w:val="00FB377D"/>
    <w:rsid w:val="00FB37BB"/>
    <w:rsid w:val="00FB38EF"/>
    <w:rsid w:val="00FB3932"/>
    <w:rsid w:val="00FB3947"/>
    <w:rsid w:val="00FB3984"/>
    <w:rsid w:val="00FB39C1"/>
    <w:rsid w:val="00FB39D3"/>
    <w:rsid w:val="00FB3A0E"/>
    <w:rsid w:val="00FB3A84"/>
    <w:rsid w:val="00FB3B58"/>
    <w:rsid w:val="00FB3B68"/>
    <w:rsid w:val="00FB3BB6"/>
    <w:rsid w:val="00FB3C4A"/>
    <w:rsid w:val="00FB3C51"/>
    <w:rsid w:val="00FB3D2D"/>
    <w:rsid w:val="00FB3DF6"/>
    <w:rsid w:val="00FB3F4A"/>
    <w:rsid w:val="00FB3FB0"/>
    <w:rsid w:val="00FB3FDB"/>
    <w:rsid w:val="00FB406C"/>
    <w:rsid w:val="00FB4094"/>
    <w:rsid w:val="00FB4153"/>
    <w:rsid w:val="00FB4223"/>
    <w:rsid w:val="00FB42EF"/>
    <w:rsid w:val="00FB4383"/>
    <w:rsid w:val="00FB438B"/>
    <w:rsid w:val="00FB44A9"/>
    <w:rsid w:val="00FB44D1"/>
    <w:rsid w:val="00FB4504"/>
    <w:rsid w:val="00FB4617"/>
    <w:rsid w:val="00FB4695"/>
    <w:rsid w:val="00FB477B"/>
    <w:rsid w:val="00FB47AC"/>
    <w:rsid w:val="00FB4820"/>
    <w:rsid w:val="00FB4864"/>
    <w:rsid w:val="00FB4909"/>
    <w:rsid w:val="00FB495A"/>
    <w:rsid w:val="00FB4AC1"/>
    <w:rsid w:val="00FB4AF6"/>
    <w:rsid w:val="00FB4B76"/>
    <w:rsid w:val="00FB4B7B"/>
    <w:rsid w:val="00FB4BBE"/>
    <w:rsid w:val="00FB4C24"/>
    <w:rsid w:val="00FB4C96"/>
    <w:rsid w:val="00FB4D59"/>
    <w:rsid w:val="00FB4E1A"/>
    <w:rsid w:val="00FB4EBE"/>
    <w:rsid w:val="00FB4F0A"/>
    <w:rsid w:val="00FB4F6B"/>
    <w:rsid w:val="00FB4F80"/>
    <w:rsid w:val="00FB5069"/>
    <w:rsid w:val="00FB5096"/>
    <w:rsid w:val="00FB50B9"/>
    <w:rsid w:val="00FB50D5"/>
    <w:rsid w:val="00FB5171"/>
    <w:rsid w:val="00FB5181"/>
    <w:rsid w:val="00FB5184"/>
    <w:rsid w:val="00FB51D4"/>
    <w:rsid w:val="00FB5293"/>
    <w:rsid w:val="00FB52A2"/>
    <w:rsid w:val="00FB5355"/>
    <w:rsid w:val="00FB53B0"/>
    <w:rsid w:val="00FB5473"/>
    <w:rsid w:val="00FB5477"/>
    <w:rsid w:val="00FB559E"/>
    <w:rsid w:val="00FB55DC"/>
    <w:rsid w:val="00FB565D"/>
    <w:rsid w:val="00FB572C"/>
    <w:rsid w:val="00FB5744"/>
    <w:rsid w:val="00FB5749"/>
    <w:rsid w:val="00FB5791"/>
    <w:rsid w:val="00FB57A2"/>
    <w:rsid w:val="00FB57E1"/>
    <w:rsid w:val="00FB580A"/>
    <w:rsid w:val="00FB5875"/>
    <w:rsid w:val="00FB58C2"/>
    <w:rsid w:val="00FB58F3"/>
    <w:rsid w:val="00FB59F2"/>
    <w:rsid w:val="00FB5A92"/>
    <w:rsid w:val="00FB5AF6"/>
    <w:rsid w:val="00FB5AF9"/>
    <w:rsid w:val="00FB5B4C"/>
    <w:rsid w:val="00FB5B91"/>
    <w:rsid w:val="00FB5B99"/>
    <w:rsid w:val="00FB5C08"/>
    <w:rsid w:val="00FB5CBB"/>
    <w:rsid w:val="00FB5DCE"/>
    <w:rsid w:val="00FB5EBD"/>
    <w:rsid w:val="00FB5F43"/>
    <w:rsid w:val="00FB6041"/>
    <w:rsid w:val="00FB6094"/>
    <w:rsid w:val="00FB60AD"/>
    <w:rsid w:val="00FB6109"/>
    <w:rsid w:val="00FB61E9"/>
    <w:rsid w:val="00FB636D"/>
    <w:rsid w:val="00FB6385"/>
    <w:rsid w:val="00FB63E8"/>
    <w:rsid w:val="00FB6405"/>
    <w:rsid w:val="00FB64BC"/>
    <w:rsid w:val="00FB6549"/>
    <w:rsid w:val="00FB659F"/>
    <w:rsid w:val="00FB669F"/>
    <w:rsid w:val="00FB68D5"/>
    <w:rsid w:val="00FB6933"/>
    <w:rsid w:val="00FB69BF"/>
    <w:rsid w:val="00FB69D9"/>
    <w:rsid w:val="00FB6BDD"/>
    <w:rsid w:val="00FB6C0A"/>
    <w:rsid w:val="00FB6C6E"/>
    <w:rsid w:val="00FB6CF6"/>
    <w:rsid w:val="00FB6D83"/>
    <w:rsid w:val="00FB6DA3"/>
    <w:rsid w:val="00FB6DBD"/>
    <w:rsid w:val="00FB6DC9"/>
    <w:rsid w:val="00FB6E78"/>
    <w:rsid w:val="00FB6FE6"/>
    <w:rsid w:val="00FB7020"/>
    <w:rsid w:val="00FB7029"/>
    <w:rsid w:val="00FB74D4"/>
    <w:rsid w:val="00FB755B"/>
    <w:rsid w:val="00FB758F"/>
    <w:rsid w:val="00FB7591"/>
    <w:rsid w:val="00FB7620"/>
    <w:rsid w:val="00FB7788"/>
    <w:rsid w:val="00FB77B8"/>
    <w:rsid w:val="00FB77EA"/>
    <w:rsid w:val="00FB78BF"/>
    <w:rsid w:val="00FB7926"/>
    <w:rsid w:val="00FB793F"/>
    <w:rsid w:val="00FB7977"/>
    <w:rsid w:val="00FB798F"/>
    <w:rsid w:val="00FB7BA3"/>
    <w:rsid w:val="00FB7BB7"/>
    <w:rsid w:val="00FB7C30"/>
    <w:rsid w:val="00FB7CFC"/>
    <w:rsid w:val="00FB7D40"/>
    <w:rsid w:val="00FB7D82"/>
    <w:rsid w:val="00FB7E10"/>
    <w:rsid w:val="00FB7E27"/>
    <w:rsid w:val="00FB7E54"/>
    <w:rsid w:val="00FB7EA8"/>
    <w:rsid w:val="00FB7EB7"/>
    <w:rsid w:val="00FB7F46"/>
    <w:rsid w:val="00FB7FB7"/>
    <w:rsid w:val="00FC0088"/>
    <w:rsid w:val="00FC00BA"/>
    <w:rsid w:val="00FC00D3"/>
    <w:rsid w:val="00FC01A1"/>
    <w:rsid w:val="00FC0364"/>
    <w:rsid w:val="00FC03CC"/>
    <w:rsid w:val="00FC0408"/>
    <w:rsid w:val="00FC04A7"/>
    <w:rsid w:val="00FC04AE"/>
    <w:rsid w:val="00FC04C5"/>
    <w:rsid w:val="00FC052C"/>
    <w:rsid w:val="00FC07A2"/>
    <w:rsid w:val="00FC07D6"/>
    <w:rsid w:val="00FC0829"/>
    <w:rsid w:val="00FC087C"/>
    <w:rsid w:val="00FC08CA"/>
    <w:rsid w:val="00FC090A"/>
    <w:rsid w:val="00FC0941"/>
    <w:rsid w:val="00FC09B6"/>
    <w:rsid w:val="00FC09C7"/>
    <w:rsid w:val="00FC09E8"/>
    <w:rsid w:val="00FC0A8A"/>
    <w:rsid w:val="00FC0AA9"/>
    <w:rsid w:val="00FC0B64"/>
    <w:rsid w:val="00FC0C2D"/>
    <w:rsid w:val="00FC0C35"/>
    <w:rsid w:val="00FC0C82"/>
    <w:rsid w:val="00FC0C83"/>
    <w:rsid w:val="00FC0CEF"/>
    <w:rsid w:val="00FC0DBB"/>
    <w:rsid w:val="00FC0E6B"/>
    <w:rsid w:val="00FC0EFE"/>
    <w:rsid w:val="00FC0F24"/>
    <w:rsid w:val="00FC0F37"/>
    <w:rsid w:val="00FC0F3C"/>
    <w:rsid w:val="00FC0F66"/>
    <w:rsid w:val="00FC103C"/>
    <w:rsid w:val="00FC1091"/>
    <w:rsid w:val="00FC111A"/>
    <w:rsid w:val="00FC111C"/>
    <w:rsid w:val="00FC1132"/>
    <w:rsid w:val="00FC1256"/>
    <w:rsid w:val="00FC1273"/>
    <w:rsid w:val="00FC1298"/>
    <w:rsid w:val="00FC13FE"/>
    <w:rsid w:val="00FC13FF"/>
    <w:rsid w:val="00FC14D9"/>
    <w:rsid w:val="00FC14FE"/>
    <w:rsid w:val="00FC1576"/>
    <w:rsid w:val="00FC1580"/>
    <w:rsid w:val="00FC1728"/>
    <w:rsid w:val="00FC17B1"/>
    <w:rsid w:val="00FC17B7"/>
    <w:rsid w:val="00FC18D7"/>
    <w:rsid w:val="00FC18F9"/>
    <w:rsid w:val="00FC19B7"/>
    <w:rsid w:val="00FC1A0E"/>
    <w:rsid w:val="00FC1A61"/>
    <w:rsid w:val="00FC1AF9"/>
    <w:rsid w:val="00FC1B97"/>
    <w:rsid w:val="00FC1C06"/>
    <w:rsid w:val="00FC1CBD"/>
    <w:rsid w:val="00FC1CC1"/>
    <w:rsid w:val="00FC1D43"/>
    <w:rsid w:val="00FC1D89"/>
    <w:rsid w:val="00FC1DE1"/>
    <w:rsid w:val="00FC1ECA"/>
    <w:rsid w:val="00FC1ED2"/>
    <w:rsid w:val="00FC1F07"/>
    <w:rsid w:val="00FC1F18"/>
    <w:rsid w:val="00FC1F3B"/>
    <w:rsid w:val="00FC1F74"/>
    <w:rsid w:val="00FC1F9F"/>
    <w:rsid w:val="00FC1FAC"/>
    <w:rsid w:val="00FC2131"/>
    <w:rsid w:val="00FC2256"/>
    <w:rsid w:val="00FC2344"/>
    <w:rsid w:val="00FC239D"/>
    <w:rsid w:val="00FC23DB"/>
    <w:rsid w:val="00FC2417"/>
    <w:rsid w:val="00FC247A"/>
    <w:rsid w:val="00FC248F"/>
    <w:rsid w:val="00FC2763"/>
    <w:rsid w:val="00FC2788"/>
    <w:rsid w:val="00FC28EE"/>
    <w:rsid w:val="00FC2A19"/>
    <w:rsid w:val="00FC2A7B"/>
    <w:rsid w:val="00FC2B83"/>
    <w:rsid w:val="00FC2B95"/>
    <w:rsid w:val="00FC2BA7"/>
    <w:rsid w:val="00FC2C6C"/>
    <w:rsid w:val="00FC2CBE"/>
    <w:rsid w:val="00FC2CD1"/>
    <w:rsid w:val="00FC2D32"/>
    <w:rsid w:val="00FC2D48"/>
    <w:rsid w:val="00FC2D62"/>
    <w:rsid w:val="00FC2D88"/>
    <w:rsid w:val="00FC2EF7"/>
    <w:rsid w:val="00FC2F1B"/>
    <w:rsid w:val="00FC2FCF"/>
    <w:rsid w:val="00FC302D"/>
    <w:rsid w:val="00FC30A0"/>
    <w:rsid w:val="00FC3154"/>
    <w:rsid w:val="00FC31C0"/>
    <w:rsid w:val="00FC3214"/>
    <w:rsid w:val="00FC324B"/>
    <w:rsid w:val="00FC3269"/>
    <w:rsid w:val="00FC327A"/>
    <w:rsid w:val="00FC32C2"/>
    <w:rsid w:val="00FC32DE"/>
    <w:rsid w:val="00FC3319"/>
    <w:rsid w:val="00FC33BC"/>
    <w:rsid w:val="00FC33D4"/>
    <w:rsid w:val="00FC343B"/>
    <w:rsid w:val="00FC346B"/>
    <w:rsid w:val="00FC3486"/>
    <w:rsid w:val="00FC34F7"/>
    <w:rsid w:val="00FC354A"/>
    <w:rsid w:val="00FC3593"/>
    <w:rsid w:val="00FC363D"/>
    <w:rsid w:val="00FC3650"/>
    <w:rsid w:val="00FC373A"/>
    <w:rsid w:val="00FC379F"/>
    <w:rsid w:val="00FC37F9"/>
    <w:rsid w:val="00FC38B1"/>
    <w:rsid w:val="00FC38B3"/>
    <w:rsid w:val="00FC38F3"/>
    <w:rsid w:val="00FC38F8"/>
    <w:rsid w:val="00FC3930"/>
    <w:rsid w:val="00FC3961"/>
    <w:rsid w:val="00FC39B0"/>
    <w:rsid w:val="00FC39C6"/>
    <w:rsid w:val="00FC3A4D"/>
    <w:rsid w:val="00FC3A96"/>
    <w:rsid w:val="00FC3B1A"/>
    <w:rsid w:val="00FC3B35"/>
    <w:rsid w:val="00FC3B8A"/>
    <w:rsid w:val="00FC3BE7"/>
    <w:rsid w:val="00FC3BFB"/>
    <w:rsid w:val="00FC3C06"/>
    <w:rsid w:val="00FC3C42"/>
    <w:rsid w:val="00FC3C99"/>
    <w:rsid w:val="00FC3CCC"/>
    <w:rsid w:val="00FC3CEC"/>
    <w:rsid w:val="00FC3CF4"/>
    <w:rsid w:val="00FC3DF3"/>
    <w:rsid w:val="00FC3E40"/>
    <w:rsid w:val="00FC3E4D"/>
    <w:rsid w:val="00FC3E50"/>
    <w:rsid w:val="00FC3F3D"/>
    <w:rsid w:val="00FC3FC4"/>
    <w:rsid w:val="00FC3FD4"/>
    <w:rsid w:val="00FC408C"/>
    <w:rsid w:val="00FC40FC"/>
    <w:rsid w:val="00FC42CD"/>
    <w:rsid w:val="00FC42EB"/>
    <w:rsid w:val="00FC4426"/>
    <w:rsid w:val="00FC44F0"/>
    <w:rsid w:val="00FC4609"/>
    <w:rsid w:val="00FC46A2"/>
    <w:rsid w:val="00FC476F"/>
    <w:rsid w:val="00FC48B1"/>
    <w:rsid w:val="00FC4980"/>
    <w:rsid w:val="00FC4986"/>
    <w:rsid w:val="00FC49B9"/>
    <w:rsid w:val="00FC4A23"/>
    <w:rsid w:val="00FC4A60"/>
    <w:rsid w:val="00FC4A69"/>
    <w:rsid w:val="00FC4AC8"/>
    <w:rsid w:val="00FC4ADF"/>
    <w:rsid w:val="00FC4B20"/>
    <w:rsid w:val="00FC4B21"/>
    <w:rsid w:val="00FC4C8E"/>
    <w:rsid w:val="00FC4D56"/>
    <w:rsid w:val="00FC4DEA"/>
    <w:rsid w:val="00FC4EB6"/>
    <w:rsid w:val="00FC4EE5"/>
    <w:rsid w:val="00FC4F28"/>
    <w:rsid w:val="00FC4F5B"/>
    <w:rsid w:val="00FC4F5C"/>
    <w:rsid w:val="00FC4FC8"/>
    <w:rsid w:val="00FC5049"/>
    <w:rsid w:val="00FC506F"/>
    <w:rsid w:val="00FC5092"/>
    <w:rsid w:val="00FC50BC"/>
    <w:rsid w:val="00FC50EA"/>
    <w:rsid w:val="00FC5113"/>
    <w:rsid w:val="00FC512F"/>
    <w:rsid w:val="00FC51D7"/>
    <w:rsid w:val="00FC520D"/>
    <w:rsid w:val="00FC5274"/>
    <w:rsid w:val="00FC52F7"/>
    <w:rsid w:val="00FC5349"/>
    <w:rsid w:val="00FC53E6"/>
    <w:rsid w:val="00FC5448"/>
    <w:rsid w:val="00FC54F8"/>
    <w:rsid w:val="00FC556B"/>
    <w:rsid w:val="00FC55DC"/>
    <w:rsid w:val="00FC5760"/>
    <w:rsid w:val="00FC5765"/>
    <w:rsid w:val="00FC57F1"/>
    <w:rsid w:val="00FC58C5"/>
    <w:rsid w:val="00FC5A4A"/>
    <w:rsid w:val="00FC5A95"/>
    <w:rsid w:val="00FC5B91"/>
    <w:rsid w:val="00FC5BD8"/>
    <w:rsid w:val="00FC5C2C"/>
    <w:rsid w:val="00FC5C31"/>
    <w:rsid w:val="00FC5C66"/>
    <w:rsid w:val="00FC5D0D"/>
    <w:rsid w:val="00FC5D81"/>
    <w:rsid w:val="00FC5EA1"/>
    <w:rsid w:val="00FC5F01"/>
    <w:rsid w:val="00FC5F8C"/>
    <w:rsid w:val="00FC5F9B"/>
    <w:rsid w:val="00FC6038"/>
    <w:rsid w:val="00FC60B1"/>
    <w:rsid w:val="00FC6142"/>
    <w:rsid w:val="00FC614B"/>
    <w:rsid w:val="00FC61F7"/>
    <w:rsid w:val="00FC620F"/>
    <w:rsid w:val="00FC624F"/>
    <w:rsid w:val="00FC6254"/>
    <w:rsid w:val="00FC63CE"/>
    <w:rsid w:val="00FC6446"/>
    <w:rsid w:val="00FC64D9"/>
    <w:rsid w:val="00FC651E"/>
    <w:rsid w:val="00FC652C"/>
    <w:rsid w:val="00FC6577"/>
    <w:rsid w:val="00FC65EE"/>
    <w:rsid w:val="00FC663D"/>
    <w:rsid w:val="00FC6661"/>
    <w:rsid w:val="00FC6703"/>
    <w:rsid w:val="00FC67CC"/>
    <w:rsid w:val="00FC6810"/>
    <w:rsid w:val="00FC6833"/>
    <w:rsid w:val="00FC68A1"/>
    <w:rsid w:val="00FC68C1"/>
    <w:rsid w:val="00FC68E0"/>
    <w:rsid w:val="00FC692E"/>
    <w:rsid w:val="00FC6AA8"/>
    <w:rsid w:val="00FC6B0B"/>
    <w:rsid w:val="00FC6C06"/>
    <w:rsid w:val="00FC6C1B"/>
    <w:rsid w:val="00FC6EB1"/>
    <w:rsid w:val="00FC6FC7"/>
    <w:rsid w:val="00FC7019"/>
    <w:rsid w:val="00FC7020"/>
    <w:rsid w:val="00FC706D"/>
    <w:rsid w:val="00FC7073"/>
    <w:rsid w:val="00FC7086"/>
    <w:rsid w:val="00FC7092"/>
    <w:rsid w:val="00FC709F"/>
    <w:rsid w:val="00FC70CA"/>
    <w:rsid w:val="00FC70EA"/>
    <w:rsid w:val="00FC7125"/>
    <w:rsid w:val="00FC718F"/>
    <w:rsid w:val="00FC7217"/>
    <w:rsid w:val="00FC722C"/>
    <w:rsid w:val="00FC723C"/>
    <w:rsid w:val="00FC72ED"/>
    <w:rsid w:val="00FC7301"/>
    <w:rsid w:val="00FC730C"/>
    <w:rsid w:val="00FC739E"/>
    <w:rsid w:val="00FC742A"/>
    <w:rsid w:val="00FC751B"/>
    <w:rsid w:val="00FC751D"/>
    <w:rsid w:val="00FC767B"/>
    <w:rsid w:val="00FC76B0"/>
    <w:rsid w:val="00FC76D6"/>
    <w:rsid w:val="00FC7734"/>
    <w:rsid w:val="00FC782C"/>
    <w:rsid w:val="00FC7893"/>
    <w:rsid w:val="00FC78A3"/>
    <w:rsid w:val="00FC7A1B"/>
    <w:rsid w:val="00FC7A74"/>
    <w:rsid w:val="00FC7AA8"/>
    <w:rsid w:val="00FC7AAD"/>
    <w:rsid w:val="00FC7ABC"/>
    <w:rsid w:val="00FC7AFF"/>
    <w:rsid w:val="00FC7B32"/>
    <w:rsid w:val="00FC7B74"/>
    <w:rsid w:val="00FC7BF5"/>
    <w:rsid w:val="00FC7C02"/>
    <w:rsid w:val="00FC7C96"/>
    <w:rsid w:val="00FC7E4E"/>
    <w:rsid w:val="00FC7EAD"/>
    <w:rsid w:val="00FC7F13"/>
    <w:rsid w:val="00FC7F3C"/>
    <w:rsid w:val="00FC7F51"/>
    <w:rsid w:val="00FD000B"/>
    <w:rsid w:val="00FD0046"/>
    <w:rsid w:val="00FD005A"/>
    <w:rsid w:val="00FD00A0"/>
    <w:rsid w:val="00FD0114"/>
    <w:rsid w:val="00FD01B1"/>
    <w:rsid w:val="00FD01E8"/>
    <w:rsid w:val="00FD0255"/>
    <w:rsid w:val="00FD027D"/>
    <w:rsid w:val="00FD0283"/>
    <w:rsid w:val="00FD02E1"/>
    <w:rsid w:val="00FD0366"/>
    <w:rsid w:val="00FD0389"/>
    <w:rsid w:val="00FD043C"/>
    <w:rsid w:val="00FD04B5"/>
    <w:rsid w:val="00FD05D9"/>
    <w:rsid w:val="00FD0611"/>
    <w:rsid w:val="00FD06B3"/>
    <w:rsid w:val="00FD06DE"/>
    <w:rsid w:val="00FD06EA"/>
    <w:rsid w:val="00FD0725"/>
    <w:rsid w:val="00FD0755"/>
    <w:rsid w:val="00FD079E"/>
    <w:rsid w:val="00FD08C1"/>
    <w:rsid w:val="00FD08E7"/>
    <w:rsid w:val="00FD090B"/>
    <w:rsid w:val="00FD0AF4"/>
    <w:rsid w:val="00FD0B04"/>
    <w:rsid w:val="00FD0B1D"/>
    <w:rsid w:val="00FD0BC6"/>
    <w:rsid w:val="00FD0BF2"/>
    <w:rsid w:val="00FD0CCF"/>
    <w:rsid w:val="00FD0CE5"/>
    <w:rsid w:val="00FD0E83"/>
    <w:rsid w:val="00FD0F3E"/>
    <w:rsid w:val="00FD0F8C"/>
    <w:rsid w:val="00FD0FF5"/>
    <w:rsid w:val="00FD10A9"/>
    <w:rsid w:val="00FD10F4"/>
    <w:rsid w:val="00FD1117"/>
    <w:rsid w:val="00FD12A7"/>
    <w:rsid w:val="00FD1374"/>
    <w:rsid w:val="00FD138F"/>
    <w:rsid w:val="00FD1394"/>
    <w:rsid w:val="00FD139F"/>
    <w:rsid w:val="00FD13FF"/>
    <w:rsid w:val="00FD1494"/>
    <w:rsid w:val="00FD14BD"/>
    <w:rsid w:val="00FD1582"/>
    <w:rsid w:val="00FD170E"/>
    <w:rsid w:val="00FD171D"/>
    <w:rsid w:val="00FD17A4"/>
    <w:rsid w:val="00FD17D8"/>
    <w:rsid w:val="00FD185C"/>
    <w:rsid w:val="00FD1888"/>
    <w:rsid w:val="00FD1920"/>
    <w:rsid w:val="00FD1A06"/>
    <w:rsid w:val="00FD1A0C"/>
    <w:rsid w:val="00FD1A1C"/>
    <w:rsid w:val="00FD1A72"/>
    <w:rsid w:val="00FD1C86"/>
    <w:rsid w:val="00FD1CA5"/>
    <w:rsid w:val="00FD1CEC"/>
    <w:rsid w:val="00FD1D60"/>
    <w:rsid w:val="00FD1D6F"/>
    <w:rsid w:val="00FD1E0A"/>
    <w:rsid w:val="00FD1E8E"/>
    <w:rsid w:val="00FD2050"/>
    <w:rsid w:val="00FD209E"/>
    <w:rsid w:val="00FD20E8"/>
    <w:rsid w:val="00FD2117"/>
    <w:rsid w:val="00FD217A"/>
    <w:rsid w:val="00FD219D"/>
    <w:rsid w:val="00FD220E"/>
    <w:rsid w:val="00FD229B"/>
    <w:rsid w:val="00FD22DA"/>
    <w:rsid w:val="00FD23C0"/>
    <w:rsid w:val="00FD2525"/>
    <w:rsid w:val="00FD253A"/>
    <w:rsid w:val="00FD254D"/>
    <w:rsid w:val="00FD25AB"/>
    <w:rsid w:val="00FD25BE"/>
    <w:rsid w:val="00FD25F8"/>
    <w:rsid w:val="00FD25FD"/>
    <w:rsid w:val="00FD2612"/>
    <w:rsid w:val="00FD265E"/>
    <w:rsid w:val="00FD26AB"/>
    <w:rsid w:val="00FD26C6"/>
    <w:rsid w:val="00FD26E6"/>
    <w:rsid w:val="00FD2820"/>
    <w:rsid w:val="00FD285C"/>
    <w:rsid w:val="00FD2934"/>
    <w:rsid w:val="00FD2960"/>
    <w:rsid w:val="00FD2992"/>
    <w:rsid w:val="00FD2A03"/>
    <w:rsid w:val="00FD2A1C"/>
    <w:rsid w:val="00FD2A63"/>
    <w:rsid w:val="00FD2A80"/>
    <w:rsid w:val="00FD2A98"/>
    <w:rsid w:val="00FD2ACD"/>
    <w:rsid w:val="00FD2AE4"/>
    <w:rsid w:val="00FD2C9A"/>
    <w:rsid w:val="00FD2DC1"/>
    <w:rsid w:val="00FD2E4C"/>
    <w:rsid w:val="00FD2F02"/>
    <w:rsid w:val="00FD2F45"/>
    <w:rsid w:val="00FD2FBE"/>
    <w:rsid w:val="00FD2FF9"/>
    <w:rsid w:val="00FD30A0"/>
    <w:rsid w:val="00FD30F7"/>
    <w:rsid w:val="00FD316A"/>
    <w:rsid w:val="00FD31DA"/>
    <w:rsid w:val="00FD3215"/>
    <w:rsid w:val="00FD321D"/>
    <w:rsid w:val="00FD3278"/>
    <w:rsid w:val="00FD3350"/>
    <w:rsid w:val="00FD33C7"/>
    <w:rsid w:val="00FD34EC"/>
    <w:rsid w:val="00FD3546"/>
    <w:rsid w:val="00FD354A"/>
    <w:rsid w:val="00FD35F6"/>
    <w:rsid w:val="00FD3680"/>
    <w:rsid w:val="00FD3696"/>
    <w:rsid w:val="00FD37F1"/>
    <w:rsid w:val="00FD387E"/>
    <w:rsid w:val="00FD38A0"/>
    <w:rsid w:val="00FD393B"/>
    <w:rsid w:val="00FD398F"/>
    <w:rsid w:val="00FD3A23"/>
    <w:rsid w:val="00FD3A5C"/>
    <w:rsid w:val="00FD3B06"/>
    <w:rsid w:val="00FD3B30"/>
    <w:rsid w:val="00FD3B47"/>
    <w:rsid w:val="00FD3C78"/>
    <w:rsid w:val="00FD3CA2"/>
    <w:rsid w:val="00FD3D12"/>
    <w:rsid w:val="00FD3D92"/>
    <w:rsid w:val="00FD3E58"/>
    <w:rsid w:val="00FD3E5C"/>
    <w:rsid w:val="00FD3E74"/>
    <w:rsid w:val="00FD3E81"/>
    <w:rsid w:val="00FD3EB0"/>
    <w:rsid w:val="00FD3EDD"/>
    <w:rsid w:val="00FD3F0E"/>
    <w:rsid w:val="00FD4004"/>
    <w:rsid w:val="00FD40C3"/>
    <w:rsid w:val="00FD40FA"/>
    <w:rsid w:val="00FD4128"/>
    <w:rsid w:val="00FD417C"/>
    <w:rsid w:val="00FD4219"/>
    <w:rsid w:val="00FD424B"/>
    <w:rsid w:val="00FD425E"/>
    <w:rsid w:val="00FD42FD"/>
    <w:rsid w:val="00FD440D"/>
    <w:rsid w:val="00FD443B"/>
    <w:rsid w:val="00FD446F"/>
    <w:rsid w:val="00FD449F"/>
    <w:rsid w:val="00FD4604"/>
    <w:rsid w:val="00FD4654"/>
    <w:rsid w:val="00FD4745"/>
    <w:rsid w:val="00FD47FB"/>
    <w:rsid w:val="00FD480A"/>
    <w:rsid w:val="00FD4861"/>
    <w:rsid w:val="00FD48A9"/>
    <w:rsid w:val="00FD49B1"/>
    <w:rsid w:val="00FD49ED"/>
    <w:rsid w:val="00FD4A10"/>
    <w:rsid w:val="00FD4A53"/>
    <w:rsid w:val="00FD4A5E"/>
    <w:rsid w:val="00FD4A98"/>
    <w:rsid w:val="00FD4B2E"/>
    <w:rsid w:val="00FD4B5B"/>
    <w:rsid w:val="00FD4B98"/>
    <w:rsid w:val="00FD4CA1"/>
    <w:rsid w:val="00FD4D2C"/>
    <w:rsid w:val="00FD4D62"/>
    <w:rsid w:val="00FD4DED"/>
    <w:rsid w:val="00FD4E19"/>
    <w:rsid w:val="00FD4E22"/>
    <w:rsid w:val="00FD4E7A"/>
    <w:rsid w:val="00FD4FA8"/>
    <w:rsid w:val="00FD50E3"/>
    <w:rsid w:val="00FD50FE"/>
    <w:rsid w:val="00FD5117"/>
    <w:rsid w:val="00FD51C8"/>
    <w:rsid w:val="00FD5273"/>
    <w:rsid w:val="00FD52B4"/>
    <w:rsid w:val="00FD52DF"/>
    <w:rsid w:val="00FD536B"/>
    <w:rsid w:val="00FD547E"/>
    <w:rsid w:val="00FD5574"/>
    <w:rsid w:val="00FD5632"/>
    <w:rsid w:val="00FD566A"/>
    <w:rsid w:val="00FD5696"/>
    <w:rsid w:val="00FD56FB"/>
    <w:rsid w:val="00FD575C"/>
    <w:rsid w:val="00FD577E"/>
    <w:rsid w:val="00FD578F"/>
    <w:rsid w:val="00FD5859"/>
    <w:rsid w:val="00FD5879"/>
    <w:rsid w:val="00FD58B9"/>
    <w:rsid w:val="00FD58C0"/>
    <w:rsid w:val="00FD5A17"/>
    <w:rsid w:val="00FD5B2F"/>
    <w:rsid w:val="00FD5B86"/>
    <w:rsid w:val="00FD5BF8"/>
    <w:rsid w:val="00FD5BFA"/>
    <w:rsid w:val="00FD5C5C"/>
    <w:rsid w:val="00FD5C61"/>
    <w:rsid w:val="00FD5D0C"/>
    <w:rsid w:val="00FD5D38"/>
    <w:rsid w:val="00FD5DAB"/>
    <w:rsid w:val="00FD5DEA"/>
    <w:rsid w:val="00FD5E3D"/>
    <w:rsid w:val="00FD5E52"/>
    <w:rsid w:val="00FD5ECE"/>
    <w:rsid w:val="00FD5F0F"/>
    <w:rsid w:val="00FD5F98"/>
    <w:rsid w:val="00FD5FBB"/>
    <w:rsid w:val="00FD5FC0"/>
    <w:rsid w:val="00FD5FD2"/>
    <w:rsid w:val="00FD5FDC"/>
    <w:rsid w:val="00FD5FE7"/>
    <w:rsid w:val="00FD603D"/>
    <w:rsid w:val="00FD609B"/>
    <w:rsid w:val="00FD6327"/>
    <w:rsid w:val="00FD63C4"/>
    <w:rsid w:val="00FD6449"/>
    <w:rsid w:val="00FD64E0"/>
    <w:rsid w:val="00FD6565"/>
    <w:rsid w:val="00FD6590"/>
    <w:rsid w:val="00FD65B5"/>
    <w:rsid w:val="00FD65C9"/>
    <w:rsid w:val="00FD6675"/>
    <w:rsid w:val="00FD6704"/>
    <w:rsid w:val="00FD671F"/>
    <w:rsid w:val="00FD678F"/>
    <w:rsid w:val="00FD6801"/>
    <w:rsid w:val="00FD6837"/>
    <w:rsid w:val="00FD6840"/>
    <w:rsid w:val="00FD68CD"/>
    <w:rsid w:val="00FD68DB"/>
    <w:rsid w:val="00FD6A05"/>
    <w:rsid w:val="00FD6A28"/>
    <w:rsid w:val="00FD6AE2"/>
    <w:rsid w:val="00FD6B68"/>
    <w:rsid w:val="00FD6C43"/>
    <w:rsid w:val="00FD6C67"/>
    <w:rsid w:val="00FD6C93"/>
    <w:rsid w:val="00FD6D02"/>
    <w:rsid w:val="00FD6D4B"/>
    <w:rsid w:val="00FD6E80"/>
    <w:rsid w:val="00FD6F53"/>
    <w:rsid w:val="00FD6F99"/>
    <w:rsid w:val="00FD6FAE"/>
    <w:rsid w:val="00FD6FFA"/>
    <w:rsid w:val="00FD7107"/>
    <w:rsid w:val="00FD7192"/>
    <w:rsid w:val="00FD71DA"/>
    <w:rsid w:val="00FD7237"/>
    <w:rsid w:val="00FD7239"/>
    <w:rsid w:val="00FD738E"/>
    <w:rsid w:val="00FD766B"/>
    <w:rsid w:val="00FD76D2"/>
    <w:rsid w:val="00FD772E"/>
    <w:rsid w:val="00FD7764"/>
    <w:rsid w:val="00FD77EE"/>
    <w:rsid w:val="00FD782B"/>
    <w:rsid w:val="00FD782D"/>
    <w:rsid w:val="00FD78C4"/>
    <w:rsid w:val="00FD7982"/>
    <w:rsid w:val="00FD7994"/>
    <w:rsid w:val="00FD79A2"/>
    <w:rsid w:val="00FD79B4"/>
    <w:rsid w:val="00FD79BF"/>
    <w:rsid w:val="00FD79EA"/>
    <w:rsid w:val="00FD7A3A"/>
    <w:rsid w:val="00FD7A4E"/>
    <w:rsid w:val="00FD7B63"/>
    <w:rsid w:val="00FD7CCB"/>
    <w:rsid w:val="00FD7CE3"/>
    <w:rsid w:val="00FD7CEF"/>
    <w:rsid w:val="00FD7D53"/>
    <w:rsid w:val="00FD7D58"/>
    <w:rsid w:val="00FD7D96"/>
    <w:rsid w:val="00FD7DAB"/>
    <w:rsid w:val="00FD7E3F"/>
    <w:rsid w:val="00FD7F3F"/>
    <w:rsid w:val="00FE0057"/>
    <w:rsid w:val="00FE0102"/>
    <w:rsid w:val="00FE015E"/>
    <w:rsid w:val="00FE0191"/>
    <w:rsid w:val="00FE01B2"/>
    <w:rsid w:val="00FE0257"/>
    <w:rsid w:val="00FE034D"/>
    <w:rsid w:val="00FE042E"/>
    <w:rsid w:val="00FE0468"/>
    <w:rsid w:val="00FE04D0"/>
    <w:rsid w:val="00FE04D4"/>
    <w:rsid w:val="00FE0597"/>
    <w:rsid w:val="00FE0666"/>
    <w:rsid w:val="00FE0674"/>
    <w:rsid w:val="00FE0813"/>
    <w:rsid w:val="00FE083E"/>
    <w:rsid w:val="00FE0872"/>
    <w:rsid w:val="00FE099B"/>
    <w:rsid w:val="00FE0A0E"/>
    <w:rsid w:val="00FE0A14"/>
    <w:rsid w:val="00FE0A19"/>
    <w:rsid w:val="00FE0A88"/>
    <w:rsid w:val="00FE0A96"/>
    <w:rsid w:val="00FE0A97"/>
    <w:rsid w:val="00FE0ABE"/>
    <w:rsid w:val="00FE0ACE"/>
    <w:rsid w:val="00FE0AD1"/>
    <w:rsid w:val="00FE0B4F"/>
    <w:rsid w:val="00FE0C65"/>
    <w:rsid w:val="00FE0C7A"/>
    <w:rsid w:val="00FE0CA6"/>
    <w:rsid w:val="00FE0CC9"/>
    <w:rsid w:val="00FE0CFB"/>
    <w:rsid w:val="00FE0E0F"/>
    <w:rsid w:val="00FE0E9C"/>
    <w:rsid w:val="00FE0EB5"/>
    <w:rsid w:val="00FE0F09"/>
    <w:rsid w:val="00FE0F6E"/>
    <w:rsid w:val="00FE0FEB"/>
    <w:rsid w:val="00FE0FFF"/>
    <w:rsid w:val="00FE1053"/>
    <w:rsid w:val="00FE1090"/>
    <w:rsid w:val="00FE10F9"/>
    <w:rsid w:val="00FE11C3"/>
    <w:rsid w:val="00FE11D6"/>
    <w:rsid w:val="00FE11F5"/>
    <w:rsid w:val="00FE126D"/>
    <w:rsid w:val="00FE12F9"/>
    <w:rsid w:val="00FE1340"/>
    <w:rsid w:val="00FE1419"/>
    <w:rsid w:val="00FE14C4"/>
    <w:rsid w:val="00FE1507"/>
    <w:rsid w:val="00FE150F"/>
    <w:rsid w:val="00FE1570"/>
    <w:rsid w:val="00FE15FB"/>
    <w:rsid w:val="00FE1660"/>
    <w:rsid w:val="00FE1737"/>
    <w:rsid w:val="00FE1776"/>
    <w:rsid w:val="00FE17CB"/>
    <w:rsid w:val="00FE1825"/>
    <w:rsid w:val="00FE185F"/>
    <w:rsid w:val="00FE18A6"/>
    <w:rsid w:val="00FE1A3C"/>
    <w:rsid w:val="00FE1ADD"/>
    <w:rsid w:val="00FE1AE9"/>
    <w:rsid w:val="00FE1B17"/>
    <w:rsid w:val="00FE1B3B"/>
    <w:rsid w:val="00FE1B8E"/>
    <w:rsid w:val="00FE1C63"/>
    <w:rsid w:val="00FE1C7A"/>
    <w:rsid w:val="00FE1CF1"/>
    <w:rsid w:val="00FE1D42"/>
    <w:rsid w:val="00FE1D77"/>
    <w:rsid w:val="00FE1D99"/>
    <w:rsid w:val="00FE1E11"/>
    <w:rsid w:val="00FE1ED7"/>
    <w:rsid w:val="00FE1F36"/>
    <w:rsid w:val="00FE1FAF"/>
    <w:rsid w:val="00FE200D"/>
    <w:rsid w:val="00FE2036"/>
    <w:rsid w:val="00FE2065"/>
    <w:rsid w:val="00FE2228"/>
    <w:rsid w:val="00FE2283"/>
    <w:rsid w:val="00FE22E4"/>
    <w:rsid w:val="00FE2323"/>
    <w:rsid w:val="00FE2355"/>
    <w:rsid w:val="00FE24C9"/>
    <w:rsid w:val="00FE2627"/>
    <w:rsid w:val="00FE267F"/>
    <w:rsid w:val="00FE26AE"/>
    <w:rsid w:val="00FE26D2"/>
    <w:rsid w:val="00FE26F9"/>
    <w:rsid w:val="00FE27C5"/>
    <w:rsid w:val="00FE2886"/>
    <w:rsid w:val="00FE2914"/>
    <w:rsid w:val="00FE2934"/>
    <w:rsid w:val="00FE2946"/>
    <w:rsid w:val="00FE295A"/>
    <w:rsid w:val="00FE29CC"/>
    <w:rsid w:val="00FE2A1E"/>
    <w:rsid w:val="00FE2A46"/>
    <w:rsid w:val="00FE2BF6"/>
    <w:rsid w:val="00FE2C36"/>
    <w:rsid w:val="00FE2C3A"/>
    <w:rsid w:val="00FE2C77"/>
    <w:rsid w:val="00FE2D01"/>
    <w:rsid w:val="00FE2D90"/>
    <w:rsid w:val="00FE2E26"/>
    <w:rsid w:val="00FE2F00"/>
    <w:rsid w:val="00FE2F02"/>
    <w:rsid w:val="00FE2F90"/>
    <w:rsid w:val="00FE302B"/>
    <w:rsid w:val="00FE302C"/>
    <w:rsid w:val="00FE3042"/>
    <w:rsid w:val="00FE3104"/>
    <w:rsid w:val="00FE3113"/>
    <w:rsid w:val="00FE311F"/>
    <w:rsid w:val="00FE313E"/>
    <w:rsid w:val="00FE3281"/>
    <w:rsid w:val="00FE3388"/>
    <w:rsid w:val="00FE33F5"/>
    <w:rsid w:val="00FE35ED"/>
    <w:rsid w:val="00FE35FD"/>
    <w:rsid w:val="00FE3623"/>
    <w:rsid w:val="00FE3631"/>
    <w:rsid w:val="00FE3700"/>
    <w:rsid w:val="00FE3701"/>
    <w:rsid w:val="00FE378F"/>
    <w:rsid w:val="00FE37B1"/>
    <w:rsid w:val="00FE38CC"/>
    <w:rsid w:val="00FE3941"/>
    <w:rsid w:val="00FE3C43"/>
    <w:rsid w:val="00FE3CFA"/>
    <w:rsid w:val="00FE3D95"/>
    <w:rsid w:val="00FE3E22"/>
    <w:rsid w:val="00FE3E46"/>
    <w:rsid w:val="00FE3E98"/>
    <w:rsid w:val="00FE3EE6"/>
    <w:rsid w:val="00FE4009"/>
    <w:rsid w:val="00FE402F"/>
    <w:rsid w:val="00FE409A"/>
    <w:rsid w:val="00FE40DA"/>
    <w:rsid w:val="00FE4169"/>
    <w:rsid w:val="00FE43D6"/>
    <w:rsid w:val="00FE43ED"/>
    <w:rsid w:val="00FE45E6"/>
    <w:rsid w:val="00FE4628"/>
    <w:rsid w:val="00FE47A4"/>
    <w:rsid w:val="00FE48B0"/>
    <w:rsid w:val="00FE48D3"/>
    <w:rsid w:val="00FE49B0"/>
    <w:rsid w:val="00FE4A29"/>
    <w:rsid w:val="00FE4A82"/>
    <w:rsid w:val="00FE4A93"/>
    <w:rsid w:val="00FE4B30"/>
    <w:rsid w:val="00FE4BE4"/>
    <w:rsid w:val="00FE4C1B"/>
    <w:rsid w:val="00FE4C80"/>
    <w:rsid w:val="00FE4CF6"/>
    <w:rsid w:val="00FE4D53"/>
    <w:rsid w:val="00FE4D55"/>
    <w:rsid w:val="00FE4F9E"/>
    <w:rsid w:val="00FE4FEB"/>
    <w:rsid w:val="00FE5084"/>
    <w:rsid w:val="00FE50A0"/>
    <w:rsid w:val="00FE5125"/>
    <w:rsid w:val="00FE514D"/>
    <w:rsid w:val="00FE51B9"/>
    <w:rsid w:val="00FE5203"/>
    <w:rsid w:val="00FE5209"/>
    <w:rsid w:val="00FE520A"/>
    <w:rsid w:val="00FE52DD"/>
    <w:rsid w:val="00FE52F2"/>
    <w:rsid w:val="00FE53E1"/>
    <w:rsid w:val="00FE53E4"/>
    <w:rsid w:val="00FE53EF"/>
    <w:rsid w:val="00FE5412"/>
    <w:rsid w:val="00FE547B"/>
    <w:rsid w:val="00FE5489"/>
    <w:rsid w:val="00FE562B"/>
    <w:rsid w:val="00FE56AF"/>
    <w:rsid w:val="00FE57B4"/>
    <w:rsid w:val="00FE5808"/>
    <w:rsid w:val="00FE5836"/>
    <w:rsid w:val="00FE58F7"/>
    <w:rsid w:val="00FE590B"/>
    <w:rsid w:val="00FE5927"/>
    <w:rsid w:val="00FE59B1"/>
    <w:rsid w:val="00FE59D7"/>
    <w:rsid w:val="00FE5A12"/>
    <w:rsid w:val="00FE5A7D"/>
    <w:rsid w:val="00FE5AE1"/>
    <w:rsid w:val="00FE5B14"/>
    <w:rsid w:val="00FE5B88"/>
    <w:rsid w:val="00FE5BE9"/>
    <w:rsid w:val="00FE5C50"/>
    <w:rsid w:val="00FE5C9F"/>
    <w:rsid w:val="00FE5D9A"/>
    <w:rsid w:val="00FE5DA2"/>
    <w:rsid w:val="00FE5E3A"/>
    <w:rsid w:val="00FE5F1B"/>
    <w:rsid w:val="00FE5F22"/>
    <w:rsid w:val="00FE5F2C"/>
    <w:rsid w:val="00FE6048"/>
    <w:rsid w:val="00FE608B"/>
    <w:rsid w:val="00FE610B"/>
    <w:rsid w:val="00FE61DE"/>
    <w:rsid w:val="00FE62BF"/>
    <w:rsid w:val="00FE63E4"/>
    <w:rsid w:val="00FE64E4"/>
    <w:rsid w:val="00FE652E"/>
    <w:rsid w:val="00FE654C"/>
    <w:rsid w:val="00FE6574"/>
    <w:rsid w:val="00FE668A"/>
    <w:rsid w:val="00FE668C"/>
    <w:rsid w:val="00FE66F1"/>
    <w:rsid w:val="00FE6765"/>
    <w:rsid w:val="00FE6779"/>
    <w:rsid w:val="00FE6898"/>
    <w:rsid w:val="00FE68BF"/>
    <w:rsid w:val="00FE68FA"/>
    <w:rsid w:val="00FE694A"/>
    <w:rsid w:val="00FE69D0"/>
    <w:rsid w:val="00FE6B04"/>
    <w:rsid w:val="00FE6B80"/>
    <w:rsid w:val="00FE6BAC"/>
    <w:rsid w:val="00FE6C1F"/>
    <w:rsid w:val="00FE6C4A"/>
    <w:rsid w:val="00FE6CC0"/>
    <w:rsid w:val="00FE6CF9"/>
    <w:rsid w:val="00FE6CFA"/>
    <w:rsid w:val="00FE6D1C"/>
    <w:rsid w:val="00FE6D3D"/>
    <w:rsid w:val="00FE6DC4"/>
    <w:rsid w:val="00FE6E35"/>
    <w:rsid w:val="00FE6E4E"/>
    <w:rsid w:val="00FE6E6A"/>
    <w:rsid w:val="00FE6FD8"/>
    <w:rsid w:val="00FE6FE6"/>
    <w:rsid w:val="00FE7064"/>
    <w:rsid w:val="00FE7117"/>
    <w:rsid w:val="00FE711B"/>
    <w:rsid w:val="00FE718A"/>
    <w:rsid w:val="00FE71E2"/>
    <w:rsid w:val="00FE71FC"/>
    <w:rsid w:val="00FE73A2"/>
    <w:rsid w:val="00FE7425"/>
    <w:rsid w:val="00FE745E"/>
    <w:rsid w:val="00FE74D3"/>
    <w:rsid w:val="00FE78FF"/>
    <w:rsid w:val="00FE7911"/>
    <w:rsid w:val="00FE7930"/>
    <w:rsid w:val="00FE7965"/>
    <w:rsid w:val="00FE7993"/>
    <w:rsid w:val="00FE7AC6"/>
    <w:rsid w:val="00FE7B49"/>
    <w:rsid w:val="00FE7B84"/>
    <w:rsid w:val="00FE7BD2"/>
    <w:rsid w:val="00FE7CB8"/>
    <w:rsid w:val="00FE7DF7"/>
    <w:rsid w:val="00FE7DFD"/>
    <w:rsid w:val="00FE7E36"/>
    <w:rsid w:val="00FE7E55"/>
    <w:rsid w:val="00FE7EAF"/>
    <w:rsid w:val="00FE7F1B"/>
    <w:rsid w:val="00FF0009"/>
    <w:rsid w:val="00FF014B"/>
    <w:rsid w:val="00FF01C8"/>
    <w:rsid w:val="00FF02FC"/>
    <w:rsid w:val="00FF032E"/>
    <w:rsid w:val="00FF0331"/>
    <w:rsid w:val="00FF03A8"/>
    <w:rsid w:val="00FF03D3"/>
    <w:rsid w:val="00FF03EC"/>
    <w:rsid w:val="00FF0428"/>
    <w:rsid w:val="00FF0460"/>
    <w:rsid w:val="00FF04BA"/>
    <w:rsid w:val="00FF04BB"/>
    <w:rsid w:val="00FF0552"/>
    <w:rsid w:val="00FF05AA"/>
    <w:rsid w:val="00FF06D3"/>
    <w:rsid w:val="00FF0778"/>
    <w:rsid w:val="00FF079A"/>
    <w:rsid w:val="00FF07C9"/>
    <w:rsid w:val="00FF0889"/>
    <w:rsid w:val="00FF0983"/>
    <w:rsid w:val="00FF0A12"/>
    <w:rsid w:val="00FF0A2D"/>
    <w:rsid w:val="00FF0A5D"/>
    <w:rsid w:val="00FF0A9D"/>
    <w:rsid w:val="00FF0AE1"/>
    <w:rsid w:val="00FF0B0D"/>
    <w:rsid w:val="00FF0B61"/>
    <w:rsid w:val="00FF0C18"/>
    <w:rsid w:val="00FF0D6A"/>
    <w:rsid w:val="00FF0DDE"/>
    <w:rsid w:val="00FF0F7B"/>
    <w:rsid w:val="00FF0FF2"/>
    <w:rsid w:val="00FF104F"/>
    <w:rsid w:val="00FF1064"/>
    <w:rsid w:val="00FF112E"/>
    <w:rsid w:val="00FF1156"/>
    <w:rsid w:val="00FF117F"/>
    <w:rsid w:val="00FF11A4"/>
    <w:rsid w:val="00FF11F3"/>
    <w:rsid w:val="00FF1207"/>
    <w:rsid w:val="00FF1212"/>
    <w:rsid w:val="00FF124C"/>
    <w:rsid w:val="00FF1259"/>
    <w:rsid w:val="00FF12D2"/>
    <w:rsid w:val="00FF1329"/>
    <w:rsid w:val="00FF138F"/>
    <w:rsid w:val="00FF13F3"/>
    <w:rsid w:val="00FF148E"/>
    <w:rsid w:val="00FF14AF"/>
    <w:rsid w:val="00FF14E4"/>
    <w:rsid w:val="00FF1529"/>
    <w:rsid w:val="00FF155F"/>
    <w:rsid w:val="00FF16DB"/>
    <w:rsid w:val="00FF1735"/>
    <w:rsid w:val="00FF174C"/>
    <w:rsid w:val="00FF178E"/>
    <w:rsid w:val="00FF17D6"/>
    <w:rsid w:val="00FF1860"/>
    <w:rsid w:val="00FF18EE"/>
    <w:rsid w:val="00FF199B"/>
    <w:rsid w:val="00FF19A1"/>
    <w:rsid w:val="00FF19EA"/>
    <w:rsid w:val="00FF1A1F"/>
    <w:rsid w:val="00FF1A4E"/>
    <w:rsid w:val="00FF1A78"/>
    <w:rsid w:val="00FF1C9A"/>
    <w:rsid w:val="00FF1CF6"/>
    <w:rsid w:val="00FF1CFD"/>
    <w:rsid w:val="00FF1D86"/>
    <w:rsid w:val="00FF1DB7"/>
    <w:rsid w:val="00FF1E8B"/>
    <w:rsid w:val="00FF1EB5"/>
    <w:rsid w:val="00FF1F24"/>
    <w:rsid w:val="00FF1F35"/>
    <w:rsid w:val="00FF1F61"/>
    <w:rsid w:val="00FF1F9C"/>
    <w:rsid w:val="00FF1FB0"/>
    <w:rsid w:val="00FF2046"/>
    <w:rsid w:val="00FF2048"/>
    <w:rsid w:val="00FF2053"/>
    <w:rsid w:val="00FF207C"/>
    <w:rsid w:val="00FF20FF"/>
    <w:rsid w:val="00FF211E"/>
    <w:rsid w:val="00FF2147"/>
    <w:rsid w:val="00FF21F8"/>
    <w:rsid w:val="00FF2302"/>
    <w:rsid w:val="00FF23E5"/>
    <w:rsid w:val="00FF2403"/>
    <w:rsid w:val="00FF2437"/>
    <w:rsid w:val="00FF2457"/>
    <w:rsid w:val="00FF2491"/>
    <w:rsid w:val="00FF2498"/>
    <w:rsid w:val="00FF2528"/>
    <w:rsid w:val="00FF2561"/>
    <w:rsid w:val="00FF258C"/>
    <w:rsid w:val="00FF25E8"/>
    <w:rsid w:val="00FF2654"/>
    <w:rsid w:val="00FF26E8"/>
    <w:rsid w:val="00FF273B"/>
    <w:rsid w:val="00FF27A4"/>
    <w:rsid w:val="00FF27C1"/>
    <w:rsid w:val="00FF2847"/>
    <w:rsid w:val="00FF285F"/>
    <w:rsid w:val="00FF2891"/>
    <w:rsid w:val="00FF28AF"/>
    <w:rsid w:val="00FF294D"/>
    <w:rsid w:val="00FF297C"/>
    <w:rsid w:val="00FF29ED"/>
    <w:rsid w:val="00FF2A86"/>
    <w:rsid w:val="00FF2B29"/>
    <w:rsid w:val="00FF2B8B"/>
    <w:rsid w:val="00FF2BA4"/>
    <w:rsid w:val="00FF2BEE"/>
    <w:rsid w:val="00FF2BFA"/>
    <w:rsid w:val="00FF2C19"/>
    <w:rsid w:val="00FF2D5B"/>
    <w:rsid w:val="00FF2D9B"/>
    <w:rsid w:val="00FF2DAD"/>
    <w:rsid w:val="00FF2E05"/>
    <w:rsid w:val="00FF2E22"/>
    <w:rsid w:val="00FF2E72"/>
    <w:rsid w:val="00FF2FDF"/>
    <w:rsid w:val="00FF3195"/>
    <w:rsid w:val="00FF3249"/>
    <w:rsid w:val="00FF3386"/>
    <w:rsid w:val="00FF33B3"/>
    <w:rsid w:val="00FF33FB"/>
    <w:rsid w:val="00FF34E5"/>
    <w:rsid w:val="00FF352E"/>
    <w:rsid w:val="00FF35A6"/>
    <w:rsid w:val="00FF35CD"/>
    <w:rsid w:val="00FF3663"/>
    <w:rsid w:val="00FF36A3"/>
    <w:rsid w:val="00FF3790"/>
    <w:rsid w:val="00FF3819"/>
    <w:rsid w:val="00FF385F"/>
    <w:rsid w:val="00FF38F5"/>
    <w:rsid w:val="00FF3937"/>
    <w:rsid w:val="00FF39A6"/>
    <w:rsid w:val="00FF3A21"/>
    <w:rsid w:val="00FF3B02"/>
    <w:rsid w:val="00FF3BF5"/>
    <w:rsid w:val="00FF3C17"/>
    <w:rsid w:val="00FF3C70"/>
    <w:rsid w:val="00FF3D41"/>
    <w:rsid w:val="00FF3E4D"/>
    <w:rsid w:val="00FF3F1F"/>
    <w:rsid w:val="00FF3FFE"/>
    <w:rsid w:val="00FF409A"/>
    <w:rsid w:val="00FF40FD"/>
    <w:rsid w:val="00FF4108"/>
    <w:rsid w:val="00FF41AB"/>
    <w:rsid w:val="00FF43D9"/>
    <w:rsid w:val="00FF449A"/>
    <w:rsid w:val="00FF4556"/>
    <w:rsid w:val="00FF4574"/>
    <w:rsid w:val="00FF45DA"/>
    <w:rsid w:val="00FF45F7"/>
    <w:rsid w:val="00FF4641"/>
    <w:rsid w:val="00FF4658"/>
    <w:rsid w:val="00FF46D2"/>
    <w:rsid w:val="00FF471F"/>
    <w:rsid w:val="00FF47AD"/>
    <w:rsid w:val="00FF4A5C"/>
    <w:rsid w:val="00FF4A9F"/>
    <w:rsid w:val="00FF4AF6"/>
    <w:rsid w:val="00FF4BB5"/>
    <w:rsid w:val="00FF4C15"/>
    <w:rsid w:val="00FF4C7D"/>
    <w:rsid w:val="00FF4CA8"/>
    <w:rsid w:val="00FF4D4A"/>
    <w:rsid w:val="00FF4D57"/>
    <w:rsid w:val="00FF4E2F"/>
    <w:rsid w:val="00FF4EC9"/>
    <w:rsid w:val="00FF4F26"/>
    <w:rsid w:val="00FF4F7C"/>
    <w:rsid w:val="00FF4FAC"/>
    <w:rsid w:val="00FF4FD9"/>
    <w:rsid w:val="00FF5032"/>
    <w:rsid w:val="00FF507D"/>
    <w:rsid w:val="00FF5087"/>
    <w:rsid w:val="00FF5165"/>
    <w:rsid w:val="00FF518C"/>
    <w:rsid w:val="00FF51CB"/>
    <w:rsid w:val="00FF5201"/>
    <w:rsid w:val="00FF5243"/>
    <w:rsid w:val="00FF529F"/>
    <w:rsid w:val="00FF53C8"/>
    <w:rsid w:val="00FF5414"/>
    <w:rsid w:val="00FF5420"/>
    <w:rsid w:val="00FF5444"/>
    <w:rsid w:val="00FF5465"/>
    <w:rsid w:val="00FF5494"/>
    <w:rsid w:val="00FF54A2"/>
    <w:rsid w:val="00FF54F3"/>
    <w:rsid w:val="00FF5502"/>
    <w:rsid w:val="00FF551A"/>
    <w:rsid w:val="00FF558D"/>
    <w:rsid w:val="00FF55AE"/>
    <w:rsid w:val="00FF560D"/>
    <w:rsid w:val="00FF5651"/>
    <w:rsid w:val="00FF5678"/>
    <w:rsid w:val="00FF56E3"/>
    <w:rsid w:val="00FF56E8"/>
    <w:rsid w:val="00FF5710"/>
    <w:rsid w:val="00FF57B3"/>
    <w:rsid w:val="00FF57F8"/>
    <w:rsid w:val="00FF5875"/>
    <w:rsid w:val="00FF598D"/>
    <w:rsid w:val="00FF5B42"/>
    <w:rsid w:val="00FF5B67"/>
    <w:rsid w:val="00FF5B95"/>
    <w:rsid w:val="00FF5BE0"/>
    <w:rsid w:val="00FF5CAD"/>
    <w:rsid w:val="00FF5D78"/>
    <w:rsid w:val="00FF5DBE"/>
    <w:rsid w:val="00FF5E42"/>
    <w:rsid w:val="00FF5E68"/>
    <w:rsid w:val="00FF5E76"/>
    <w:rsid w:val="00FF5F02"/>
    <w:rsid w:val="00FF5F34"/>
    <w:rsid w:val="00FF5F38"/>
    <w:rsid w:val="00FF5F3F"/>
    <w:rsid w:val="00FF5F7E"/>
    <w:rsid w:val="00FF6001"/>
    <w:rsid w:val="00FF60C8"/>
    <w:rsid w:val="00FF623E"/>
    <w:rsid w:val="00FF6249"/>
    <w:rsid w:val="00FF62BE"/>
    <w:rsid w:val="00FF647E"/>
    <w:rsid w:val="00FF64FF"/>
    <w:rsid w:val="00FF656B"/>
    <w:rsid w:val="00FF65F3"/>
    <w:rsid w:val="00FF6631"/>
    <w:rsid w:val="00FF6667"/>
    <w:rsid w:val="00FF6746"/>
    <w:rsid w:val="00FF675C"/>
    <w:rsid w:val="00FF6804"/>
    <w:rsid w:val="00FF680C"/>
    <w:rsid w:val="00FF68CF"/>
    <w:rsid w:val="00FF68DD"/>
    <w:rsid w:val="00FF6932"/>
    <w:rsid w:val="00FF695B"/>
    <w:rsid w:val="00FF6A6C"/>
    <w:rsid w:val="00FF6BEF"/>
    <w:rsid w:val="00FF6C10"/>
    <w:rsid w:val="00FF6C52"/>
    <w:rsid w:val="00FF6CD7"/>
    <w:rsid w:val="00FF6CF4"/>
    <w:rsid w:val="00FF6F1A"/>
    <w:rsid w:val="00FF6F34"/>
    <w:rsid w:val="00FF6F81"/>
    <w:rsid w:val="00FF6FAB"/>
    <w:rsid w:val="00FF70D5"/>
    <w:rsid w:val="00FF7156"/>
    <w:rsid w:val="00FF7196"/>
    <w:rsid w:val="00FF7248"/>
    <w:rsid w:val="00FF729E"/>
    <w:rsid w:val="00FF72C9"/>
    <w:rsid w:val="00FF7420"/>
    <w:rsid w:val="00FF7448"/>
    <w:rsid w:val="00FF7517"/>
    <w:rsid w:val="00FF7519"/>
    <w:rsid w:val="00FF7630"/>
    <w:rsid w:val="00FF7680"/>
    <w:rsid w:val="00FF7702"/>
    <w:rsid w:val="00FF771F"/>
    <w:rsid w:val="00FF7733"/>
    <w:rsid w:val="00FF7777"/>
    <w:rsid w:val="00FF793B"/>
    <w:rsid w:val="00FF7951"/>
    <w:rsid w:val="00FF7953"/>
    <w:rsid w:val="00FF7BFB"/>
    <w:rsid w:val="00FF7D60"/>
    <w:rsid w:val="00FF7D7F"/>
    <w:rsid w:val="00FF7E09"/>
    <w:rsid w:val="00FF7E53"/>
    <w:rsid w:val="00FF7ED7"/>
    <w:rsid w:val="00FF7F57"/>
    <w:rsid w:val="00FF7FAB"/>
    <w:rsid w:val="00FF7FB6"/>
    <w:rsid w:val="00FF7FE8"/>
    <w:rsid w:val="014F41A8"/>
    <w:rsid w:val="017FE637"/>
    <w:rsid w:val="018E0663"/>
    <w:rsid w:val="01B08831"/>
    <w:rsid w:val="01EDC3E8"/>
    <w:rsid w:val="02605C4B"/>
    <w:rsid w:val="0265EE8D"/>
    <w:rsid w:val="026A6BFC"/>
    <w:rsid w:val="02743B88"/>
    <w:rsid w:val="02ABAE53"/>
    <w:rsid w:val="03F30BC4"/>
    <w:rsid w:val="040DC744"/>
    <w:rsid w:val="0426255F"/>
    <w:rsid w:val="04468DF6"/>
    <w:rsid w:val="0450EBFD"/>
    <w:rsid w:val="048B1E15"/>
    <w:rsid w:val="04AECE38"/>
    <w:rsid w:val="04F9DB2A"/>
    <w:rsid w:val="050E4463"/>
    <w:rsid w:val="051262D6"/>
    <w:rsid w:val="051BCAB7"/>
    <w:rsid w:val="05210E9D"/>
    <w:rsid w:val="05315A28"/>
    <w:rsid w:val="053FCF99"/>
    <w:rsid w:val="055A118A"/>
    <w:rsid w:val="055DA515"/>
    <w:rsid w:val="05948AC4"/>
    <w:rsid w:val="05BE5D6A"/>
    <w:rsid w:val="05C51619"/>
    <w:rsid w:val="05DBEB9D"/>
    <w:rsid w:val="05E07C00"/>
    <w:rsid w:val="061B45BD"/>
    <w:rsid w:val="0628EE04"/>
    <w:rsid w:val="062CE61C"/>
    <w:rsid w:val="0632B8D1"/>
    <w:rsid w:val="064900A3"/>
    <w:rsid w:val="06871FD4"/>
    <w:rsid w:val="06A03C48"/>
    <w:rsid w:val="06BE506E"/>
    <w:rsid w:val="06D7215A"/>
    <w:rsid w:val="06DFD416"/>
    <w:rsid w:val="06F80A77"/>
    <w:rsid w:val="06FF6B2C"/>
    <w:rsid w:val="071131A4"/>
    <w:rsid w:val="07560DCF"/>
    <w:rsid w:val="07663300"/>
    <w:rsid w:val="0780CFC1"/>
    <w:rsid w:val="07AB79FC"/>
    <w:rsid w:val="07B6348A"/>
    <w:rsid w:val="07BA191E"/>
    <w:rsid w:val="07C0EE8B"/>
    <w:rsid w:val="08064A3E"/>
    <w:rsid w:val="0850D085"/>
    <w:rsid w:val="087A50B9"/>
    <w:rsid w:val="088DD20D"/>
    <w:rsid w:val="08957963"/>
    <w:rsid w:val="08EA5C86"/>
    <w:rsid w:val="08FBCFA5"/>
    <w:rsid w:val="090663D3"/>
    <w:rsid w:val="0916F33C"/>
    <w:rsid w:val="092C298C"/>
    <w:rsid w:val="0955DE8D"/>
    <w:rsid w:val="0972D18C"/>
    <w:rsid w:val="097CC195"/>
    <w:rsid w:val="09EA6711"/>
    <w:rsid w:val="09FB8CC7"/>
    <w:rsid w:val="09FF8053"/>
    <w:rsid w:val="0A1D51AF"/>
    <w:rsid w:val="0A4150B5"/>
    <w:rsid w:val="0A67FC79"/>
    <w:rsid w:val="0A75F561"/>
    <w:rsid w:val="0A8B6C56"/>
    <w:rsid w:val="0ADE2758"/>
    <w:rsid w:val="0AE8224B"/>
    <w:rsid w:val="0B5CEF9E"/>
    <w:rsid w:val="0B5F71F7"/>
    <w:rsid w:val="0B8B76C7"/>
    <w:rsid w:val="0B92AA94"/>
    <w:rsid w:val="0B957E24"/>
    <w:rsid w:val="0BB51C92"/>
    <w:rsid w:val="0BC38D72"/>
    <w:rsid w:val="0C1C2FDC"/>
    <w:rsid w:val="0CBB9825"/>
    <w:rsid w:val="0CC5BB1D"/>
    <w:rsid w:val="0CD5D56A"/>
    <w:rsid w:val="0CEABE3C"/>
    <w:rsid w:val="0CF6D39C"/>
    <w:rsid w:val="0CF8D73A"/>
    <w:rsid w:val="0CFFB704"/>
    <w:rsid w:val="0D324C6F"/>
    <w:rsid w:val="0D3F1FC3"/>
    <w:rsid w:val="0DC9E747"/>
    <w:rsid w:val="0DE59C83"/>
    <w:rsid w:val="0E09C946"/>
    <w:rsid w:val="0E775807"/>
    <w:rsid w:val="0EA3F5B7"/>
    <w:rsid w:val="0EA49D9B"/>
    <w:rsid w:val="0EAD3C2B"/>
    <w:rsid w:val="0EB17D39"/>
    <w:rsid w:val="0EBC0E66"/>
    <w:rsid w:val="0EBDC19A"/>
    <w:rsid w:val="0EDC4311"/>
    <w:rsid w:val="0F24A15C"/>
    <w:rsid w:val="0F389658"/>
    <w:rsid w:val="0F6B3E18"/>
    <w:rsid w:val="0F7034BE"/>
    <w:rsid w:val="0F7E22AA"/>
    <w:rsid w:val="0FA5CCD7"/>
    <w:rsid w:val="0FBBB920"/>
    <w:rsid w:val="0FBEFA07"/>
    <w:rsid w:val="0FC30EB0"/>
    <w:rsid w:val="103D3D99"/>
    <w:rsid w:val="103F1BA2"/>
    <w:rsid w:val="104E5237"/>
    <w:rsid w:val="10956D52"/>
    <w:rsid w:val="10C5FC97"/>
    <w:rsid w:val="10DD6581"/>
    <w:rsid w:val="10EBA341"/>
    <w:rsid w:val="111BA5CF"/>
    <w:rsid w:val="111F2468"/>
    <w:rsid w:val="1120A98B"/>
    <w:rsid w:val="1129CB1F"/>
    <w:rsid w:val="113780BD"/>
    <w:rsid w:val="11CB4DD0"/>
    <w:rsid w:val="11CE4288"/>
    <w:rsid w:val="11DA7031"/>
    <w:rsid w:val="11ECD174"/>
    <w:rsid w:val="11FBCC7C"/>
    <w:rsid w:val="11FE59FC"/>
    <w:rsid w:val="1205D46E"/>
    <w:rsid w:val="12290505"/>
    <w:rsid w:val="12465F04"/>
    <w:rsid w:val="124EF6FE"/>
    <w:rsid w:val="12722EA6"/>
    <w:rsid w:val="129AFB60"/>
    <w:rsid w:val="12D459EB"/>
    <w:rsid w:val="12EC07D9"/>
    <w:rsid w:val="13130EC4"/>
    <w:rsid w:val="13196DBD"/>
    <w:rsid w:val="1334BD4C"/>
    <w:rsid w:val="133F6008"/>
    <w:rsid w:val="135791C6"/>
    <w:rsid w:val="13719403"/>
    <w:rsid w:val="13E455CC"/>
    <w:rsid w:val="13FDF75B"/>
    <w:rsid w:val="14001B08"/>
    <w:rsid w:val="14024FDC"/>
    <w:rsid w:val="1405B007"/>
    <w:rsid w:val="14118058"/>
    <w:rsid w:val="14193C7D"/>
    <w:rsid w:val="142BF8C1"/>
    <w:rsid w:val="144BE6AA"/>
    <w:rsid w:val="1452A586"/>
    <w:rsid w:val="1462202E"/>
    <w:rsid w:val="14711D81"/>
    <w:rsid w:val="1489A74D"/>
    <w:rsid w:val="14D0D47B"/>
    <w:rsid w:val="14F0DD56"/>
    <w:rsid w:val="14F6D192"/>
    <w:rsid w:val="1502CBB0"/>
    <w:rsid w:val="15109A61"/>
    <w:rsid w:val="15255BC6"/>
    <w:rsid w:val="152C7076"/>
    <w:rsid w:val="1551B3B3"/>
    <w:rsid w:val="15648CE3"/>
    <w:rsid w:val="156CF817"/>
    <w:rsid w:val="15799B88"/>
    <w:rsid w:val="15819E9A"/>
    <w:rsid w:val="159A8CAF"/>
    <w:rsid w:val="15BE43E8"/>
    <w:rsid w:val="15E42390"/>
    <w:rsid w:val="15EC0735"/>
    <w:rsid w:val="15FBBA7B"/>
    <w:rsid w:val="160077BD"/>
    <w:rsid w:val="16010EF8"/>
    <w:rsid w:val="1632B192"/>
    <w:rsid w:val="166D73A1"/>
    <w:rsid w:val="166F75C0"/>
    <w:rsid w:val="167048D9"/>
    <w:rsid w:val="16776813"/>
    <w:rsid w:val="1687D48C"/>
    <w:rsid w:val="168F49BE"/>
    <w:rsid w:val="16D88C8B"/>
    <w:rsid w:val="16DC7C1C"/>
    <w:rsid w:val="173A6847"/>
    <w:rsid w:val="177157CB"/>
    <w:rsid w:val="178A1D24"/>
    <w:rsid w:val="1792EB62"/>
    <w:rsid w:val="179FF9D0"/>
    <w:rsid w:val="17B40FB4"/>
    <w:rsid w:val="17B68D44"/>
    <w:rsid w:val="17CD7D87"/>
    <w:rsid w:val="17FE6241"/>
    <w:rsid w:val="1807B959"/>
    <w:rsid w:val="180E3E45"/>
    <w:rsid w:val="182AE6C0"/>
    <w:rsid w:val="18945DAC"/>
    <w:rsid w:val="1897D7FE"/>
    <w:rsid w:val="18BA2994"/>
    <w:rsid w:val="18D06EDF"/>
    <w:rsid w:val="18D5AE9D"/>
    <w:rsid w:val="18E6B201"/>
    <w:rsid w:val="18EA0CC1"/>
    <w:rsid w:val="18FF052C"/>
    <w:rsid w:val="19210F3E"/>
    <w:rsid w:val="19378D12"/>
    <w:rsid w:val="1938F2AB"/>
    <w:rsid w:val="19575ED4"/>
    <w:rsid w:val="198C1930"/>
    <w:rsid w:val="19CC881A"/>
    <w:rsid w:val="1A13459C"/>
    <w:rsid w:val="1A174CAA"/>
    <w:rsid w:val="1A4A2AAE"/>
    <w:rsid w:val="1A5CBDF1"/>
    <w:rsid w:val="1A7F8AC3"/>
    <w:rsid w:val="1A86BE81"/>
    <w:rsid w:val="1A8E8D27"/>
    <w:rsid w:val="1A927355"/>
    <w:rsid w:val="1AB91D2F"/>
    <w:rsid w:val="1B054071"/>
    <w:rsid w:val="1B105349"/>
    <w:rsid w:val="1B196F3C"/>
    <w:rsid w:val="1B42C59D"/>
    <w:rsid w:val="1B508EBC"/>
    <w:rsid w:val="1B622473"/>
    <w:rsid w:val="1B7B1144"/>
    <w:rsid w:val="1B8E61CC"/>
    <w:rsid w:val="1B9655C3"/>
    <w:rsid w:val="1B99BB73"/>
    <w:rsid w:val="1BB2349D"/>
    <w:rsid w:val="1BCBEF9A"/>
    <w:rsid w:val="1BDB3E20"/>
    <w:rsid w:val="1BEDE301"/>
    <w:rsid w:val="1C0E9F60"/>
    <w:rsid w:val="1C30F508"/>
    <w:rsid w:val="1C4BA745"/>
    <w:rsid w:val="1C798941"/>
    <w:rsid w:val="1CCD2D84"/>
    <w:rsid w:val="1CF3F6F6"/>
    <w:rsid w:val="1CFEC218"/>
    <w:rsid w:val="1D0B4DFD"/>
    <w:rsid w:val="1D1CDEE3"/>
    <w:rsid w:val="1D3B97F1"/>
    <w:rsid w:val="1D3E5E35"/>
    <w:rsid w:val="1D49668B"/>
    <w:rsid w:val="1D56BE99"/>
    <w:rsid w:val="1D74DECE"/>
    <w:rsid w:val="1D8F71F2"/>
    <w:rsid w:val="1DCDE678"/>
    <w:rsid w:val="1DEF4039"/>
    <w:rsid w:val="1E2DFB37"/>
    <w:rsid w:val="1E6D6332"/>
    <w:rsid w:val="1E78C3D7"/>
    <w:rsid w:val="1E8BB065"/>
    <w:rsid w:val="1EB2CEE5"/>
    <w:rsid w:val="1EB9AEC6"/>
    <w:rsid w:val="1EBB5AF9"/>
    <w:rsid w:val="1EC002D4"/>
    <w:rsid w:val="1EE45DDF"/>
    <w:rsid w:val="1F0E9FD9"/>
    <w:rsid w:val="1F11390B"/>
    <w:rsid w:val="1F41AD14"/>
    <w:rsid w:val="1F7181C8"/>
    <w:rsid w:val="1F8978B5"/>
    <w:rsid w:val="1F8CC2C1"/>
    <w:rsid w:val="1F8F4BB0"/>
    <w:rsid w:val="1FB7B9E2"/>
    <w:rsid w:val="1FB8C74D"/>
    <w:rsid w:val="1FC326A4"/>
    <w:rsid w:val="1FCFE457"/>
    <w:rsid w:val="1FD368BD"/>
    <w:rsid w:val="202C4923"/>
    <w:rsid w:val="202D1D26"/>
    <w:rsid w:val="2059F6F1"/>
    <w:rsid w:val="205F183A"/>
    <w:rsid w:val="206B8E7C"/>
    <w:rsid w:val="20782221"/>
    <w:rsid w:val="20B1CC92"/>
    <w:rsid w:val="20B2B5A9"/>
    <w:rsid w:val="20B6650B"/>
    <w:rsid w:val="20B7EC03"/>
    <w:rsid w:val="20FBA1B1"/>
    <w:rsid w:val="21330AE1"/>
    <w:rsid w:val="2166031B"/>
    <w:rsid w:val="216FD7B1"/>
    <w:rsid w:val="217FC071"/>
    <w:rsid w:val="218D16F2"/>
    <w:rsid w:val="218D5F72"/>
    <w:rsid w:val="219B259F"/>
    <w:rsid w:val="219FC2DE"/>
    <w:rsid w:val="21A5B779"/>
    <w:rsid w:val="21C6FA2A"/>
    <w:rsid w:val="21F13653"/>
    <w:rsid w:val="22154E05"/>
    <w:rsid w:val="22340ABE"/>
    <w:rsid w:val="224AE7E0"/>
    <w:rsid w:val="2259F431"/>
    <w:rsid w:val="22782D10"/>
    <w:rsid w:val="22B57432"/>
    <w:rsid w:val="22CB6B5A"/>
    <w:rsid w:val="23039966"/>
    <w:rsid w:val="230960E9"/>
    <w:rsid w:val="232111B2"/>
    <w:rsid w:val="23F6BC21"/>
    <w:rsid w:val="242DE392"/>
    <w:rsid w:val="243AD5E9"/>
    <w:rsid w:val="2441235E"/>
    <w:rsid w:val="24621042"/>
    <w:rsid w:val="246497A8"/>
    <w:rsid w:val="2476B2F2"/>
    <w:rsid w:val="247BAE19"/>
    <w:rsid w:val="24923987"/>
    <w:rsid w:val="249495E4"/>
    <w:rsid w:val="24AD2FD2"/>
    <w:rsid w:val="24DE0A5B"/>
    <w:rsid w:val="24F82F2F"/>
    <w:rsid w:val="251D8410"/>
    <w:rsid w:val="25244AE6"/>
    <w:rsid w:val="25522652"/>
    <w:rsid w:val="25527303"/>
    <w:rsid w:val="2553D540"/>
    <w:rsid w:val="255901F0"/>
    <w:rsid w:val="257E4C91"/>
    <w:rsid w:val="259DA5F1"/>
    <w:rsid w:val="25CA0D31"/>
    <w:rsid w:val="25EC4A0B"/>
    <w:rsid w:val="25F164E4"/>
    <w:rsid w:val="26197594"/>
    <w:rsid w:val="26234D53"/>
    <w:rsid w:val="2646CCD5"/>
    <w:rsid w:val="2661C2A4"/>
    <w:rsid w:val="2675ADE7"/>
    <w:rsid w:val="268DDAB1"/>
    <w:rsid w:val="269305A3"/>
    <w:rsid w:val="26B74E8B"/>
    <w:rsid w:val="26FD1EC8"/>
    <w:rsid w:val="270B3298"/>
    <w:rsid w:val="2744BF91"/>
    <w:rsid w:val="275D2A14"/>
    <w:rsid w:val="2781F453"/>
    <w:rsid w:val="279E82EF"/>
    <w:rsid w:val="27C162E7"/>
    <w:rsid w:val="27D24065"/>
    <w:rsid w:val="27D60EB6"/>
    <w:rsid w:val="27E33433"/>
    <w:rsid w:val="2811F3B4"/>
    <w:rsid w:val="28172797"/>
    <w:rsid w:val="282001EC"/>
    <w:rsid w:val="2855681A"/>
    <w:rsid w:val="28763E81"/>
    <w:rsid w:val="287A57EE"/>
    <w:rsid w:val="28889648"/>
    <w:rsid w:val="288D50A1"/>
    <w:rsid w:val="28DF1111"/>
    <w:rsid w:val="290BCB4C"/>
    <w:rsid w:val="290E6F5E"/>
    <w:rsid w:val="296C153E"/>
    <w:rsid w:val="29781689"/>
    <w:rsid w:val="29DE0C93"/>
    <w:rsid w:val="29F26BFC"/>
    <w:rsid w:val="2A001286"/>
    <w:rsid w:val="2A0AB2D8"/>
    <w:rsid w:val="2A191B55"/>
    <w:rsid w:val="2A37437E"/>
    <w:rsid w:val="2A3838D9"/>
    <w:rsid w:val="2A3AB439"/>
    <w:rsid w:val="2A59394C"/>
    <w:rsid w:val="2AA5F8AD"/>
    <w:rsid w:val="2AB618A8"/>
    <w:rsid w:val="2B044C1B"/>
    <w:rsid w:val="2B0759F8"/>
    <w:rsid w:val="2B0C5533"/>
    <w:rsid w:val="2B2DB113"/>
    <w:rsid w:val="2B482792"/>
    <w:rsid w:val="2B4C2CB9"/>
    <w:rsid w:val="2B5FF835"/>
    <w:rsid w:val="2B68ACB0"/>
    <w:rsid w:val="2B759A45"/>
    <w:rsid w:val="2B83A757"/>
    <w:rsid w:val="2BAFE345"/>
    <w:rsid w:val="2BE43960"/>
    <w:rsid w:val="2C1D04F3"/>
    <w:rsid w:val="2C2AD6E1"/>
    <w:rsid w:val="2C7591BD"/>
    <w:rsid w:val="2CACC140"/>
    <w:rsid w:val="2D095C8E"/>
    <w:rsid w:val="2D15C874"/>
    <w:rsid w:val="2D358736"/>
    <w:rsid w:val="2D4969AE"/>
    <w:rsid w:val="2D5D2823"/>
    <w:rsid w:val="2D683AE0"/>
    <w:rsid w:val="2DA2B75A"/>
    <w:rsid w:val="2DAB4A21"/>
    <w:rsid w:val="2DCA8090"/>
    <w:rsid w:val="2DD2A7F9"/>
    <w:rsid w:val="2DF674C9"/>
    <w:rsid w:val="2E04EFFC"/>
    <w:rsid w:val="2E1DB7DB"/>
    <w:rsid w:val="2E279583"/>
    <w:rsid w:val="2E31CDE9"/>
    <w:rsid w:val="2E336DB5"/>
    <w:rsid w:val="2E375142"/>
    <w:rsid w:val="2E76A8F0"/>
    <w:rsid w:val="2EB2380E"/>
    <w:rsid w:val="2EBFD193"/>
    <w:rsid w:val="2EC98AE7"/>
    <w:rsid w:val="2EDF03C4"/>
    <w:rsid w:val="2F021CE0"/>
    <w:rsid w:val="2F06CECA"/>
    <w:rsid w:val="2F0EDD5A"/>
    <w:rsid w:val="2F0FDEBE"/>
    <w:rsid w:val="2F156BCE"/>
    <w:rsid w:val="2F323343"/>
    <w:rsid w:val="2F645C2B"/>
    <w:rsid w:val="2F8AB2BE"/>
    <w:rsid w:val="2FF2AA21"/>
    <w:rsid w:val="3012C217"/>
    <w:rsid w:val="301D19BC"/>
    <w:rsid w:val="3020FCDF"/>
    <w:rsid w:val="3060D809"/>
    <w:rsid w:val="3067FA07"/>
    <w:rsid w:val="3085BFAD"/>
    <w:rsid w:val="308A6F70"/>
    <w:rsid w:val="30C90ECE"/>
    <w:rsid w:val="30FE5CB5"/>
    <w:rsid w:val="30FF3AA4"/>
    <w:rsid w:val="31010B1F"/>
    <w:rsid w:val="312DBCB3"/>
    <w:rsid w:val="313386FB"/>
    <w:rsid w:val="316F0A5B"/>
    <w:rsid w:val="318BB083"/>
    <w:rsid w:val="3197F67A"/>
    <w:rsid w:val="31A712B8"/>
    <w:rsid w:val="31AACE90"/>
    <w:rsid w:val="31B99879"/>
    <w:rsid w:val="31D2A4BA"/>
    <w:rsid w:val="31D3B91C"/>
    <w:rsid w:val="32357C83"/>
    <w:rsid w:val="3238BEAD"/>
    <w:rsid w:val="324F900E"/>
    <w:rsid w:val="3284F9D8"/>
    <w:rsid w:val="3285B6BD"/>
    <w:rsid w:val="328BD220"/>
    <w:rsid w:val="32B3101E"/>
    <w:rsid w:val="32B4CA18"/>
    <w:rsid w:val="32C9530D"/>
    <w:rsid w:val="3308EDEA"/>
    <w:rsid w:val="330B0868"/>
    <w:rsid w:val="33398BDF"/>
    <w:rsid w:val="33416126"/>
    <w:rsid w:val="336195B5"/>
    <w:rsid w:val="33A20193"/>
    <w:rsid w:val="33A2F3F1"/>
    <w:rsid w:val="33D24F04"/>
    <w:rsid w:val="33DDBE00"/>
    <w:rsid w:val="33EF0421"/>
    <w:rsid w:val="34046873"/>
    <w:rsid w:val="341EAA52"/>
    <w:rsid w:val="3423FD02"/>
    <w:rsid w:val="3446027D"/>
    <w:rsid w:val="3447401B"/>
    <w:rsid w:val="344CB78B"/>
    <w:rsid w:val="34712EF9"/>
    <w:rsid w:val="3489626E"/>
    <w:rsid w:val="34D46AB2"/>
    <w:rsid w:val="34D6E121"/>
    <w:rsid w:val="34FEA30B"/>
    <w:rsid w:val="350136C8"/>
    <w:rsid w:val="3539858F"/>
    <w:rsid w:val="354F323F"/>
    <w:rsid w:val="3557E336"/>
    <w:rsid w:val="3566CBA6"/>
    <w:rsid w:val="356716DD"/>
    <w:rsid w:val="35775321"/>
    <w:rsid w:val="35C50C97"/>
    <w:rsid w:val="35D9E431"/>
    <w:rsid w:val="35EC8A87"/>
    <w:rsid w:val="3651D42E"/>
    <w:rsid w:val="365834FC"/>
    <w:rsid w:val="3668003F"/>
    <w:rsid w:val="36D9CD65"/>
    <w:rsid w:val="36E5C106"/>
    <w:rsid w:val="36FDCA87"/>
    <w:rsid w:val="37257C13"/>
    <w:rsid w:val="37287BE0"/>
    <w:rsid w:val="374FACC3"/>
    <w:rsid w:val="3776AB83"/>
    <w:rsid w:val="3790BB0A"/>
    <w:rsid w:val="379A580B"/>
    <w:rsid w:val="37CFBD22"/>
    <w:rsid w:val="37DA3537"/>
    <w:rsid w:val="37E622F2"/>
    <w:rsid w:val="37FA16C9"/>
    <w:rsid w:val="37FA5978"/>
    <w:rsid w:val="37FEBF57"/>
    <w:rsid w:val="38004F02"/>
    <w:rsid w:val="380B2087"/>
    <w:rsid w:val="382439E0"/>
    <w:rsid w:val="384D7650"/>
    <w:rsid w:val="38BE2F91"/>
    <w:rsid w:val="38E3D2CE"/>
    <w:rsid w:val="3924DA64"/>
    <w:rsid w:val="39334E19"/>
    <w:rsid w:val="3936374E"/>
    <w:rsid w:val="393A1E9E"/>
    <w:rsid w:val="39439571"/>
    <w:rsid w:val="399AD083"/>
    <w:rsid w:val="39C6EFBE"/>
    <w:rsid w:val="39FA0C98"/>
    <w:rsid w:val="3A0A1ACB"/>
    <w:rsid w:val="3A36785B"/>
    <w:rsid w:val="3A911801"/>
    <w:rsid w:val="3A93B1D1"/>
    <w:rsid w:val="3AC17D9B"/>
    <w:rsid w:val="3AC3FFEB"/>
    <w:rsid w:val="3AC973F9"/>
    <w:rsid w:val="3ACF5F74"/>
    <w:rsid w:val="3B0E960E"/>
    <w:rsid w:val="3B1AF0D4"/>
    <w:rsid w:val="3B44698B"/>
    <w:rsid w:val="3B5ACAC9"/>
    <w:rsid w:val="3B758D0B"/>
    <w:rsid w:val="3B96D0B1"/>
    <w:rsid w:val="3BA42930"/>
    <w:rsid w:val="3BC44430"/>
    <w:rsid w:val="3BC76CD3"/>
    <w:rsid w:val="3BD528C4"/>
    <w:rsid w:val="3BE043E6"/>
    <w:rsid w:val="3BE834D1"/>
    <w:rsid w:val="3C0BB60D"/>
    <w:rsid w:val="3C13504D"/>
    <w:rsid w:val="3C2A4D98"/>
    <w:rsid w:val="3C3BF2E5"/>
    <w:rsid w:val="3C41B66D"/>
    <w:rsid w:val="3C5F6235"/>
    <w:rsid w:val="3C806E88"/>
    <w:rsid w:val="3CC4F129"/>
    <w:rsid w:val="3CDD8187"/>
    <w:rsid w:val="3CE68D77"/>
    <w:rsid w:val="3CEA505A"/>
    <w:rsid w:val="3D2EEA04"/>
    <w:rsid w:val="3D3730ED"/>
    <w:rsid w:val="3D53A3F6"/>
    <w:rsid w:val="3D7B0C67"/>
    <w:rsid w:val="3DB53A68"/>
    <w:rsid w:val="3DEC2AFB"/>
    <w:rsid w:val="3DFF56C4"/>
    <w:rsid w:val="3E114C16"/>
    <w:rsid w:val="3E1AE51A"/>
    <w:rsid w:val="3E34665D"/>
    <w:rsid w:val="3EA4C283"/>
    <w:rsid w:val="3EBCA47D"/>
    <w:rsid w:val="3EE28490"/>
    <w:rsid w:val="3F07D78F"/>
    <w:rsid w:val="3F13B83E"/>
    <w:rsid w:val="3F6945ED"/>
    <w:rsid w:val="3F78DA1D"/>
    <w:rsid w:val="3F950F9C"/>
    <w:rsid w:val="3FBA8ECE"/>
    <w:rsid w:val="3FDDA70A"/>
    <w:rsid w:val="3FE013B9"/>
    <w:rsid w:val="3FEC0D72"/>
    <w:rsid w:val="4014D7A2"/>
    <w:rsid w:val="4020F148"/>
    <w:rsid w:val="40388C60"/>
    <w:rsid w:val="4039FEE1"/>
    <w:rsid w:val="403DB50C"/>
    <w:rsid w:val="40483667"/>
    <w:rsid w:val="405E1C72"/>
    <w:rsid w:val="407E390B"/>
    <w:rsid w:val="408E623F"/>
    <w:rsid w:val="40D56424"/>
    <w:rsid w:val="41113729"/>
    <w:rsid w:val="412CC6E5"/>
    <w:rsid w:val="41547D23"/>
    <w:rsid w:val="415E8148"/>
    <w:rsid w:val="4166E0CA"/>
    <w:rsid w:val="41BE7476"/>
    <w:rsid w:val="41DDB36F"/>
    <w:rsid w:val="41F11EB8"/>
    <w:rsid w:val="4215F519"/>
    <w:rsid w:val="424FFD49"/>
    <w:rsid w:val="425F1F4D"/>
    <w:rsid w:val="426081B0"/>
    <w:rsid w:val="42BFAF85"/>
    <w:rsid w:val="42D08D84"/>
    <w:rsid w:val="43004D6F"/>
    <w:rsid w:val="43093AE8"/>
    <w:rsid w:val="431203E4"/>
    <w:rsid w:val="4313DD5C"/>
    <w:rsid w:val="43148FAD"/>
    <w:rsid w:val="4319E9B5"/>
    <w:rsid w:val="4322DCEF"/>
    <w:rsid w:val="433EE4F1"/>
    <w:rsid w:val="437E7F8E"/>
    <w:rsid w:val="438012BC"/>
    <w:rsid w:val="4383DDB7"/>
    <w:rsid w:val="43C54E7F"/>
    <w:rsid w:val="43D22E2A"/>
    <w:rsid w:val="43E0C2DB"/>
    <w:rsid w:val="43E77296"/>
    <w:rsid w:val="4415797E"/>
    <w:rsid w:val="441BEBEA"/>
    <w:rsid w:val="44344424"/>
    <w:rsid w:val="444F3BA9"/>
    <w:rsid w:val="445DD31B"/>
    <w:rsid w:val="44899CC6"/>
    <w:rsid w:val="44A6A8C8"/>
    <w:rsid w:val="44B947E0"/>
    <w:rsid w:val="44E6EE85"/>
    <w:rsid w:val="44FDAC5C"/>
    <w:rsid w:val="4510213C"/>
    <w:rsid w:val="453A2AF2"/>
    <w:rsid w:val="45637356"/>
    <w:rsid w:val="4563DD32"/>
    <w:rsid w:val="459827A2"/>
    <w:rsid w:val="45A920AD"/>
    <w:rsid w:val="45AE15B0"/>
    <w:rsid w:val="45AFFEFB"/>
    <w:rsid w:val="45B7039F"/>
    <w:rsid w:val="45CFDF71"/>
    <w:rsid w:val="45E7250F"/>
    <w:rsid w:val="45F768EA"/>
    <w:rsid w:val="4623F92D"/>
    <w:rsid w:val="463CF37F"/>
    <w:rsid w:val="463F6A46"/>
    <w:rsid w:val="46754506"/>
    <w:rsid w:val="468F5EC5"/>
    <w:rsid w:val="469BA5D4"/>
    <w:rsid w:val="469F4BC7"/>
    <w:rsid w:val="46ED4DBB"/>
    <w:rsid w:val="4702C223"/>
    <w:rsid w:val="471ADE97"/>
    <w:rsid w:val="4734234B"/>
    <w:rsid w:val="474D7499"/>
    <w:rsid w:val="478C05AA"/>
    <w:rsid w:val="47916EAE"/>
    <w:rsid w:val="47B87101"/>
    <w:rsid w:val="47D8E692"/>
    <w:rsid w:val="47DFD6F3"/>
    <w:rsid w:val="481F0AC7"/>
    <w:rsid w:val="488EFFBB"/>
    <w:rsid w:val="48FCAB1E"/>
    <w:rsid w:val="4936DE7A"/>
    <w:rsid w:val="493B8CB4"/>
    <w:rsid w:val="493E5C2F"/>
    <w:rsid w:val="494FD6AE"/>
    <w:rsid w:val="495FB84D"/>
    <w:rsid w:val="4964CFCF"/>
    <w:rsid w:val="4965D11B"/>
    <w:rsid w:val="4980D3C4"/>
    <w:rsid w:val="49A1F7CF"/>
    <w:rsid w:val="49B73716"/>
    <w:rsid w:val="49C5B244"/>
    <w:rsid w:val="49CC9C46"/>
    <w:rsid w:val="49E1F6E2"/>
    <w:rsid w:val="49F7F2EF"/>
    <w:rsid w:val="4A091E1F"/>
    <w:rsid w:val="4A1FE9FD"/>
    <w:rsid w:val="4A5BB826"/>
    <w:rsid w:val="4A5E092C"/>
    <w:rsid w:val="4AACCCED"/>
    <w:rsid w:val="4AB22634"/>
    <w:rsid w:val="4AF260A6"/>
    <w:rsid w:val="4B4753EE"/>
    <w:rsid w:val="4B61652D"/>
    <w:rsid w:val="4B6E105A"/>
    <w:rsid w:val="4B80F4BB"/>
    <w:rsid w:val="4C154795"/>
    <w:rsid w:val="4C1DCD3A"/>
    <w:rsid w:val="4C46CE2A"/>
    <w:rsid w:val="4C492332"/>
    <w:rsid w:val="4C5D70EE"/>
    <w:rsid w:val="4CA00810"/>
    <w:rsid w:val="4CB6149F"/>
    <w:rsid w:val="4CD01D57"/>
    <w:rsid w:val="4CD3BC67"/>
    <w:rsid w:val="4D5160E7"/>
    <w:rsid w:val="4D559FF3"/>
    <w:rsid w:val="4D58DDEB"/>
    <w:rsid w:val="4D92C6CF"/>
    <w:rsid w:val="4D93406C"/>
    <w:rsid w:val="4DEF6A9A"/>
    <w:rsid w:val="4E426191"/>
    <w:rsid w:val="4E526723"/>
    <w:rsid w:val="4E60A42B"/>
    <w:rsid w:val="4E672032"/>
    <w:rsid w:val="4E86DA97"/>
    <w:rsid w:val="4F05B3A8"/>
    <w:rsid w:val="4F2D45F3"/>
    <w:rsid w:val="4F390C6D"/>
    <w:rsid w:val="4F438BA4"/>
    <w:rsid w:val="4F4B082F"/>
    <w:rsid w:val="4F597A8F"/>
    <w:rsid w:val="4F824169"/>
    <w:rsid w:val="4F9C59F4"/>
    <w:rsid w:val="4FD8F9D4"/>
    <w:rsid w:val="4FE59FE4"/>
    <w:rsid w:val="4FECF353"/>
    <w:rsid w:val="50145823"/>
    <w:rsid w:val="501CD193"/>
    <w:rsid w:val="50494876"/>
    <w:rsid w:val="506FB7C1"/>
    <w:rsid w:val="50A334AA"/>
    <w:rsid w:val="50B274BA"/>
    <w:rsid w:val="50CD5B9D"/>
    <w:rsid w:val="50D50B36"/>
    <w:rsid w:val="50D819EE"/>
    <w:rsid w:val="50D92BE5"/>
    <w:rsid w:val="50FF4187"/>
    <w:rsid w:val="510B0537"/>
    <w:rsid w:val="51314A65"/>
    <w:rsid w:val="51339E04"/>
    <w:rsid w:val="5180E4BA"/>
    <w:rsid w:val="51B610A2"/>
    <w:rsid w:val="51D2A04A"/>
    <w:rsid w:val="51E5C702"/>
    <w:rsid w:val="5225A065"/>
    <w:rsid w:val="5228C251"/>
    <w:rsid w:val="5233DB37"/>
    <w:rsid w:val="5270C0C4"/>
    <w:rsid w:val="527593D9"/>
    <w:rsid w:val="5276C5BA"/>
    <w:rsid w:val="5295118F"/>
    <w:rsid w:val="52B39175"/>
    <w:rsid w:val="52DB896E"/>
    <w:rsid w:val="530CB250"/>
    <w:rsid w:val="533B00BE"/>
    <w:rsid w:val="533C2417"/>
    <w:rsid w:val="533F7A54"/>
    <w:rsid w:val="534FC393"/>
    <w:rsid w:val="5394EA05"/>
    <w:rsid w:val="53ECE47A"/>
    <w:rsid w:val="542A4C33"/>
    <w:rsid w:val="5446B57C"/>
    <w:rsid w:val="54621BAC"/>
    <w:rsid w:val="54720498"/>
    <w:rsid w:val="5483EF80"/>
    <w:rsid w:val="548D26D8"/>
    <w:rsid w:val="54C9B9B3"/>
    <w:rsid w:val="550BCE9F"/>
    <w:rsid w:val="5524F45D"/>
    <w:rsid w:val="555126DE"/>
    <w:rsid w:val="5553BEFC"/>
    <w:rsid w:val="55546251"/>
    <w:rsid w:val="556B61B3"/>
    <w:rsid w:val="55A239AC"/>
    <w:rsid w:val="55F40D98"/>
    <w:rsid w:val="561669A9"/>
    <w:rsid w:val="561F35F0"/>
    <w:rsid w:val="56267DB9"/>
    <w:rsid w:val="5634C88E"/>
    <w:rsid w:val="5638963A"/>
    <w:rsid w:val="56485711"/>
    <w:rsid w:val="56562997"/>
    <w:rsid w:val="565D18A4"/>
    <w:rsid w:val="565F33F5"/>
    <w:rsid w:val="566C091F"/>
    <w:rsid w:val="567ED66B"/>
    <w:rsid w:val="56897E2C"/>
    <w:rsid w:val="56B74353"/>
    <w:rsid w:val="56C874F5"/>
    <w:rsid w:val="56DA811D"/>
    <w:rsid w:val="5703C1A6"/>
    <w:rsid w:val="57292EE2"/>
    <w:rsid w:val="572FD250"/>
    <w:rsid w:val="57623C23"/>
    <w:rsid w:val="5792A279"/>
    <w:rsid w:val="57A2E954"/>
    <w:rsid w:val="57AC7BC6"/>
    <w:rsid w:val="57BBC93B"/>
    <w:rsid w:val="57C28C48"/>
    <w:rsid w:val="57D14D60"/>
    <w:rsid w:val="581266F6"/>
    <w:rsid w:val="5828DDFD"/>
    <w:rsid w:val="5847E1A5"/>
    <w:rsid w:val="5863C866"/>
    <w:rsid w:val="586506D3"/>
    <w:rsid w:val="58A5C296"/>
    <w:rsid w:val="58ADF35E"/>
    <w:rsid w:val="58B061C4"/>
    <w:rsid w:val="58CFE4D3"/>
    <w:rsid w:val="58E52932"/>
    <w:rsid w:val="58FAFDF3"/>
    <w:rsid w:val="591E848D"/>
    <w:rsid w:val="59303824"/>
    <w:rsid w:val="593975EF"/>
    <w:rsid w:val="593E3C80"/>
    <w:rsid w:val="593FC895"/>
    <w:rsid w:val="5948877E"/>
    <w:rsid w:val="596D9E13"/>
    <w:rsid w:val="598BE31D"/>
    <w:rsid w:val="59933C04"/>
    <w:rsid w:val="5995AC0C"/>
    <w:rsid w:val="59CDF145"/>
    <w:rsid w:val="59D127B9"/>
    <w:rsid w:val="59E4398C"/>
    <w:rsid w:val="5A0EE6FA"/>
    <w:rsid w:val="5A2748C0"/>
    <w:rsid w:val="5A2A2CBE"/>
    <w:rsid w:val="5A49FB0D"/>
    <w:rsid w:val="5A6C1E2B"/>
    <w:rsid w:val="5A842B2C"/>
    <w:rsid w:val="5A964C8E"/>
    <w:rsid w:val="5AA20DE6"/>
    <w:rsid w:val="5AA56B9E"/>
    <w:rsid w:val="5AA9C4FE"/>
    <w:rsid w:val="5AE42BD2"/>
    <w:rsid w:val="5AF4CEA2"/>
    <w:rsid w:val="5B340903"/>
    <w:rsid w:val="5B6D60E0"/>
    <w:rsid w:val="5BA6EDB5"/>
    <w:rsid w:val="5BACB916"/>
    <w:rsid w:val="5BD1B1F7"/>
    <w:rsid w:val="5BD51955"/>
    <w:rsid w:val="5C0A5E8A"/>
    <w:rsid w:val="5C2936E4"/>
    <w:rsid w:val="5C49056A"/>
    <w:rsid w:val="5C5CBE56"/>
    <w:rsid w:val="5CBCE07D"/>
    <w:rsid w:val="5CBD3E76"/>
    <w:rsid w:val="5D125F3D"/>
    <w:rsid w:val="5D284408"/>
    <w:rsid w:val="5D32DF25"/>
    <w:rsid w:val="5D3C7C38"/>
    <w:rsid w:val="5D6C32EC"/>
    <w:rsid w:val="5D6E45E6"/>
    <w:rsid w:val="5D81D483"/>
    <w:rsid w:val="5DB1BD4E"/>
    <w:rsid w:val="5DB68331"/>
    <w:rsid w:val="5DF897A7"/>
    <w:rsid w:val="5E268EEB"/>
    <w:rsid w:val="5E409CBE"/>
    <w:rsid w:val="5E49A2CA"/>
    <w:rsid w:val="5E866409"/>
    <w:rsid w:val="5EB4A404"/>
    <w:rsid w:val="5EC54503"/>
    <w:rsid w:val="5EE2AD08"/>
    <w:rsid w:val="5EE6294D"/>
    <w:rsid w:val="5F09EC12"/>
    <w:rsid w:val="5F2F7022"/>
    <w:rsid w:val="5F33B427"/>
    <w:rsid w:val="5F34DE00"/>
    <w:rsid w:val="5F43E48A"/>
    <w:rsid w:val="5F60D285"/>
    <w:rsid w:val="5F6C2BDF"/>
    <w:rsid w:val="5F77167A"/>
    <w:rsid w:val="5F93D360"/>
    <w:rsid w:val="5FD74B67"/>
    <w:rsid w:val="5FD9DFA1"/>
    <w:rsid w:val="5FDCBF27"/>
    <w:rsid w:val="5FE791F5"/>
    <w:rsid w:val="5FFBF985"/>
    <w:rsid w:val="6014FC0F"/>
    <w:rsid w:val="602583CC"/>
    <w:rsid w:val="6043451D"/>
    <w:rsid w:val="605167DF"/>
    <w:rsid w:val="605EB176"/>
    <w:rsid w:val="60D1B326"/>
    <w:rsid w:val="60E8160F"/>
    <w:rsid w:val="60F133DC"/>
    <w:rsid w:val="6152D578"/>
    <w:rsid w:val="6157EC52"/>
    <w:rsid w:val="61C458DB"/>
    <w:rsid w:val="61CA5B2C"/>
    <w:rsid w:val="61D97211"/>
    <w:rsid w:val="61E57A43"/>
    <w:rsid w:val="6204770D"/>
    <w:rsid w:val="621334F0"/>
    <w:rsid w:val="621584E8"/>
    <w:rsid w:val="624AC9AC"/>
    <w:rsid w:val="62A6BDFB"/>
    <w:rsid w:val="62AB4324"/>
    <w:rsid w:val="62F2F9FF"/>
    <w:rsid w:val="62FE3B18"/>
    <w:rsid w:val="6322BD1A"/>
    <w:rsid w:val="632BE358"/>
    <w:rsid w:val="6339B7BC"/>
    <w:rsid w:val="6342AB68"/>
    <w:rsid w:val="63434139"/>
    <w:rsid w:val="636806D4"/>
    <w:rsid w:val="636E75D9"/>
    <w:rsid w:val="63818AF4"/>
    <w:rsid w:val="640FBDFA"/>
    <w:rsid w:val="6413435B"/>
    <w:rsid w:val="6413F31B"/>
    <w:rsid w:val="64426AE9"/>
    <w:rsid w:val="64499400"/>
    <w:rsid w:val="648B0B4E"/>
    <w:rsid w:val="64B08AD2"/>
    <w:rsid w:val="64B5DA59"/>
    <w:rsid w:val="64D23858"/>
    <w:rsid w:val="64EF2679"/>
    <w:rsid w:val="64F53772"/>
    <w:rsid w:val="651C1BA6"/>
    <w:rsid w:val="65279AD9"/>
    <w:rsid w:val="6529C3C9"/>
    <w:rsid w:val="654C9C81"/>
    <w:rsid w:val="654E2053"/>
    <w:rsid w:val="65598B3E"/>
    <w:rsid w:val="65636126"/>
    <w:rsid w:val="656CF86D"/>
    <w:rsid w:val="6589387D"/>
    <w:rsid w:val="65F6ACF4"/>
    <w:rsid w:val="660E9194"/>
    <w:rsid w:val="668F1923"/>
    <w:rsid w:val="669D3921"/>
    <w:rsid w:val="66A0FF49"/>
    <w:rsid w:val="66A5ACC2"/>
    <w:rsid w:val="66EB99B1"/>
    <w:rsid w:val="66EC93FD"/>
    <w:rsid w:val="670CAC75"/>
    <w:rsid w:val="67148D44"/>
    <w:rsid w:val="6720A303"/>
    <w:rsid w:val="6728FC7B"/>
    <w:rsid w:val="6764A0DF"/>
    <w:rsid w:val="67915157"/>
    <w:rsid w:val="6798526E"/>
    <w:rsid w:val="67AE0A79"/>
    <w:rsid w:val="67C2D6B6"/>
    <w:rsid w:val="67CC9EE8"/>
    <w:rsid w:val="67CDA9E5"/>
    <w:rsid w:val="67D3CADB"/>
    <w:rsid w:val="67EEB725"/>
    <w:rsid w:val="6823556F"/>
    <w:rsid w:val="682A0A65"/>
    <w:rsid w:val="686370CC"/>
    <w:rsid w:val="686A83C4"/>
    <w:rsid w:val="68AF53C5"/>
    <w:rsid w:val="68CD5A9D"/>
    <w:rsid w:val="68DCF738"/>
    <w:rsid w:val="694E257C"/>
    <w:rsid w:val="697410E9"/>
    <w:rsid w:val="698BAA28"/>
    <w:rsid w:val="698CF2A7"/>
    <w:rsid w:val="699F6FF5"/>
    <w:rsid w:val="69A3606F"/>
    <w:rsid w:val="69A55091"/>
    <w:rsid w:val="69A98360"/>
    <w:rsid w:val="69B83368"/>
    <w:rsid w:val="69BB51DA"/>
    <w:rsid w:val="69DE746A"/>
    <w:rsid w:val="6A0005A7"/>
    <w:rsid w:val="6A1B3B69"/>
    <w:rsid w:val="6A20B66D"/>
    <w:rsid w:val="6A3F2B87"/>
    <w:rsid w:val="6A4317AF"/>
    <w:rsid w:val="6A8CC3D8"/>
    <w:rsid w:val="6AA44345"/>
    <w:rsid w:val="6ABA116F"/>
    <w:rsid w:val="6AD2C6AA"/>
    <w:rsid w:val="6AE4A89F"/>
    <w:rsid w:val="6B00A8F1"/>
    <w:rsid w:val="6B073B8C"/>
    <w:rsid w:val="6B084C5F"/>
    <w:rsid w:val="6B355029"/>
    <w:rsid w:val="6B37F0B3"/>
    <w:rsid w:val="6B4A3A5F"/>
    <w:rsid w:val="6B739322"/>
    <w:rsid w:val="6B79A833"/>
    <w:rsid w:val="6BB3AD31"/>
    <w:rsid w:val="6BD588A1"/>
    <w:rsid w:val="6BE2AAA2"/>
    <w:rsid w:val="6BE34F91"/>
    <w:rsid w:val="6BF63316"/>
    <w:rsid w:val="6C2BE41F"/>
    <w:rsid w:val="6C2F27EA"/>
    <w:rsid w:val="6C44F89B"/>
    <w:rsid w:val="6C6A29B7"/>
    <w:rsid w:val="6C6AF04D"/>
    <w:rsid w:val="6C7C48C7"/>
    <w:rsid w:val="6CA71008"/>
    <w:rsid w:val="6CB69B81"/>
    <w:rsid w:val="6CD20405"/>
    <w:rsid w:val="6D3263C0"/>
    <w:rsid w:val="6D491336"/>
    <w:rsid w:val="6D4A6163"/>
    <w:rsid w:val="6D4D49E1"/>
    <w:rsid w:val="6D6ACFC8"/>
    <w:rsid w:val="6D9218A9"/>
    <w:rsid w:val="6DC592A7"/>
    <w:rsid w:val="6DFFF5D8"/>
    <w:rsid w:val="6E0F631D"/>
    <w:rsid w:val="6E115295"/>
    <w:rsid w:val="6E366525"/>
    <w:rsid w:val="6E3FE85A"/>
    <w:rsid w:val="6E41B8C6"/>
    <w:rsid w:val="6E4BFD78"/>
    <w:rsid w:val="6E548D06"/>
    <w:rsid w:val="6E8E0598"/>
    <w:rsid w:val="6EBA10DE"/>
    <w:rsid w:val="6ED7F99D"/>
    <w:rsid w:val="6EDDCA2F"/>
    <w:rsid w:val="6EFAE2DF"/>
    <w:rsid w:val="6F00936E"/>
    <w:rsid w:val="6F300D43"/>
    <w:rsid w:val="6F373C93"/>
    <w:rsid w:val="6F4C8828"/>
    <w:rsid w:val="6F5F0E76"/>
    <w:rsid w:val="6F5F1CD2"/>
    <w:rsid w:val="6F676AD8"/>
    <w:rsid w:val="6F6AD9B9"/>
    <w:rsid w:val="6F790CE8"/>
    <w:rsid w:val="6F8D7E3E"/>
    <w:rsid w:val="6F980876"/>
    <w:rsid w:val="6F99FF66"/>
    <w:rsid w:val="6F9F7FCD"/>
    <w:rsid w:val="6FD5901C"/>
    <w:rsid w:val="6FEBBF5E"/>
    <w:rsid w:val="7007BC9E"/>
    <w:rsid w:val="70454CF8"/>
    <w:rsid w:val="70623D8C"/>
    <w:rsid w:val="706E8857"/>
    <w:rsid w:val="70ADEA3A"/>
    <w:rsid w:val="70C10F60"/>
    <w:rsid w:val="70F410EE"/>
    <w:rsid w:val="70F6ACCF"/>
    <w:rsid w:val="7112A37D"/>
    <w:rsid w:val="71ED5C2A"/>
    <w:rsid w:val="71F2FF3C"/>
    <w:rsid w:val="71F81F8C"/>
    <w:rsid w:val="71FB2E96"/>
    <w:rsid w:val="720678F3"/>
    <w:rsid w:val="72085915"/>
    <w:rsid w:val="7209FE0A"/>
    <w:rsid w:val="7215C2CA"/>
    <w:rsid w:val="72237F7B"/>
    <w:rsid w:val="7266EECB"/>
    <w:rsid w:val="728AD25A"/>
    <w:rsid w:val="729C05BD"/>
    <w:rsid w:val="72B29DC7"/>
    <w:rsid w:val="72C79C18"/>
    <w:rsid w:val="7305AFCE"/>
    <w:rsid w:val="73187BDD"/>
    <w:rsid w:val="733E06D3"/>
    <w:rsid w:val="733E5B4C"/>
    <w:rsid w:val="7343E80D"/>
    <w:rsid w:val="735AFE6E"/>
    <w:rsid w:val="7368C100"/>
    <w:rsid w:val="737C6EC8"/>
    <w:rsid w:val="73BE0936"/>
    <w:rsid w:val="74331AE7"/>
    <w:rsid w:val="7445A358"/>
    <w:rsid w:val="74710DB4"/>
    <w:rsid w:val="74AC4548"/>
    <w:rsid w:val="74C70DA2"/>
    <w:rsid w:val="7518C28B"/>
    <w:rsid w:val="75486DAA"/>
    <w:rsid w:val="75758E99"/>
    <w:rsid w:val="75A57F0F"/>
    <w:rsid w:val="75E25A44"/>
    <w:rsid w:val="75EADEB6"/>
    <w:rsid w:val="760604A3"/>
    <w:rsid w:val="7608E958"/>
    <w:rsid w:val="765E3BEA"/>
    <w:rsid w:val="766D6FAC"/>
    <w:rsid w:val="768D5F0D"/>
    <w:rsid w:val="76995984"/>
    <w:rsid w:val="769F4100"/>
    <w:rsid w:val="76C48E05"/>
    <w:rsid w:val="76DB4ACC"/>
    <w:rsid w:val="77163A9A"/>
    <w:rsid w:val="771799C3"/>
    <w:rsid w:val="771D9592"/>
    <w:rsid w:val="7733E40B"/>
    <w:rsid w:val="7740AEFF"/>
    <w:rsid w:val="7759963B"/>
    <w:rsid w:val="779074C0"/>
    <w:rsid w:val="77BD3C1C"/>
    <w:rsid w:val="77CA635A"/>
    <w:rsid w:val="77E6E68A"/>
    <w:rsid w:val="7800837F"/>
    <w:rsid w:val="78066417"/>
    <w:rsid w:val="780C0771"/>
    <w:rsid w:val="781AF934"/>
    <w:rsid w:val="78470A49"/>
    <w:rsid w:val="78C4B65A"/>
    <w:rsid w:val="78C7730C"/>
    <w:rsid w:val="78ECADE1"/>
    <w:rsid w:val="78F07949"/>
    <w:rsid w:val="7941CA29"/>
    <w:rsid w:val="7954D613"/>
    <w:rsid w:val="795F6A2C"/>
    <w:rsid w:val="7968DFE2"/>
    <w:rsid w:val="796EE575"/>
    <w:rsid w:val="799426C6"/>
    <w:rsid w:val="79A1CA4D"/>
    <w:rsid w:val="79A78959"/>
    <w:rsid w:val="79FA3985"/>
    <w:rsid w:val="7A01960F"/>
    <w:rsid w:val="7A146FAA"/>
    <w:rsid w:val="7A3AE9E4"/>
    <w:rsid w:val="7A3EA004"/>
    <w:rsid w:val="7A83D3CC"/>
    <w:rsid w:val="7AC4AA91"/>
    <w:rsid w:val="7AC80DAE"/>
    <w:rsid w:val="7AD48D46"/>
    <w:rsid w:val="7AD74AE6"/>
    <w:rsid w:val="7AEA7C8B"/>
    <w:rsid w:val="7B01B2F2"/>
    <w:rsid w:val="7B0A1C3A"/>
    <w:rsid w:val="7B1C7701"/>
    <w:rsid w:val="7B55CED4"/>
    <w:rsid w:val="7BE0DECB"/>
    <w:rsid w:val="7BE1215C"/>
    <w:rsid w:val="7C1AE0F7"/>
    <w:rsid w:val="7C3BEF02"/>
    <w:rsid w:val="7C4EE991"/>
    <w:rsid w:val="7C5FA956"/>
    <w:rsid w:val="7C65B1FF"/>
    <w:rsid w:val="7C6FA1A4"/>
    <w:rsid w:val="7C7FFC91"/>
    <w:rsid w:val="7C892743"/>
    <w:rsid w:val="7CA4FB01"/>
    <w:rsid w:val="7CB391D8"/>
    <w:rsid w:val="7CC5DB67"/>
    <w:rsid w:val="7CC87C76"/>
    <w:rsid w:val="7CD0DB00"/>
    <w:rsid w:val="7CD1684E"/>
    <w:rsid w:val="7CDAB992"/>
    <w:rsid w:val="7CDB815F"/>
    <w:rsid w:val="7D06DB1A"/>
    <w:rsid w:val="7D084146"/>
    <w:rsid w:val="7D1C7D9E"/>
    <w:rsid w:val="7D23EE40"/>
    <w:rsid w:val="7D2D0FA2"/>
    <w:rsid w:val="7D55ABC6"/>
    <w:rsid w:val="7D9A6B2A"/>
    <w:rsid w:val="7DD2C060"/>
    <w:rsid w:val="7DE70F33"/>
    <w:rsid w:val="7DE94A09"/>
    <w:rsid w:val="7DEE8D98"/>
    <w:rsid w:val="7E00A467"/>
    <w:rsid w:val="7E05FAFD"/>
    <w:rsid w:val="7E09A5DE"/>
    <w:rsid w:val="7E1B8C34"/>
    <w:rsid w:val="7E1CE87E"/>
    <w:rsid w:val="7E8FC028"/>
    <w:rsid w:val="7E925399"/>
    <w:rsid w:val="7E93317D"/>
    <w:rsid w:val="7EA3A21E"/>
    <w:rsid w:val="7EB24A25"/>
    <w:rsid w:val="7EC08FF3"/>
    <w:rsid w:val="7EC237E5"/>
    <w:rsid w:val="7ECBAA07"/>
    <w:rsid w:val="7EEB74E2"/>
    <w:rsid w:val="7EF55257"/>
    <w:rsid w:val="7F115E6D"/>
    <w:rsid w:val="7F2EFA36"/>
    <w:rsid w:val="7F3C74E7"/>
    <w:rsid w:val="7F3ED98A"/>
    <w:rsid w:val="7F4DB3EA"/>
    <w:rsid w:val="7FB84191"/>
    <w:rsid w:val="7FCE01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ED2DDA"/>
  <w15:docId w15:val="{DDF461CC-8B0F-46C5-8873-B22184367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qFormat="1"/>
    <w:lsdException w:name="heading 5" w:semiHidden="1" w:uiPriority="29"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Text,BoxText,DocPartner,GHKContacts,NormalLeftAligned,KeyMessage,Source,PopOutText,PopOutTextRight,PopOutTitle,PopOutTitleRight"/>
    <w:qFormat/>
    <w:rsid w:val="00C87494"/>
    <w:pPr>
      <w:spacing w:before="120" w:after="120" w:line="240" w:lineRule="auto"/>
    </w:pPr>
    <w:rPr>
      <w:rFonts w:ascii="Verdana" w:hAnsi="Verdana"/>
      <w:color w:val="000000" w:themeColor="text1"/>
      <w:sz w:val="20"/>
    </w:rPr>
  </w:style>
  <w:style w:type="paragraph" w:styleId="Heading1">
    <w:name w:val="heading 1"/>
    <w:aliases w:val="Heading1,AnnexHeading,AnnexHeading NoPage,ESHeading 1,Heading 1NoSpace,F3 Heading 1 - Section,(Section),h1,Numbered - 1,Section,Chapter Hdg,CH TITLE 1,Headline 1,cover1,intoduction,head1,Chapter Heading,IMPACT STUDY TITLE1,TITLE 1 NR"/>
    <w:basedOn w:val="Normal"/>
    <w:next w:val="Normal"/>
    <w:link w:val="Heading1Char"/>
    <w:uiPriority w:val="4"/>
    <w:qFormat/>
    <w:rsid w:val="00762978"/>
    <w:pPr>
      <w:keepNext/>
      <w:keepLines/>
      <w:numPr>
        <w:numId w:val="9"/>
      </w:numPr>
      <w:outlineLvl w:val="0"/>
    </w:pPr>
    <w:rPr>
      <w:rFonts w:eastAsiaTheme="majorEastAsia" w:cstheme="majorBidi"/>
      <w:b/>
      <w:bCs/>
      <w:color w:val="auto"/>
      <w:sz w:val="24"/>
      <w:szCs w:val="28"/>
    </w:rPr>
  </w:style>
  <w:style w:type="paragraph" w:styleId="Heading2">
    <w:name w:val="heading 2"/>
    <w:aliases w:val="Heading2,AnnexH2,ESHeading 2,BoxNumb,CaseStudy,Conclusion,Evidence,Recommendation,F4 Heading 2 - SubSection,(SubSection),h2,Para Nos,Para,Main Heading,Main Headi,Numbered - 2,(Main Heading),Paragraph,Sub Heading,ignorer2,Oscar Faber 2"/>
    <w:basedOn w:val="Normal"/>
    <w:next w:val="Normal"/>
    <w:link w:val="Heading2Char"/>
    <w:uiPriority w:val="4"/>
    <w:qFormat/>
    <w:rsid w:val="00762978"/>
    <w:pPr>
      <w:keepNext/>
      <w:keepLines/>
      <w:numPr>
        <w:ilvl w:val="1"/>
        <w:numId w:val="9"/>
      </w:numPr>
      <w:outlineLvl w:val="1"/>
    </w:pPr>
    <w:rPr>
      <w:rFonts w:eastAsiaTheme="majorEastAsia" w:cstheme="majorBidi"/>
      <w:b/>
      <w:bCs/>
      <w:color w:val="auto"/>
      <w:sz w:val="22"/>
      <w:szCs w:val="26"/>
    </w:rPr>
  </w:style>
  <w:style w:type="paragraph" w:styleId="Heading3">
    <w:name w:val="heading 3"/>
    <w:aliases w:val="Heading3,AnnexH3,ESHeading 3,Box,Stage,F5 Heading 3,h3,Numbered - 3,H3,H31,Headline 3,h31,h32,Sub Paragraph,Voorwoord,ASAPHeading 3,Level 1 - 1,Heading 3 - old,heading 3,Heading 2.3,1.2.3.,Titles,(Alt+3),(Alt+3)1,(Alt+3)2,(Alt+3)3,(Alt+3)4,3"/>
    <w:basedOn w:val="Normal"/>
    <w:next w:val="Normal"/>
    <w:link w:val="Heading3Char"/>
    <w:uiPriority w:val="4"/>
    <w:qFormat/>
    <w:rsid w:val="00762978"/>
    <w:pPr>
      <w:keepNext/>
      <w:keepLines/>
      <w:numPr>
        <w:ilvl w:val="2"/>
        <w:numId w:val="9"/>
      </w:numPr>
      <w:outlineLvl w:val="2"/>
    </w:pPr>
    <w:rPr>
      <w:rFonts w:eastAsiaTheme="majorEastAsia" w:cstheme="majorBidi"/>
      <w:b/>
      <w:bCs/>
      <w:color w:val="auto"/>
    </w:rPr>
  </w:style>
  <w:style w:type="paragraph" w:styleId="Heading4">
    <w:name w:val="heading 4"/>
    <w:aliases w:val="Heading4,AnnexH4,ESHeading 4,GHKContactsHeading,Task,level 3 subhead,PA Micro Section,(Alt+4),H41,(Alt+4)1,H42,(Alt+4)2,H43,(Alt+4)3,H44,(Alt+4)4,H45,(Alt+4)5,H411,(Alt+4)11,H421,(Alt+4)21,H431,(Alt+4)31,H46,(Alt+4)6,H412,(Alt+4)12,H422,H432"/>
    <w:basedOn w:val="Normal"/>
    <w:next w:val="Normal"/>
    <w:link w:val="Heading4Char"/>
    <w:uiPriority w:val="4"/>
    <w:qFormat/>
    <w:rsid w:val="00762978"/>
    <w:pPr>
      <w:keepNext/>
      <w:keepLines/>
      <w:numPr>
        <w:ilvl w:val="3"/>
        <w:numId w:val="9"/>
      </w:numPr>
      <w:outlineLvl w:val="3"/>
    </w:pPr>
    <w:rPr>
      <w:rFonts w:eastAsiaTheme="majorEastAsia" w:cstheme="majorBidi"/>
      <w:b/>
      <w:bCs/>
      <w:iCs/>
    </w:rPr>
  </w:style>
  <w:style w:type="paragraph" w:styleId="Heading5">
    <w:name w:val="heading 5"/>
    <w:aliases w:val="Heading 5(war),DNV-H5,Block Label,Heading 5 CFMU,Para 5,h5,Level 3 - i,DO NOT USE_h5,H5,Roman list,Schedule A to X,5H,Heading 5(unused),Level 3 - (i),Third Level Heading,Response Type,Response Type1,Response Type2,Response Type3,Subheading"/>
    <w:basedOn w:val="Normal"/>
    <w:next w:val="BodyText"/>
    <w:link w:val="Heading5Char"/>
    <w:uiPriority w:val="29"/>
    <w:unhideWhenUsed/>
    <w:qFormat/>
    <w:rsid w:val="00254747"/>
    <w:pPr>
      <w:keepNext/>
      <w:keepLines/>
      <w:spacing w:before="360" w:after="60" w:line="260" w:lineRule="atLeast"/>
      <w:ind w:left="851" w:hanging="851"/>
      <w:outlineLvl w:val="4"/>
    </w:pPr>
    <w:rPr>
      <w:rFonts w:ascii="Arial" w:eastAsiaTheme="majorEastAsia" w:hAnsi="Arial"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AnnexHeading Char,AnnexHeading NoPage Char,ESHeading 1 Char,Heading 1NoSpace Char,F3 Heading 1 - Section Char,(Section) Char,h1 Char,Numbered - 1 Char,Section Char,Chapter Hdg Char,CH TITLE 1 Char,Headline 1 Char,cover1 Char"/>
    <w:basedOn w:val="DefaultParagraphFont"/>
    <w:link w:val="Heading1"/>
    <w:uiPriority w:val="4"/>
    <w:rsid w:val="00762978"/>
    <w:rPr>
      <w:rFonts w:ascii="Verdana" w:eastAsiaTheme="majorEastAsia" w:hAnsi="Verdana" w:cstheme="majorBidi"/>
      <w:b/>
      <w:bCs/>
      <w:sz w:val="24"/>
      <w:szCs w:val="28"/>
    </w:rPr>
  </w:style>
  <w:style w:type="paragraph" w:customStyle="1" w:styleId="DocumentTitle">
    <w:name w:val="Document Title"/>
    <w:aliases w:val="DocTitle"/>
    <w:basedOn w:val="Normal"/>
    <w:next w:val="DocumentSubtitle"/>
    <w:uiPriority w:val="99"/>
    <w:semiHidden/>
    <w:qFormat/>
    <w:rsid w:val="00762978"/>
    <w:pPr>
      <w:spacing w:before="3600"/>
      <w:jc w:val="center"/>
    </w:pPr>
    <w:rPr>
      <w:rFonts w:cs="Verdana"/>
      <w:b/>
      <w:color w:val="auto"/>
      <w:sz w:val="52"/>
    </w:rPr>
  </w:style>
  <w:style w:type="paragraph" w:customStyle="1" w:styleId="DocumentSubtitle">
    <w:name w:val="Document Subtitle"/>
    <w:aliases w:val="DocSubTitle"/>
    <w:basedOn w:val="Normal"/>
    <w:uiPriority w:val="99"/>
    <w:semiHidden/>
    <w:qFormat/>
    <w:rsid w:val="00762978"/>
    <w:pPr>
      <w:jc w:val="center"/>
    </w:pPr>
    <w:rPr>
      <w:color w:val="auto"/>
      <w:sz w:val="32"/>
    </w:rPr>
  </w:style>
  <w:style w:type="paragraph" w:customStyle="1" w:styleId="BackPageHeading1">
    <w:name w:val="BackPageHeading 1"/>
    <w:basedOn w:val="Heading1NoNumb"/>
    <w:uiPriority w:val="99"/>
    <w:semiHidden/>
    <w:qFormat/>
    <w:rsid w:val="00762978"/>
    <w:pPr>
      <w:spacing w:after="240"/>
      <w:ind w:left="57" w:right="57"/>
      <w:jc w:val="center"/>
    </w:pPr>
    <w:rPr>
      <w:sz w:val="22"/>
    </w:rPr>
  </w:style>
  <w:style w:type="paragraph" w:styleId="Header">
    <w:name w:val="header"/>
    <w:aliases w:val="HeaderTitle"/>
    <w:basedOn w:val="Normal"/>
    <w:link w:val="HeaderChar"/>
    <w:uiPriority w:val="99"/>
    <w:semiHidden/>
    <w:rsid w:val="00762978"/>
    <w:pPr>
      <w:tabs>
        <w:tab w:val="center" w:pos="4513"/>
        <w:tab w:val="right" w:pos="9026"/>
      </w:tabs>
      <w:spacing w:after="0"/>
      <w:jc w:val="center"/>
    </w:pPr>
    <w:rPr>
      <w:i/>
      <w:color w:val="auto"/>
    </w:rPr>
  </w:style>
  <w:style w:type="character" w:customStyle="1" w:styleId="HeaderChar">
    <w:name w:val="Header Char"/>
    <w:aliases w:val="HeaderTitle Char"/>
    <w:basedOn w:val="DefaultParagraphFont"/>
    <w:link w:val="Header"/>
    <w:uiPriority w:val="99"/>
    <w:semiHidden/>
    <w:rsid w:val="00762978"/>
    <w:rPr>
      <w:rFonts w:ascii="Verdana" w:hAnsi="Verdana"/>
      <w:i/>
      <w:sz w:val="20"/>
    </w:rPr>
  </w:style>
  <w:style w:type="paragraph" w:styleId="Footer">
    <w:name w:val="footer"/>
    <w:aliases w:val="FooterLand"/>
    <w:basedOn w:val="Header"/>
    <w:link w:val="FooterChar"/>
    <w:uiPriority w:val="99"/>
    <w:rsid w:val="00762978"/>
    <w:pPr>
      <w:jc w:val="right"/>
    </w:pPr>
    <w:rPr>
      <w:color w:val="000000" w:themeColor="text1"/>
      <w:sz w:val="16"/>
    </w:rPr>
  </w:style>
  <w:style w:type="character" w:customStyle="1" w:styleId="FooterChar">
    <w:name w:val="Footer Char"/>
    <w:aliases w:val="FooterLand Char"/>
    <w:basedOn w:val="DefaultParagraphFont"/>
    <w:link w:val="Footer"/>
    <w:uiPriority w:val="99"/>
    <w:rsid w:val="00762978"/>
    <w:rPr>
      <w:rFonts w:ascii="Verdana" w:hAnsi="Verdana"/>
      <w:i/>
      <w:color w:val="000000" w:themeColor="text1"/>
      <w:sz w:val="16"/>
    </w:rPr>
  </w:style>
  <w:style w:type="paragraph" w:styleId="BalloonText">
    <w:name w:val="Balloon Text"/>
    <w:basedOn w:val="Normal"/>
    <w:link w:val="BalloonTextChar"/>
    <w:uiPriority w:val="99"/>
    <w:semiHidden/>
    <w:unhideWhenUsed/>
    <w:rsid w:val="007629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978"/>
    <w:rPr>
      <w:rFonts w:ascii="Tahoma" w:hAnsi="Tahoma" w:cs="Tahoma"/>
      <w:color w:val="000000" w:themeColor="text1"/>
      <w:sz w:val="16"/>
      <w:szCs w:val="16"/>
    </w:rPr>
  </w:style>
  <w:style w:type="table" w:styleId="TableGrid">
    <w:name w:val="Table Grid"/>
    <w:aliases w:val="Document Table,CV1,Table 1,Test,TabelEcorys,Gena,Deloitte,HTG,Tabellengitternetz,Table Grid IDEA"/>
    <w:basedOn w:val="TableNormal"/>
    <w:uiPriority w:val="59"/>
    <w:qFormat/>
    <w:rsid w:val="00762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Heading2 Char,AnnexH2 Char,ESHeading 2 Char,BoxNumb Char,CaseStudy Char,Conclusion Char,Evidence Char,Recommendation Char,F4 Heading 2 - SubSection Char,(SubSection) Char,h2 Char,Para Nos Char,Para Char,Main Heading Char,Main Headi Char"/>
    <w:basedOn w:val="DefaultParagraphFont"/>
    <w:link w:val="Heading2"/>
    <w:uiPriority w:val="4"/>
    <w:rsid w:val="00762978"/>
    <w:rPr>
      <w:rFonts w:ascii="Verdana" w:eastAsiaTheme="majorEastAsia" w:hAnsi="Verdana" w:cstheme="majorBidi"/>
      <w:b/>
      <w:bCs/>
      <w:szCs w:val="26"/>
    </w:rPr>
  </w:style>
  <w:style w:type="character" w:customStyle="1" w:styleId="Heading3Char">
    <w:name w:val="Heading 3 Char"/>
    <w:aliases w:val="Heading3 Char,AnnexH3 Char,ESHeading 3 Char,Box Char,Stage Char,F5 Heading 3 Char,h3 Char,Numbered - 3 Char,H3 Char,H31 Char,Headline 3 Char,h31 Char,h32 Char,Sub Paragraph Char,Voorwoord Char,ASAPHeading 3 Char,Level 1 - 1 Char,3 Char"/>
    <w:basedOn w:val="DefaultParagraphFont"/>
    <w:link w:val="Heading3"/>
    <w:uiPriority w:val="4"/>
    <w:rsid w:val="00762978"/>
    <w:rPr>
      <w:rFonts w:ascii="Verdana" w:eastAsiaTheme="majorEastAsia" w:hAnsi="Verdana" w:cstheme="majorBidi"/>
      <w:b/>
      <w:bCs/>
      <w:sz w:val="20"/>
    </w:rPr>
  </w:style>
  <w:style w:type="paragraph" w:styleId="TOC2">
    <w:name w:val="toc 2"/>
    <w:basedOn w:val="Normal"/>
    <w:next w:val="Normal"/>
    <w:autoRedefine/>
    <w:uiPriority w:val="39"/>
    <w:rsid w:val="00762978"/>
    <w:pPr>
      <w:spacing w:after="100"/>
      <w:ind w:left="198"/>
      <w:contextualSpacing/>
    </w:pPr>
  </w:style>
  <w:style w:type="paragraph" w:styleId="TOC1">
    <w:name w:val="toc 1"/>
    <w:basedOn w:val="Normal"/>
    <w:next w:val="Normal"/>
    <w:autoRedefine/>
    <w:uiPriority w:val="39"/>
    <w:rsid w:val="00762978"/>
    <w:pPr>
      <w:tabs>
        <w:tab w:val="right" w:leader="dot" w:pos="8777"/>
      </w:tabs>
      <w:contextualSpacing/>
    </w:pPr>
  </w:style>
  <w:style w:type="character" w:styleId="Hyperlink">
    <w:name w:val="Hyperlink"/>
    <w:basedOn w:val="DefaultParagraphFont"/>
    <w:uiPriority w:val="99"/>
    <w:qFormat/>
    <w:rsid w:val="00762978"/>
    <w:rPr>
      <w:color w:val="1A3F7C"/>
      <w:u w:val="none"/>
    </w:rPr>
  </w:style>
  <w:style w:type="paragraph" w:customStyle="1" w:styleId="BackPageHeading2">
    <w:name w:val="BackPageHeading 2"/>
    <w:basedOn w:val="Heading2NoNumb"/>
    <w:uiPriority w:val="99"/>
    <w:semiHidden/>
    <w:qFormat/>
    <w:rsid w:val="00762978"/>
    <w:pPr>
      <w:ind w:left="57" w:right="57"/>
    </w:pPr>
    <w:rPr>
      <w:i/>
    </w:rPr>
  </w:style>
  <w:style w:type="paragraph" w:customStyle="1" w:styleId="DisclaimerHeading">
    <w:name w:val="Disclaimer Heading"/>
    <w:basedOn w:val="DocHeadingSmall"/>
    <w:next w:val="Normal"/>
    <w:uiPriority w:val="99"/>
    <w:semiHidden/>
    <w:qFormat/>
    <w:rsid w:val="00762978"/>
  </w:style>
  <w:style w:type="paragraph" w:customStyle="1" w:styleId="BackPageBullet1">
    <w:name w:val="BackPageBullet 1"/>
    <w:basedOn w:val="Normal"/>
    <w:uiPriority w:val="99"/>
    <w:semiHidden/>
    <w:qFormat/>
    <w:rsid w:val="00762978"/>
    <w:pPr>
      <w:tabs>
        <w:tab w:val="num" w:pos="397"/>
      </w:tabs>
      <w:ind w:left="397" w:hanging="340"/>
    </w:pPr>
  </w:style>
  <w:style w:type="paragraph" w:styleId="TOCHeading">
    <w:name w:val="TOC Heading"/>
    <w:basedOn w:val="Normal"/>
    <w:next w:val="Normal"/>
    <w:uiPriority w:val="99"/>
    <w:semiHidden/>
    <w:qFormat/>
    <w:rsid w:val="00762978"/>
    <w:pPr>
      <w:spacing w:after="480"/>
    </w:pPr>
    <w:rPr>
      <w:b/>
      <w:color w:val="auto"/>
      <w:sz w:val="22"/>
    </w:rPr>
  </w:style>
  <w:style w:type="numbering" w:customStyle="1" w:styleId="Bullets">
    <w:name w:val="Bullets"/>
    <w:aliases w:val="NumbLstBTBullet,NumbLstBullet"/>
    <w:uiPriority w:val="99"/>
    <w:rsid w:val="00762978"/>
    <w:pPr>
      <w:numPr>
        <w:numId w:val="1"/>
      </w:numPr>
    </w:pPr>
  </w:style>
  <w:style w:type="paragraph" w:styleId="ListParagraph">
    <w:name w:val="List Paragraph"/>
    <w:aliases w:val="Fiche List Paragraph,OBC Bullet,Dot pt,F5 List Paragraph,List Paragraph1,No Spacing1,List Paragraph Char Char Char,Indicator Text,Colorful List - Accent 11,Numbered Para 1,Bullet Points,MAIN CONTENT,List Paragraph11,2,Bullet St,L"/>
    <w:basedOn w:val="Normal"/>
    <w:link w:val="ListParagraphChar"/>
    <w:uiPriority w:val="34"/>
    <w:qFormat/>
    <w:rsid w:val="00762978"/>
    <w:pPr>
      <w:ind w:left="720"/>
    </w:pPr>
  </w:style>
  <w:style w:type="paragraph" w:styleId="ListBullet">
    <w:name w:val="List Bullet"/>
    <w:basedOn w:val="Normal"/>
    <w:uiPriority w:val="99"/>
    <w:semiHidden/>
    <w:rsid w:val="00762978"/>
    <w:pPr>
      <w:numPr>
        <w:numId w:val="2"/>
      </w:numPr>
    </w:pPr>
  </w:style>
  <w:style w:type="paragraph" w:customStyle="1" w:styleId="Bullet1">
    <w:name w:val="Bullet 1"/>
    <w:aliases w:val="Bullet1,BTBullet1,b1,bullets"/>
    <w:basedOn w:val="Normal"/>
    <w:link w:val="Bullet1Char"/>
    <w:uiPriority w:val="6"/>
    <w:qFormat/>
    <w:rsid w:val="00762978"/>
    <w:pPr>
      <w:numPr>
        <w:numId w:val="1"/>
      </w:numPr>
      <w:contextualSpacing/>
    </w:pPr>
  </w:style>
  <w:style w:type="paragraph" w:customStyle="1" w:styleId="Bullet2">
    <w:name w:val="Bullet 2"/>
    <w:aliases w:val="Bullet2,BTBullet2"/>
    <w:basedOn w:val="Normal"/>
    <w:uiPriority w:val="6"/>
    <w:qFormat/>
    <w:rsid w:val="00762978"/>
    <w:pPr>
      <w:numPr>
        <w:ilvl w:val="1"/>
        <w:numId w:val="1"/>
      </w:numPr>
      <w:contextualSpacing/>
    </w:pPr>
  </w:style>
  <w:style w:type="paragraph" w:customStyle="1" w:styleId="NormalIndent1">
    <w:name w:val="Normal Indent 1"/>
    <w:aliases w:val="NormalIndent,Body TextIndent"/>
    <w:basedOn w:val="Normal"/>
    <w:uiPriority w:val="16"/>
    <w:qFormat/>
    <w:rsid w:val="00762978"/>
    <w:pPr>
      <w:ind w:left="340"/>
    </w:pPr>
  </w:style>
  <w:style w:type="paragraph" w:customStyle="1" w:styleId="NormalIndent2">
    <w:name w:val="Normal Indent 2"/>
    <w:aliases w:val="NormalIndent2,Body TextIndent2"/>
    <w:basedOn w:val="Normal"/>
    <w:uiPriority w:val="16"/>
    <w:qFormat/>
    <w:rsid w:val="00762978"/>
    <w:pPr>
      <w:ind w:left="454"/>
    </w:pPr>
  </w:style>
  <w:style w:type="paragraph" w:customStyle="1" w:styleId="CatalogueNumber">
    <w:name w:val="Catalogue Number"/>
    <w:basedOn w:val="Normal"/>
    <w:uiPriority w:val="99"/>
    <w:semiHidden/>
    <w:qFormat/>
    <w:rsid w:val="00762978"/>
    <w:pPr>
      <w:framePr w:wrap="around" w:vAnchor="text" w:hAnchor="text" w:y="1"/>
      <w:spacing w:after="0"/>
      <w:ind w:left="113"/>
    </w:pPr>
  </w:style>
  <w:style w:type="paragraph" w:customStyle="1" w:styleId="Bullet1Space">
    <w:name w:val="Bullet 1 Space"/>
    <w:aliases w:val="Bullet1Last,BTBullet1Last"/>
    <w:basedOn w:val="Bullet1"/>
    <w:link w:val="BTBullet1LastChar"/>
    <w:uiPriority w:val="6"/>
    <w:qFormat/>
    <w:rsid w:val="00762978"/>
    <w:pPr>
      <w:contextualSpacing w:val="0"/>
    </w:pPr>
  </w:style>
  <w:style w:type="paragraph" w:customStyle="1" w:styleId="Bullet2Space">
    <w:name w:val="Bullet 2 Space"/>
    <w:aliases w:val="Bullet2Last,BTBullet2Last"/>
    <w:basedOn w:val="Bullet2"/>
    <w:uiPriority w:val="11"/>
    <w:rsid w:val="00762978"/>
    <w:pPr>
      <w:contextualSpacing w:val="0"/>
    </w:pPr>
  </w:style>
  <w:style w:type="paragraph" w:customStyle="1" w:styleId="NormalNoSpace">
    <w:name w:val="NormalNoSpace"/>
    <w:aliases w:val="Body TextNoSpace"/>
    <w:basedOn w:val="Normal"/>
    <w:uiPriority w:val="1"/>
    <w:rsid w:val="00762978"/>
    <w:pPr>
      <w:spacing w:before="0" w:after="0"/>
    </w:pPr>
  </w:style>
  <w:style w:type="numbering" w:customStyle="1" w:styleId="NumbListNumb">
    <w:name w:val="NumbList Numb"/>
    <w:aliases w:val="NumbLstNumb,BTNumbLstNumb"/>
    <w:uiPriority w:val="99"/>
    <w:rsid w:val="00762978"/>
    <w:pPr>
      <w:numPr>
        <w:numId w:val="3"/>
      </w:numPr>
    </w:pPr>
  </w:style>
  <w:style w:type="paragraph" w:customStyle="1" w:styleId="NumbList1">
    <w:name w:val="NumbList 1"/>
    <w:aliases w:val="Numblist1,Numblist,BTNumbList"/>
    <w:basedOn w:val="Normal"/>
    <w:link w:val="BTNumbListChar"/>
    <w:uiPriority w:val="14"/>
    <w:qFormat/>
    <w:rsid w:val="00762978"/>
    <w:pPr>
      <w:numPr>
        <w:numId w:val="8"/>
      </w:numPr>
      <w:contextualSpacing/>
    </w:pPr>
  </w:style>
  <w:style w:type="paragraph" w:customStyle="1" w:styleId="NumbList2">
    <w:name w:val="NumbList 2"/>
    <w:aliases w:val="NumbList2,BTNumbList2"/>
    <w:basedOn w:val="Normal"/>
    <w:uiPriority w:val="14"/>
    <w:qFormat/>
    <w:rsid w:val="00762978"/>
    <w:pPr>
      <w:numPr>
        <w:ilvl w:val="1"/>
        <w:numId w:val="8"/>
      </w:numPr>
      <w:contextualSpacing/>
    </w:pPr>
  </w:style>
  <w:style w:type="paragraph" w:customStyle="1" w:styleId="NumbList1Space">
    <w:name w:val="NumbList 1 Space"/>
    <w:aliases w:val="NumbListLast,BTNumbListLast"/>
    <w:basedOn w:val="NumbList1"/>
    <w:uiPriority w:val="15"/>
    <w:qFormat/>
    <w:rsid w:val="00762978"/>
    <w:pPr>
      <w:contextualSpacing w:val="0"/>
    </w:pPr>
  </w:style>
  <w:style w:type="paragraph" w:customStyle="1" w:styleId="NumbList2Space">
    <w:name w:val="NumbList 2 Space"/>
    <w:aliases w:val="Numblist2Last,BTNumbList2Last"/>
    <w:basedOn w:val="NumbList2"/>
    <w:uiPriority w:val="15"/>
    <w:qFormat/>
    <w:rsid w:val="00762978"/>
    <w:pPr>
      <w:contextualSpacing w:val="0"/>
    </w:pPr>
  </w:style>
  <w:style w:type="paragraph" w:customStyle="1" w:styleId="TableTitle">
    <w:name w:val="TableTitle"/>
    <w:aliases w:val="Table,AnnexTable,AnnexFigure,Figure,ESTable,ESTableLeft,TableSimpleNo,TableLeft,ESFigure,ESFigureLeft,9 pt,Bold,t,T,T + 10 pt + 10 pt,Table Cell,White,Text Gras"/>
    <w:basedOn w:val="Heading3"/>
    <w:link w:val="TableChar"/>
    <w:uiPriority w:val="29"/>
    <w:qFormat/>
    <w:rsid w:val="00762978"/>
    <w:pPr>
      <w:numPr>
        <w:ilvl w:val="0"/>
        <w:numId w:val="11"/>
      </w:numPr>
    </w:pPr>
    <w:rPr>
      <w:b w:val="0"/>
      <w:i/>
    </w:rPr>
  </w:style>
  <w:style w:type="paragraph" w:customStyle="1" w:styleId="TableSource">
    <w:name w:val="TableSource"/>
    <w:basedOn w:val="Normal"/>
    <w:next w:val="Normal"/>
    <w:uiPriority w:val="33"/>
    <w:qFormat/>
    <w:rsid w:val="00762978"/>
    <w:rPr>
      <w:i/>
    </w:rPr>
  </w:style>
  <w:style w:type="paragraph" w:customStyle="1" w:styleId="TableHeading">
    <w:name w:val="TableHeading"/>
    <w:aliases w:val="TableHeadingWhite"/>
    <w:basedOn w:val="Normal"/>
    <w:uiPriority w:val="30"/>
    <w:qFormat/>
    <w:rsid w:val="00762978"/>
    <w:pPr>
      <w:spacing w:after="0"/>
      <w:ind w:left="113"/>
    </w:pPr>
    <w:rPr>
      <w:b/>
      <w:color w:val="FFFFFF" w:themeColor="background1"/>
    </w:rPr>
  </w:style>
  <w:style w:type="paragraph" w:customStyle="1" w:styleId="TableText">
    <w:name w:val="TableText"/>
    <w:aliases w:val="TableTextNoSpace"/>
    <w:basedOn w:val="Normal"/>
    <w:uiPriority w:val="31"/>
    <w:qFormat/>
    <w:rsid w:val="00762978"/>
    <w:pPr>
      <w:spacing w:after="0"/>
      <w:ind w:left="113"/>
    </w:pPr>
  </w:style>
  <w:style w:type="paragraph" w:customStyle="1" w:styleId="TableBullet1">
    <w:name w:val="Table Bullet 1"/>
    <w:aliases w:val="TableBullet,TableBulletLast"/>
    <w:basedOn w:val="TableText"/>
    <w:uiPriority w:val="32"/>
    <w:qFormat/>
    <w:rsid w:val="00762978"/>
    <w:pPr>
      <w:numPr>
        <w:ilvl w:val="1"/>
        <w:numId w:val="6"/>
      </w:numPr>
    </w:pPr>
  </w:style>
  <w:style w:type="paragraph" w:styleId="TOC3">
    <w:name w:val="toc 3"/>
    <w:basedOn w:val="Normal"/>
    <w:next w:val="Normal"/>
    <w:autoRedefine/>
    <w:uiPriority w:val="99"/>
    <w:semiHidden/>
    <w:rsid w:val="00762978"/>
    <w:pPr>
      <w:spacing w:after="100"/>
      <w:ind w:left="403"/>
      <w:contextualSpacing/>
    </w:pPr>
  </w:style>
  <w:style w:type="paragraph" w:customStyle="1" w:styleId="NormalSmall">
    <w:name w:val="NormalSmall"/>
    <w:basedOn w:val="Normal"/>
    <w:uiPriority w:val="99"/>
    <w:semiHidden/>
    <w:qFormat/>
    <w:rsid w:val="00762978"/>
    <w:rPr>
      <w:sz w:val="16"/>
    </w:rPr>
  </w:style>
  <w:style w:type="paragraph" w:customStyle="1" w:styleId="DocHeadingSmall">
    <w:name w:val="DocHeadingSmall"/>
    <w:basedOn w:val="NormalSmall"/>
    <w:uiPriority w:val="99"/>
    <w:semiHidden/>
    <w:qFormat/>
    <w:rsid w:val="00762978"/>
    <w:pPr>
      <w:keepNext/>
      <w:keepLines/>
    </w:pPr>
    <w:rPr>
      <w:b/>
      <w:sz w:val="18"/>
    </w:rPr>
  </w:style>
  <w:style w:type="paragraph" w:customStyle="1" w:styleId="NormalSmallNoSpace">
    <w:name w:val="NormalSmallNoSpace"/>
    <w:basedOn w:val="NormalSmall"/>
    <w:uiPriority w:val="99"/>
    <w:semiHidden/>
    <w:qFormat/>
    <w:rsid w:val="00762978"/>
    <w:pPr>
      <w:spacing w:after="0"/>
    </w:pPr>
  </w:style>
  <w:style w:type="paragraph" w:customStyle="1" w:styleId="HeaderLarge">
    <w:name w:val="HeaderLarge"/>
    <w:basedOn w:val="Header"/>
    <w:uiPriority w:val="99"/>
    <w:semiHidden/>
    <w:qFormat/>
    <w:rsid w:val="00762978"/>
  </w:style>
  <w:style w:type="paragraph" w:customStyle="1" w:styleId="Heading1NoNumb">
    <w:name w:val="Heading 1NoNumb"/>
    <w:aliases w:val="Heading1NoNumb,Divider"/>
    <w:basedOn w:val="Heading1"/>
    <w:next w:val="Normal"/>
    <w:uiPriority w:val="5"/>
    <w:qFormat/>
    <w:rsid w:val="00762978"/>
    <w:pPr>
      <w:numPr>
        <w:numId w:val="0"/>
      </w:numPr>
    </w:pPr>
  </w:style>
  <w:style w:type="paragraph" w:customStyle="1" w:styleId="Heading2NoNumb">
    <w:name w:val="Heading 2NoNumb"/>
    <w:aliases w:val="Heading2NoNumb,BoxTitle"/>
    <w:basedOn w:val="Heading2"/>
    <w:next w:val="Normal"/>
    <w:uiPriority w:val="5"/>
    <w:qFormat/>
    <w:rsid w:val="00762978"/>
    <w:pPr>
      <w:numPr>
        <w:ilvl w:val="0"/>
        <w:numId w:val="0"/>
      </w:numPr>
    </w:pPr>
  </w:style>
  <w:style w:type="paragraph" w:customStyle="1" w:styleId="Heading3NoNumb">
    <w:name w:val="Heading 3NoNumb"/>
    <w:aliases w:val="Heading3NoNumb"/>
    <w:basedOn w:val="Heading3"/>
    <w:next w:val="Normal"/>
    <w:uiPriority w:val="5"/>
    <w:qFormat/>
    <w:rsid w:val="00762978"/>
    <w:pPr>
      <w:numPr>
        <w:ilvl w:val="0"/>
        <w:numId w:val="0"/>
      </w:numPr>
    </w:pPr>
  </w:style>
  <w:style w:type="numbering" w:customStyle="1" w:styleId="NumbListHeading">
    <w:name w:val="NumbListHeading"/>
    <w:aliases w:val="NumbLstAnnex,NumbLstBoxes,NumbLstExecSumm,NumbLstMain,NumbLstStage,NumbLstTableSimpleNo,NumbLstAnnex2"/>
    <w:uiPriority w:val="99"/>
    <w:rsid w:val="00762978"/>
    <w:pPr>
      <w:numPr>
        <w:numId w:val="4"/>
      </w:numPr>
    </w:pPr>
  </w:style>
  <w:style w:type="paragraph" w:customStyle="1" w:styleId="Heading4NoNumb">
    <w:name w:val="Heading 4NoNumb"/>
    <w:aliases w:val="Heading4NoNumb,TaskManual"/>
    <w:basedOn w:val="Heading3NoNumb"/>
    <w:next w:val="Normal"/>
    <w:uiPriority w:val="5"/>
    <w:qFormat/>
    <w:rsid w:val="00762978"/>
    <w:pPr>
      <w:numPr>
        <w:ilvl w:val="3"/>
      </w:numPr>
    </w:pPr>
    <w:rPr>
      <w:i/>
    </w:rPr>
  </w:style>
  <w:style w:type="paragraph" w:customStyle="1" w:styleId="NumbList3">
    <w:name w:val="NumbList 3"/>
    <w:aliases w:val="NumbList3,BTNumbList3"/>
    <w:basedOn w:val="NumbList1Space"/>
    <w:uiPriority w:val="14"/>
    <w:qFormat/>
    <w:rsid w:val="00762978"/>
    <w:pPr>
      <w:numPr>
        <w:ilvl w:val="2"/>
      </w:numPr>
    </w:pPr>
  </w:style>
  <w:style w:type="paragraph" w:customStyle="1" w:styleId="Bullet3">
    <w:name w:val="Bullet 3"/>
    <w:aliases w:val="Bullet3,BTBullet3"/>
    <w:basedOn w:val="Bullet2"/>
    <w:uiPriority w:val="6"/>
    <w:qFormat/>
    <w:rsid w:val="00762978"/>
    <w:pPr>
      <w:numPr>
        <w:ilvl w:val="2"/>
      </w:numPr>
    </w:pPr>
  </w:style>
  <w:style w:type="paragraph" w:customStyle="1" w:styleId="Bullet3Space">
    <w:name w:val="Bullet 3 Space"/>
    <w:aliases w:val="Bullet3Last,BTBullet3Last"/>
    <w:basedOn w:val="Bullet3"/>
    <w:uiPriority w:val="11"/>
    <w:rsid w:val="00762978"/>
    <w:pPr>
      <w:contextualSpacing w:val="0"/>
    </w:pPr>
  </w:style>
  <w:style w:type="paragraph" w:customStyle="1" w:styleId="Numblist3Space">
    <w:name w:val="Numblist 3 Space"/>
    <w:aliases w:val="NumbList3Last,BTNumbList3Last"/>
    <w:basedOn w:val="NumbList3"/>
    <w:uiPriority w:val="15"/>
    <w:qFormat/>
    <w:rsid w:val="00762978"/>
  </w:style>
  <w:style w:type="character" w:customStyle="1" w:styleId="Heading4Char">
    <w:name w:val="Heading 4 Char"/>
    <w:aliases w:val="Heading4 Char,AnnexH4 Char,ESHeading 4 Char,GHKContactsHeading Char,Task Char,level 3 subhead Char,PA Micro Section Char,(Alt+4) Char,H41 Char,(Alt+4)1 Char,H42 Char,(Alt+4)2 Char,H43 Char,(Alt+4)3 Char,H44 Char,(Alt+4)4 Char,H45 Char"/>
    <w:basedOn w:val="DefaultParagraphFont"/>
    <w:link w:val="Heading4"/>
    <w:uiPriority w:val="4"/>
    <w:rsid w:val="00762978"/>
    <w:rPr>
      <w:rFonts w:ascii="Verdana" w:eastAsiaTheme="majorEastAsia" w:hAnsi="Verdana" w:cstheme="majorBidi"/>
      <w:b/>
      <w:bCs/>
      <w:iCs/>
      <w:color w:val="000000" w:themeColor="text1"/>
      <w:sz w:val="20"/>
    </w:rPr>
  </w:style>
  <w:style w:type="paragraph" w:styleId="BodyText">
    <w:name w:val="Body Text"/>
    <w:aliases w:val="Document,Doc,Body Text2,doc,Standard paragraph,(Norm),Body Text 12,bt,gl,uvlaka 2,heading3,Body Text - Level 2,1body,BodText,body text,Body Txt,Body Text-10,Body Text Char2,Text Char1,Τίτλος Μελέτης,- TF,Text,b.,(Norm,Corps de texte, (Norm"/>
    <w:basedOn w:val="Normal"/>
    <w:link w:val="BodyTextChar"/>
    <w:uiPriority w:val="99"/>
    <w:rsid w:val="00762978"/>
  </w:style>
  <w:style w:type="character" w:customStyle="1" w:styleId="BodyTextChar">
    <w:name w:val="Body Text Char"/>
    <w:aliases w:val="Document Char,Doc Char,Body Text2 Char,doc Char,Standard paragraph Char,(Norm) Char,Body Text 12 Char,bt Char,gl Char,uvlaka 2 Char,heading3 Char,Body Text - Level 2 Char,1body Char,BodText Char,body text Char,Body Txt Char,- TF Char"/>
    <w:basedOn w:val="DefaultParagraphFont"/>
    <w:link w:val="BodyText"/>
    <w:uiPriority w:val="99"/>
    <w:rsid w:val="00762978"/>
    <w:rPr>
      <w:rFonts w:ascii="Verdana" w:hAnsi="Verdana"/>
      <w:color w:val="000000" w:themeColor="text1"/>
      <w:sz w:val="20"/>
    </w:rPr>
  </w:style>
  <w:style w:type="paragraph" w:customStyle="1" w:styleId="Heading1NoToc">
    <w:name w:val="Heading 1NoToc"/>
    <w:aliases w:val="Heading 1NoTOC"/>
    <w:basedOn w:val="Heading1"/>
    <w:uiPriority w:val="19"/>
    <w:qFormat/>
    <w:rsid w:val="00762978"/>
    <w:rPr>
      <w:color w:val="000000" w:themeColor="text1"/>
    </w:rPr>
  </w:style>
  <w:style w:type="paragraph" w:customStyle="1" w:styleId="Heading2NoToc">
    <w:name w:val="Heading 2NoToc"/>
    <w:aliases w:val="Heading 2NoTOC,PopOutQuote"/>
    <w:basedOn w:val="Heading2"/>
    <w:uiPriority w:val="19"/>
    <w:qFormat/>
    <w:rsid w:val="00762978"/>
    <w:rPr>
      <w:color w:val="000000" w:themeColor="text1"/>
    </w:rPr>
  </w:style>
  <w:style w:type="paragraph" w:customStyle="1" w:styleId="Heading3NoToc">
    <w:name w:val="Heading 3NoToc"/>
    <w:aliases w:val="Heading 3NoTOC"/>
    <w:basedOn w:val="Heading3"/>
    <w:uiPriority w:val="19"/>
    <w:qFormat/>
    <w:rsid w:val="00762978"/>
    <w:rPr>
      <w:color w:val="000000" w:themeColor="text1"/>
    </w:rPr>
  </w:style>
  <w:style w:type="paragraph" w:customStyle="1" w:styleId="Heading4NoToc">
    <w:name w:val="Heading 4NoToc"/>
    <w:aliases w:val="Heading 4NoTOC"/>
    <w:basedOn w:val="Heading4"/>
    <w:uiPriority w:val="19"/>
    <w:qFormat/>
    <w:rsid w:val="00762978"/>
    <w:pPr>
      <w:numPr>
        <w:ilvl w:val="0"/>
        <w:numId w:val="0"/>
      </w:numPr>
    </w:pPr>
  </w:style>
  <w:style w:type="paragraph" w:customStyle="1" w:styleId="Heading1NoNumbNoToc">
    <w:name w:val="Heading 1NoNumbNoToc"/>
    <w:aliases w:val="Heading 1NoNumbNoTOC"/>
    <w:basedOn w:val="Heading1NoNumb"/>
    <w:uiPriority w:val="22"/>
    <w:qFormat/>
    <w:rsid w:val="00762978"/>
    <w:rPr>
      <w:color w:val="000000" w:themeColor="text1"/>
    </w:rPr>
  </w:style>
  <w:style w:type="paragraph" w:customStyle="1" w:styleId="Heading2NoNumbNoToc">
    <w:name w:val="Heading 2NoNumbNoToc"/>
    <w:aliases w:val="Heading 2NoNumbNoTOC"/>
    <w:basedOn w:val="Heading2NoNumb"/>
    <w:uiPriority w:val="22"/>
    <w:qFormat/>
    <w:rsid w:val="00762978"/>
  </w:style>
  <w:style w:type="paragraph" w:customStyle="1" w:styleId="Heading3NoNumbNoToc">
    <w:name w:val="Heading 3NoNumbNoToc"/>
    <w:aliases w:val="Heading 3NoNumbNoTOC"/>
    <w:basedOn w:val="Heading3NoNumb"/>
    <w:uiPriority w:val="22"/>
    <w:qFormat/>
    <w:rsid w:val="00762978"/>
  </w:style>
  <w:style w:type="paragraph" w:customStyle="1" w:styleId="Heading4NoNumbNoToc">
    <w:name w:val="Heading 4NoNumbNoToc"/>
    <w:aliases w:val="Heading 4NoNumbNoTOC"/>
    <w:basedOn w:val="Heading4NoNumb"/>
    <w:uiPriority w:val="22"/>
    <w:qFormat/>
    <w:rsid w:val="00762978"/>
  </w:style>
  <w:style w:type="numbering" w:customStyle="1" w:styleId="NumbLstTable">
    <w:name w:val="NumbLstTable"/>
    <w:aliases w:val="NumbLstTableBullet,NumbLstTableNumb"/>
    <w:uiPriority w:val="99"/>
    <w:rsid w:val="00762978"/>
    <w:pPr>
      <w:numPr>
        <w:numId w:val="5"/>
      </w:numPr>
    </w:pPr>
  </w:style>
  <w:style w:type="paragraph" w:customStyle="1" w:styleId="TableBullet2">
    <w:name w:val="Table Bullet 2"/>
    <w:basedOn w:val="TableText"/>
    <w:uiPriority w:val="33"/>
    <w:qFormat/>
    <w:rsid w:val="00762978"/>
    <w:pPr>
      <w:numPr>
        <w:ilvl w:val="3"/>
        <w:numId w:val="6"/>
      </w:numPr>
    </w:pPr>
  </w:style>
  <w:style w:type="paragraph" w:customStyle="1" w:styleId="TableBullet3">
    <w:name w:val="Table Bullet 3"/>
    <w:basedOn w:val="TableText"/>
    <w:uiPriority w:val="33"/>
    <w:qFormat/>
    <w:rsid w:val="00762978"/>
    <w:pPr>
      <w:numPr>
        <w:ilvl w:val="5"/>
        <w:numId w:val="6"/>
      </w:numPr>
    </w:pPr>
  </w:style>
  <w:style w:type="paragraph" w:customStyle="1" w:styleId="TableNumbList1">
    <w:name w:val="Table NumbList 1"/>
    <w:aliases w:val="TableNumbList,TableNumbListLast"/>
    <w:basedOn w:val="TableText"/>
    <w:uiPriority w:val="33"/>
    <w:qFormat/>
    <w:rsid w:val="00762978"/>
    <w:pPr>
      <w:numPr>
        <w:numId w:val="6"/>
      </w:numPr>
    </w:pPr>
  </w:style>
  <w:style w:type="paragraph" w:customStyle="1" w:styleId="TableNumbList2">
    <w:name w:val="Table NumbList 2"/>
    <w:basedOn w:val="TableText"/>
    <w:uiPriority w:val="33"/>
    <w:qFormat/>
    <w:rsid w:val="00762978"/>
    <w:pPr>
      <w:numPr>
        <w:ilvl w:val="2"/>
        <w:numId w:val="6"/>
      </w:numPr>
    </w:pPr>
  </w:style>
  <w:style w:type="paragraph" w:customStyle="1" w:styleId="TableNumbList3">
    <w:name w:val="Table NumbList 3"/>
    <w:basedOn w:val="TableText"/>
    <w:uiPriority w:val="33"/>
    <w:qFormat/>
    <w:rsid w:val="00762978"/>
    <w:pPr>
      <w:numPr>
        <w:ilvl w:val="4"/>
        <w:numId w:val="6"/>
      </w:numPr>
    </w:pPr>
  </w:style>
  <w:style w:type="numbering" w:customStyle="1" w:styleId="NumblistTablesFigures">
    <w:name w:val="Numblist TablesFigures"/>
    <w:uiPriority w:val="99"/>
    <w:rsid w:val="00762978"/>
    <w:pPr>
      <w:numPr>
        <w:numId w:val="7"/>
      </w:numPr>
    </w:pPr>
  </w:style>
  <w:style w:type="paragraph" w:customStyle="1" w:styleId="FigureTitle">
    <w:name w:val="Figure Title"/>
    <w:basedOn w:val="TableTitle"/>
    <w:uiPriority w:val="29"/>
    <w:qFormat/>
    <w:rsid w:val="00762978"/>
    <w:pPr>
      <w:numPr>
        <w:numId w:val="12"/>
      </w:numPr>
    </w:pPr>
  </w:style>
  <w:style w:type="numbering" w:customStyle="1" w:styleId="NumbListFigure">
    <w:name w:val="NumbList Figure"/>
    <w:uiPriority w:val="99"/>
    <w:rsid w:val="00762978"/>
    <w:pPr>
      <w:numPr>
        <w:numId w:val="10"/>
      </w:numPr>
    </w:pPr>
  </w:style>
  <w:style w:type="numbering" w:customStyle="1" w:styleId="NumblistTables">
    <w:name w:val="Numblist Tables"/>
    <w:uiPriority w:val="99"/>
    <w:rsid w:val="00762978"/>
    <w:pPr>
      <w:numPr>
        <w:numId w:val="11"/>
      </w:numPr>
    </w:pPr>
  </w:style>
  <w:style w:type="numbering" w:customStyle="1" w:styleId="NumbListFigures">
    <w:name w:val="NumbList Figures"/>
    <w:uiPriority w:val="99"/>
    <w:rsid w:val="00762978"/>
    <w:pPr>
      <w:numPr>
        <w:numId w:val="12"/>
      </w:numPr>
    </w:pPr>
  </w:style>
  <w:style w:type="paragraph" w:styleId="FootnoteText">
    <w:name w:val="footnote text"/>
    <w:aliases w:val="Char,ft Char Char,ft Char Char Char,ft Char,ft Char Char Char Char,ft,ft Char Char Char Char Char,Footnote Text Char2 Char,Footnote Text Char Char Char1,Footnote Text Char1 Char Char Char,fn,Footnotes,Footnote ak,fn Cha,fn Ch, Char,Fußnote"/>
    <w:basedOn w:val="Normal"/>
    <w:link w:val="FootnoteTextChar"/>
    <w:uiPriority w:val="99"/>
    <w:qFormat/>
    <w:rsid w:val="00254747"/>
    <w:pPr>
      <w:spacing w:after="60"/>
    </w:pPr>
    <w:rPr>
      <w:rFonts w:ascii="Arial" w:hAnsi="Arial"/>
      <w:sz w:val="18"/>
      <w:szCs w:val="20"/>
    </w:rPr>
  </w:style>
  <w:style w:type="character" w:customStyle="1" w:styleId="FootnoteTextChar">
    <w:name w:val="Footnote Text Char"/>
    <w:aliases w:val="Char Char,ft Char Char Char1,ft Char Char Char Char1,ft Char Char1,ft Char Char Char Char Char1,ft Char1,ft Char Char Char Char Char Char,Footnote Text Char2 Char Char,Footnote Text Char Char Char1 Char,fn Char,Footnotes Char"/>
    <w:basedOn w:val="DefaultParagraphFont"/>
    <w:link w:val="FootnoteText"/>
    <w:uiPriority w:val="99"/>
    <w:qFormat/>
    <w:rsid w:val="00254747"/>
    <w:rPr>
      <w:rFonts w:ascii="Arial" w:hAnsi="Arial" w:cs="Times New Roman"/>
      <w:sz w:val="18"/>
      <w:szCs w:val="20"/>
    </w:rPr>
  </w:style>
  <w:style w:type="character" w:styleId="FootnoteReference">
    <w:name w:val="footnote reference"/>
    <w:aliases w:val="(NECG) Footnote Reference,Ref,de nota al pie,Char1,fr,FR,o,FN Ref,header 3,Style 3,Appel note de bas de p,Style 13,Style 12,Style 124,Style 17,callout,Footnote,a Footnote Reference,Style 18,Footnote Reference/,Style 6,Style 4,16 Point"/>
    <w:basedOn w:val="DefaultParagraphFont"/>
    <w:link w:val="SUPERSTegn"/>
    <w:uiPriority w:val="99"/>
    <w:qFormat/>
    <w:rsid w:val="00254747"/>
    <w:rPr>
      <w:vertAlign w:val="superscript"/>
    </w:rPr>
  </w:style>
  <w:style w:type="paragraph" w:customStyle="1" w:styleId="AnnexEquation">
    <w:name w:val="AnnexEquation"/>
    <w:basedOn w:val="TableTitle"/>
    <w:next w:val="BodyText"/>
    <w:uiPriority w:val="6"/>
    <w:qFormat/>
    <w:rsid w:val="00254747"/>
    <w:pPr>
      <w:keepLines w:val="0"/>
      <w:numPr>
        <w:numId w:val="0"/>
      </w:numPr>
      <w:tabs>
        <w:tab w:val="num" w:pos="851"/>
      </w:tabs>
      <w:spacing w:line="260" w:lineRule="atLeast"/>
      <w:ind w:left="851" w:hanging="851"/>
      <w:outlineLvl w:val="9"/>
    </w:pPr>
    <w:rPr>
      <w:rFonts w:ascii="Arial" w:eastAsiaTheme="minorHAnsi" w:hAnsi="Arial" w:cs="Times New Roman"/>
      <w:bCs w:val="0"/>
      <w:i w:val="0"/>
      <w:color w:val="4F81BD" w:themeColor="accent1"/>
      <w:sz w:val="22"/>
      <w:szCs w:val="24"/>
    </w:rPr>
  </w:style>
  <w:style w:type="character" w:styleId="CommentReference">
    <w:name w:val="annotation reference"/>
    <w:basedOn w:val="DefaultParagraphFont"/>
    <w:uiPriority w:val="99"/>
    <w:unhideWhenUsed/>
    <w:qFormat/>
    <w:rsid w:val="00254747"/>
    <w:rPr>
      <w:sz w:val="16"/>
      <w:szCs w:val="16"/>
    </w:rPr>
  </w:style>
  <w:style w:type="paragraph" w:styleId="CommentText">
    <w:name w:val="annotation text"/>
    <w:basedOn w:val="Normal"/>
    <w:link w:val="CommentTextChar"/>
    <w:uiPriority w:val="99"/>
    <w:unhideWhenUsed/>
    <w:qFormat/>
    <w:rsid w:val="00254747"/>
    <w:pPr>
      <w:spacing w:line="260" w:lineRule="atLeast"/>
    </w:pPr>
    <w:rPr>
      <w:rFonts w:ascii="Arial" w:hAnsi="Arial"/>
      <w:szCs w:val="20"/>
    </w:rPr>
  </w:style>
  <w:style w:type="character" w:customStyle="1" w:styleId="CommentTextChar">
    <w:name w:val="Comment Text Char"/>
    <w:basedOn w:val="DefaultParagraphFont"/>
    <w:link w:val="CommentText"/>
    <w:uiPriority w:val="99"/>
    <w:rsid w:val="00254747"/>
    <w:rPr>
      <w:rFonts w:ascii="Arial" w:hAnsi="Arial" w:cs="Times New Roman"/>
      <w:sz w:val="20"/>
      <w:szCs w:val="20"/>
    </w:rPr>
  </w:style>
  <w:style w:type="paragraph" w:customStyle="1" w:styleId="SUPERSTegn">
    <w:name w:val="SUPERS Tegn"/>
    <w:aliases w:val="Footnote Reference Number Tegn,SUPERS Char Char Tegn,Footnote number Char Char Tegn,Footnote Char Char Tegn,Footnote symbol Char Char Tegn,Ref Char Char Tegn,de nota al pie Char Char Tegn"/>
    <w:basedOn w:val="Normal"/>
    <w:link w:val="FootnoteReference"/>
    <w:uiPriority w:val="99"/>
    <w:qFormat/>
    <w:rsid w:val="00254747"/>
    <w:pPr>
      <w:spacing w:after="160" w:line="240" w:lineRule="exact"/>
    </w:pPr>
    <w:rPr>
      <w:rFonts w:asciiTheme="minorHAnsi" w:hAnsiTheme="minorHAnsi"/>
      <w:sz w:val="22"/>
      <w:vertAlign w:val="superscript"/>
    </w:rPr>
  </w:style>
  <w:style w:type="paragraph" w:styleId="CommentSubject">
    <w:name w:val="annotation subject"/>
    <w:basedOn w:val="CommentText"/>
    <w:next w:val="CommentText"/>
    <w:link w:val="CommentSubjectChar"/>
    <w:uiPriority w:val="99"/>
    <w:semiHidden/>
    <w:unhideWhenUsed/>
    <w:rsid w:val="00254747"/>
    <w:pPr>
      <w:spacing w:line="240" w:lineRule="auto"/>
    </w:pPr>
    <w:rPr>
      <w:rFonts w:ascii="Verdana" w:hAnsi="Verdana"/>
      <w:b/>
      <w:bCs/>
    </w:rPr>
  </w:style>
  <w:style w:type="character" w:customStyle="1" w:styleId="CommentSubjectChar">
    <w:name w:val="Comment Subject Char"/>
    <w:basedOn w:val="CommentTextChar"/>
    <w:link w:val="CommentSubject"/>
    <w:uiPriority w:val="99"/>
    <w:semiHidden/>
    <w:rsid w:val="00254747"/>
    <w:rPr>
      <w:rFonts w:ascii="Verdana" w:hAnsi="Verdana" w:cs="Times New Roman"/>
      <w:b/>
      <w:bCs/>
      <w:color w:val="000000" w:themeColor="text1"/>
      <w:sz w:val="20"/>
      <w:szCs w:val="20"/>
    </w:rPr>
  </w:style>
  <w:style w:type="character" w:customStyle="1" w:styleId="Heading5Char">
    <w:name w:val="Heading 5 Char"/>
    <w:aliases w:val="Heading 5(war) Char,DNV-H5 Char,Block Label Char,Heading 5 CFMU Char,Para 5 Char,h5 Char,Level 3 - i Char,DO NOT USE_h5 Char,H5 Char,Roman list Char,Schedule A to X Char,5H Char,Heading 5(unused) Char,Level 3 - (i) Char,Response Type Char"/>
    <w:basedOn w:val="DefaultParagraphFont"/>
    <w:link w:val="Heading5"/>
    <w:uiPriority w:val="29"/>
    <w:rsid w:val="00254747"/>
    <w:rPr>
      <w:rFonts w:ascii="Arial" w:eastAsiaTheme="majorEastAsia" w:hAnsi="Arial" w:cstheme="majorBidi"/>
      <w:b/>
      <w:i/>
      <w:szCs w:val="24"/>
    </w:rPr>
  </w:style>
  <w:style w:type="paragraph" w:customStyle="1" w:styleId="FigureLeft">
    <w:name w:val="FigureLeft"/>
    <w:basedOn w:val="TableTitle"/>
    <w:next w:val="Normal"/>
    <w:uiPriority w:val="6"/>
    <w:qFormat/>
    <w:rsid w:val="00254747"/>
    <w:pPr>
      <w:numPr>
        <w:numId w:val="0"/>
      </w:numPr>
      <w:tabs>
        <w:tab w:val="num" w:pos="680"/>
      </w:tabs>
      <w:spacing w:line="260" w:lineRule="atLeast"/>
      <w:ind w:left="680"/>
      <w:outlineLvl w:val="9"/>
    </w:pPr>
    <w:rPr>
      <w:rFonts w:ascii="Arial" w:eastAsiaTheme="minorHAnsi" w:hAnsi="Arial" w:cs="Times New Roman"/>
      <w:bCs w:val="0"/>
      <w:i w:val="0"/>
      <w:color w:val="4F81BD" w:themeColor="accent1"/>
      <w:sz w:val="22"/>
      <w:szCs w:val="24"/>
    </w:rPr>
  </w:style>
  <w:style w:type="character" w:customStyle="1" w:styleId="TableChar">
    <w:name w:val="Table Char"/>
    <w:basedOn w:val="DefaultParagraphFont"/>
    <w:link w:val="TableTitle"/>
    <w:uiPriority w:val="29"/>
    <w:rsid w:val="00254747"/>
    <w:rPr>
      <w:rFonts w:ascii="Verdana" w:eastAsiaTheme="majorEastAsia" w:hAnsi="Verdana" w:cstheme="majorBidi"/>
      <w:bCs/>
      <w:i/>
      <w:sz w:val="20"/>
    </w:rPr>
  </w:style>
  <w:style w:type="character" w:customStyle="1" w:styleId="BTBullet1LastChar">
    <w:name w:val="BTBullet1Last Char"/>
    <w:link w:val="Bullet1Space"/>
    <w:uiPriority w:val="6"/>
    <w:locked/>
    <w:rsid w:val="00254747"/>
    <w:rPr>
      <w:rFonts w:ascii="Verdana" w:hAnsi="Verdana"/>
      <w:color w:val="000000" w:themeColor="text1"/>
      <w:sz w:val="20"/>
    </w:rPr>
  </w:style>
  <w:style w:type="paragraph" w:styleId="Caption">
    <w:name w:val="caption"/>
    <w:aliases w:val="Figure Caption + Avant : 11 pt,Motif : Transparente (Gris - 15 %),Figure Caption,TF,Tabelkop,Caption-tables,Table legend,Tab_Überschrift,Figure reference,Caption1 Char Char Char Char Char Char Char Char,Char Car, Char Char Char,c,Char Char Char"/>
    <w:basedOn w:val="Normal"/>
    <w:next w:val="Normal"/>
    <w:link w:val="CaptionChar"/>
    <w:uiPriority w:val="3"/>
    <w:qFormat/>
    <w:rsid w:val="00143EBC"/>
    <w:pPr>
      <w:spacing w:after="200"/>
    </w:pPr>
    <w:rPr>
      <w:i/>
      <w:iCs/>
      <w:color w:val="1F497D" w:themeColor="text2"/>
      <w:sz w:val="18"/>
      <w:szCs w:val="18"/>
    </w:rPr>
  </w:style>
  <w:style w:type="paragraph" w:customStyle="1" w:styleId="FootnotesymbolCharCharChar">
    <w:name w:val="Footnote symbol Char Char Char"/>
    <w:aliases w:val="Voetnootverwijzing Char Char Char,Times 10 Point Char Char Char,Exposant 3 Point Char Char Char, Exposant 3 Point Char Char Char,Footnote Reference Superscript Char Char Char,Footnote symbol Char,FR Char"/>
    <w:basedOn w:val="Normal"/>
    <w:uiPriority w:val="99"/>
    <w:rsid w:val="00112DFA"/>
    <w:pPr>
      <w:spacing w:after="160" w:line="240" w:lineRule="exact"/>
    </w:pPr>
    <w:rPr>
      <w:szCs w:val="20"/>
      <w:vertAlign w:val="superscript"/>
    </w:rPr>
  </w:style>
  <w:style w:type="paragraph" w:customStyle="1" w:styleId="TableBullet20">
    <w:name w:val="TableBullet2"/>
    <w:basedOn w:val="TableBullet1"/>
    <w:uiPriority w:val="6"/>
    <w:qFormat/>
    <w:rsid w:val="00537B2C"/>
    <w:pPr>
      <w:numPr>
        <w:ilvl w:val="0"/>
        <w:numId w:val="0"/>
      </w:numPr>
      <w:tabs>
        <w:tab w:val="num" w:pos="737"/>
      </w:tabs>
      <w:spacing w:before="0" w:line="220" w:lineRule="atLeast"/>
      <w:ind w:left="737" w:right="57" w:hanging="340"/>
    </w:pPr>
    <w:rPr>
      <w:rFonts w:ascii="Arial" w:hAnsi="Arial" w:cs="Times New Roman"/>
      <w:color w:val="auto"/>
      <w:szCs w:val="24"/>
    </w:rPr>
  </w:style>
  <w:style w:type="character" w:customStyle="1" w:styleId="BlueHighlight">
    <w:name w:val="Blue Highlight"/>
    <w:basedOn w:val="DefaultParagraphFont"/>
    <w:uiPriority w:val="1"/>
    <w:qFormat/>
    <w:rsid w:val="00537B2C"/>
    <w:rPr>
      <w:color w:val="C0504D" w:themeColor="accent2"/>
    </w:rPr>
  </w:style>
  <w:style w:type="character" w:customStyle="1" w:styleId="Bullet1Char">
    <w:name w:val="Bullet 1 Char"/>
    <w:basedOn w:val="DefaultParagraphFont"/>
    <w:link w:val="Bullet1"/>
    <w:uiPriority w:val="6"/>
    <w:locked/>
    <w:rsid w:val="00537B2C"/>
    <w:rPr>
      <w:rFonts w:ascii="Verdana" w:hAnsi="Verdana"/>
      <w:color w:val="000000" w:themeColor="text1"/>
      <w:sz w:val="2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7A1327"/>
    <w:pPr>
      <w:spacing w:before="60" w:after="160" w:line="240" w:lineRule="exact"/>
      <w:jc w:val="both"/>
    </w:pPr>
    <w:rPr>
      <w:szCs w:val="20"/>
      <w:vertAlign w:val="superscript"/>
    </w:rPr>
  </w:style>
  <w:style w:type="character" w:styleId="Emphasis">
    <w:name w:val="Emphasis"/>
    <w:basedOn w:val="DefaultParagraphFont"/>
    <w:uiPriority w:val="20"/>
    <w:qFormat/>
    <w:rsid w:val="00F662BA"/>
    <w:rPr>
      <w:i/>
      <w:iCs/>
    </w:rPr>
  </w:style>
  <w:style w:type="character" w:customStyle="1" w:styleId="BTNumbListChar">
    <w:name w:val="BTNumbList Char"/>
    <w:basedOn w:val="DefaultParagraphFont"/>
    <w:link w:val="NumbList1"/>
    <w:uiPriority w:val="14"/>
    <w:rsid w:val="009B1697"/>
    <w:rPr>
      <w:rFonts w:ascii="Verdana" w:hAnsi="Verdana"/>
      <w:color w:val="000000" w:themeColor="text1"/>
      <w:sz w:val="20"/>
    </w:rPr>
  </w:style>
  <w:style w:type="paragraph" w:customStyle="1" w:styleId="SUPERSChar">
    <w:name w:val="SUPERS Char"/>
    <w:aliases w:val="EN Footnote Reference Char"/>
    <w:basedOn w:val="Normal"/>
    <w:uiPriority w:val="99"/>
    <w:rsid w:val="009B1697"/>
    <w:pPr>
      <w:spacing w:after="160" w:line="240" w:lineRule="exact"/>
    </w:pPr>
    <w:rPr>
      <w:szCs w:val="20"/>
      <w:vertAlign w:val="superscript"/>
    </w:rPr>
  </w:style>
  <w:style w:type="character" w:styleId="Strong">
    <w:name w:val="Strong"/>
    <w:basedOn w:val="DefaultParagraphFont"/>
    <w:uiPriority w:val="22"/>
    <w:qFormat/>
    <w:rsid w:val="00BA29D5"/>
    <w:rPr>
      <w:b/>
      <w:bCs/>
    </w:rPr>
  </w:style>
  <w:style w:type="character" w:customStyle="1" w:styleId="UnresolvedMention1">
    <w:name w:val="Unresolved Mention1"/>
    <w:basedOn w:val="DefaultParagraphFont"/>
    <w:uiPriority w:val="99"/>
    <w:semiHidden/>
    <w:unhideWhenUsed/>
    <w:rsid w:val="00544185"/>
    <w:rPr>
      <w:color w:val="605E5C"/>
      <w:shd w:val="clear" w:color="auto" w:fill="E1DFDD"/>
    </w:rPr>
  </w:style>
  <w:style w:type="character" w:customStyle="1" w:styleId="UnresolvedMention2">
    <w:name w:val="Unresolved Mention2"/>
    <w:basedOn w:val="DefaultParagraphFont"/>
    <w:uiPriority w:val="99"/>
    <w:semiHidden/>
    <w:unhideWhenUsed/>
    <w:rsid w:val="0041160A"/>
    <w:rPr>
      <w:color w:val="605E5C"/>
      <w:shd w:val="clear" w:color="auto" w:fill="E1DFDD"/>
    </w:rPr>
  </w:style>
  <w:style w:type="paragraph" w:customStyle="1" w:styleId="Titlecost">
    <w:name w:val="Title_cost"/>
    <w:basedOn w:val="Normal"/>
    <w:link w:val="TitlecostChar"/>
    <w:qFormat/>
    <w:rsid w:val="005D4CE3"/>
    <w:rPr>
      <w:b/>
      <w:bCs/>
      <w:color w:val="002395"/>
    </w:rPr>
  </w:style>
  <w:style w:type="character" w:customStyle="1" w:styleId="TitlecostChar">
    <w:name w:val="Title_cost Char"/>
    <w:basedOn w:val="DefaultParagraphFont"/>
    <w:link w:val="Titlecost"/>
    <w:rsid w:val="005D4CE3"/>
    <w:rPr>
      <w:rFonts w:ascii="Verdana" w:hAnsi="Verdana"/>
      <w:b/>
      <w:bCs/>
      <w:color w:val="002395"/>
      <w:sz w:val="20"/>
    </w:rPr>
  </w:style>
  <w:style w:type="character" w:customStyle="1" w:styleId="UnresolvedMention3">
    <w:name w:val="Unresolved Mention3"/>
    <w:basedOn w:val="DefaultParagraphFont"/>
    <w:uiPriority w:val="99"/>
    <w:semiHidden/>
    <w:unhideWhenUsed/>
    <w:rsid w:val="00C02D73"/>
    <w:rPr>
      <w:color w:val="605E5C"/>
      <w:shd w:val="clear" w:color="auto" w:fill="E1DFDD"/>
    </w:rPr>
  </w:style>
  <w:style w:type="character" w:styleId="FollowedHyperlink">
    <w:name w:val="FollowedHyperlink"/>
    <w:basedOn w:val="DefaultParagraphFont"/>
    <w:uiPriority w:val="99"/>
    <w:semiHidden/>
    <w:unhideWhenUsed/>
    <w:rsid w:val="00161572"/>
    <w:rPr>
      <w:color w:val="800080" w:themeColor="followedHyperlink"/>
      <w:u w:val="single"/>
    </w:rPr>
  </w:style>
  <w:style w:type="paragraph" w:styleId="Revision">
    <w:name w:val="Revision"/>
    <w:hidden/>
    <w:uiPriority w:val="99"/>
    <w:semiHidden/>
    <w:rsid w:val="008B2919"/>
    <w:pPr>
      <w:spacing w:after="0" w:line="240" w:lineRule="auto"/>
    </w:pPr>
    <w:rPr>
      <w:rFonts w:ascii="Verdana" w:hAnsi="Verdana"/>
      <w:color w:val="000000" w:themeColor="text1"/>
      <w:sz w:val="20"/>
    </w:rPr>
  </w:style>
  <w:style w:type="paragraph" w:customStyle="1" w:styleId="AnnexTitle">
    <w:name w:val="Annex Title"/>
    <w:basedOn w:val="Heading1"/>
    <w:next w:val="Normal"/>
    <w:link w:val="AnnexTitleChar"/>
    <w:autoRedefine/>
    <w:qFormat/>
    <w:rsid w:val="00291AB2"/>
    <w:pPr>
      <w:keepLines w:val="0"/>
      <w:numPr>
        <w:numId w:val="0"/>
      </w:numPr>
      <w:spacing w:before="240" w:after="480"/>
      <w:ind w:left="7938" w:hanging="7938"/>
    </w:pPr>
    <w:rPr>
      <w:rFonts w:ascii="Times New Roman" w:eastAsia="Times New Roman" w:hAnsi="Times New Roman" w:cs="Times New Roman"/>
      <w:bCs w:val="0"/>
      <w:smallCaps/>
      <w:sz w:val="32"/>
      <w:szCs w:val="20"/>
    </w:rPr>
  </w:style>
  <w:style w:type="character" w:customStyle="1" w:styleId="AnnexTitleChar">
    <w:name w:val="Annex Title Char"/>
    <w:basedOn w:val="DefaultParagraphFont"/>
    <w:link w:val="AnnexTitle"/>
    <w:rsid w:val="00291AB2"/>
    <w:rPr>
      <w:rFonts w:ascii="Times New Roman" w:eastAsia="Times New Roman" w:hAnsi="Times New Roman" w:cs="Times New Roman"/>
      <w:b/>
      <w:smallCaps/>
      <w:sz w:val="32"/>
      <w:szCs w:val="20"/>
    </w:rPr>
  </w:style>
  <w:style w:type="paragraph" w:customStyle="1" w:styleId="CharCharChar1">
    <w:name w:val="Char Char Char1"/>
    <w:basedOn w:val="Normal"/>
    <w:uiPriority w:val="99"/>
    <w:rsid w:val="00CF5993"/>
    <w:pPr>
      <w:spacing w:before="0" w:after="160" w:line="240" w:lineRule="exact"/>
      <w:jc w:val="both"/>
    </w:pPr>
    <w:rPr>
      <w:rFonts w:ascii="Times New Roman" w:hAnsi="Times New Roman" w:cs="Times New Roman"/>
      <w:color w:val="auto"/>
      <w:sz w:val="24"/>
      <w:szCs w:val="24"/>
      <w:vertAlign w:val="superscript"/>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CF5993"/>
    <w:rPr>
      <w:rFonts w:ascii="Verdana" w:hAnsi="Verdana"/>
      <w:color w:val="000000" w:themeColor="text1"/>
      <w:sz w:val="20"/>
    </w:rPr>
  </w:style>
  <w:style w:type="character" w:customStyle="1" w:styleId="CaptionChar">
    <w:name w:val="Caption Char"/>
    <w:aliases w:val="Figure Caption + Avant : 11 pt Char,Motif : Transparente (Gris - 15 %) Char,Figure Caption Char,TF Char,Tabelkop Char,Caption-tables Char,Table legend Char,Tab_Überschrift Char,Figure reference Char,Char Car Char, Char Char Char Char,c Char"/>
    <w:basedOn w:val="DefaultParagraphFont"/>
    <w:link w:val="Caption"/>
    <w:uiPriority w:val="3"/>
    <w:qFormat/>
    <w:locked/>
    <w:rsid w:val="00CF5993"/>
    <w:rPr>
      <w:rFonts w:ascii="Verdana" w:hAnsi="Verdana"/>
      <w:i/>
      <w:iCs/>
      <w:color w:val="1F497D" w:themeColor="text2"/>
      <w:sz w:val="18"/>
      <w:szCs w:val="18"/>
    </w:rPr>
  </w:style>
  <w:style w:type="paragraph" w:styleId="NormalWeb">
    <w:name w:val="Normal (Web)"/>
    <w:basedOn w:val="Normal"/>
    <w:uiPriority w:val="99"/>
    <w:unhideWhenUsed/>
    <w:rsid w:val="005A24AC"/>
    <w:pPr>
      <w:spacing w:before="100" w:beforeAutospacing="1" w:after="100" w:afterAutospacing="1"/>
    </w:pPr>
    <w:rPr>
      <w:rFonts w:ascii="Times New Roman" w:eastAsia="Times New Roman" w:hAnsi="Times New Roman" w:cs="Times New Roman"/>
      <w:color w:val="auto"/>
      <w:sz w:val="24"/>
      <w:szCs w:val="24"/>
      <w:lang w:val="nl-BE" w:eastAsia="nl-BE"/>
    </w:rPr>
  </w:style>
  <w:style w:type="character" w:customStyle="1" w:styleId="UnresolvedMention">
    <w:name w:val="Unresolved Mention"/>
    <w:basedOn w:val="DefaultParagraphFont"/>
    <w:uiPriority w:val="99"/>
    <w:semiHidden/>
    <w:unhideWhenUsed/>
    <w:rsid w:val="00262498"/>
    <w:rPr>
      <w:color w:val="605E5C"/>
      <w:shd w:val="clear" w:color="auto" w:fill="E1DFDD"/>
    </w:rPr>
  </w:style>
  <w:style w:type="character" w:customStyle="1" w:styleId="Mention">
    <w:name w:val="Mention"/>
    <w:basedOn w:val="DefaultParagraphFont"/>
    <w:uiPriority w:val="99"/>
    <w:unhideWhenUsed/>
    <w:rsid w:val="00E57B08"/>
    <w:rPr>
      <w:color w:val="2B579A"/>
      <w:shd w:val="clear" w:color="auto" w:fill="E1DFDD"/>
    </w:rPr>
  </w:style>
  <w:style w:type="character" w:customStyle="1" w:styleId="Marker">
    <w:name w:val="Marker"/>
    <w:basedOn w:val="DefaultParagraphFont"/>
    <w:rsid w:val="00187DA6"/>
    <w:rPr>
      <w:color w:val="0000FF"/>
      <w:shd w:val="clear" w:color="auto" w:fill="auto"/>
    </w:rPr>
  </w:style>
  <w:style w:type="paragraph" w:customStyle="1" w:styleId="Pagedecouverture">
    <w:name w:val="Page de couverture"/>
    <w:basedOn w:val="Normal"/>
    <w:next w:val="Normal"/>
    <w:link w:val="PagedecouvertureChar"/>
    <w:rsid w:val="00187DA6"/>
    <w:pPr>
      <w:spacing w:before="0" w:after="0"/>
      <w:jc w:val="both"/>
    </w:pPr>
    <w:rPr>
      <w:rFonts w:ascii="Times New Roman" w:hAnsi="Times New Roman" w:cs="Times New Roman"/>
      <w:color w:val="auto"/>
      <w:sz w:val="24"/>
    </w:rPr>
  </w:style>
  <w:style w:type="paragraph" w:customStyle="1" w:styleId="FooterCoverPage">
    <w:name w:val="Footer Cover Page"/>
    <w:basedOn w:val="Normal"/>
    <w:link w:val="FooterCoverPageChar"/>
    <w:rsid w:val="00187DA6"/>
    <w:pPr>
      <w:tabs>
        <w:tab w:val="center" w:pos="4535"/>
        <w:tab w:val="right" w:pos="9071"/>
        <w:tab w:val="right" w:pos="9921"/>
      </w:tabs>
      <w:spacing w:before="360" w:after="0"/>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187DA6"/>
    <w:rPr>
      <w:rFonts w:ascii="Times New Roman" w:hAnsi="Times New Roman" w:cs="Times New Roman"/>
      <w:sz w:val="24"/>
    </w:rPr>
  </w:style>
  <w:style w:type="character" w:customStyle="1" w:styleId="FooterCoverPageChar">
    <w:name w:val="Footer Cover Page Char"/>
    <w:basedOn w:val="PagedecouvertureChar"/>
    <w:link w:val="FooterCoverPage"/>
    <w:rsid w:val="00187DA6"/>
    <w:rPr>
      <w:rFonts w:ascii="Times New Roman" w:hAnsi="Times New Roman" w:cs="Times New Roman"/>
      <w:color w:val="000000" w:themeColor="text1"/>
      <w:sz w:val="24"/>
    </w:rPr>
  </w:style>
  <w:style w:type="paragraph" w:customStyle="1" w:styleId="FooterSensitivity">
    <w:name w:val="Footer Sensitivity"/>
    <w:basedOn w:val="Normal"/>
    <w:link w:val="FooterSensitivityChar"/>
    <w:rsid w:val="00187DA6"/>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187DA6"/>
    <w:rPr>
      <w:rFonts w:ascii="Times New Roman" w:hAnsi="Times New Roman" w:cs="Times New Roman"/>
      <w:b/>
      <w:color w:val="000000" w:themeColor="text1"/>
      <w:sz w:val="32"/>
    </w:rPr>
  </w:style>
  <w:style w:type="paragraph" w:customStyle="1" w:styleId="HeaderCoverPage">
    <w:name w:val="Header Cover Page"/>
    <w:basedOn w:val="Normal"/>
    <w:link w:val="HeaderCoverPageChar"/>
    <w:rsid w:val="00187DA6"/>
    <w:pPr>
      <w:tabs>
        <w:tab w:val="center" w:pos="4535"/>
        <w:tab w:val="right" w:pos="9071"/>
      </w:tabs>
      <w:spacing w:before="0"/>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187DA6"/>
    <w:rPr>
      <w:rFonts w:ascii="Times New Roman" w:hAnsi="Times New Roman" w:cs="Times New Roman"/>
      <w:color w:val="000000" w:themeColor="text1"/>
      <w:sz w:val="24"/>
    </w:rPr>
  </w:style>
  <w:style w:type="paragraph" w:customStyle="1" w:styleId="HeaderSensitivity">
    <w:name w:val="Header Sensitivity"/>
    <w:basedOn w:val="Normal"/>
    <w:link w:val="HeaderSensitivityChar"/>
    <w:rsid w:val="00187DA6"/>
    <w:pPr>
      <w:pBdr>
        <w:top w:val="single" w:sz="4" w:space="1" w:color="auto"/>
        <w:left w:val="single" w:sz="4" w:space="4" w:color="auto"/>
        <w:bottom w:val="single" w:sz="4" w:space="1" w:color="auto"/>
        <w:right w:val="single" w:sz="4" w:space="4" w:color="auto"/>
      </w:pBdr>
      <w:spacing w:before="0"/>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187DA6"/>
    <w:rPr>
      <w:rFonts w:ascii="Times New Roman" w:hAnsi="Times New Roman" w:cs="Times New Roman"/>
      <w:b/>
      <w:color w:val="000000" w:themeColor="text1"/>
      <w:sz w:val="32"/>
    </w:rPr>
  </w:style>
  <w:style w:type="paragraph" w:customStyle="1" w:styleId="HeaderSensitivityRight">
    <w:name w:val="Header Sensitivity Right"/>
    <w:basedOn w:val="Normal"/>
    <w:link w:val="HeaderSensitivityRightChar"/>
    <w:rsid w:val="00187DA6"/>
    <w:pPr>
      <w:spacing w:before="0"/>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187DA6"/>
    <w:rPr>
      <w:rFonts w:ascii="Times New Roman" w:hAnsi="Times New Roman" w:cs="Times New Roman"/>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3018">
      <w:bodyDiv w:val="1"/>
      <w:marLeft w:val="0"/>
      <w:marRight w:val="0"/>
      <w:marTop w:val="0"/>
      <w:marBottom w:val="0"/>
      <w:divBdr>
        <w:top w:val="none" w:sz="0" w:space="0" w:color="auto"/>
        <w:left w:val="none" w:sz="0" w:space="0" w:color="auto"/>
        <w:bottom w:val="none" w:sz="0" w:space="0" w:color="auto"/>
        <w:right w:val="none" w:sz="0" w:space="0" w:color="auto"/>
      </w:divBdr>
      <w:divsChild>
        <w:div w:id="277373917">
          <w:marLeft w:val="0"/>
          <w:marRight w:val="0"/>
          <w:marTop w:val="0"/>
          <w:marBottom w:val="0"/>
          <w:divBdr>
            <w:top w:val="none" w:sz="0" w:space="0" w:color="auto"/>
            <w:left w:val="none" w:sz="0" w:space="0" w:color="auto"/>
            <w:bottom w:val="none" w:sz="0" w:space="0" w:color="auto"/>
            <w:right w:val="none" w:sz="0" w:space="0" w:color="auto"/>
          </w:divBdr>
        </w:div>
        <w:div w:id="1351643264">
          <w:marLeft w:val="0"/>
          <w:marRight w:val="0"/>
          <w:marTop w:val="0"/>
          <w:marBottom w:val="0"/>
          <w:divBdr>
            <w:top w:val="none" w:sz="0" w:space="0" w:color="auto"/>
            <w:left w:val="none" w:sz="0" w:space="0" w:color="auto"/>
            <w:bottom w:val="none" w:sz="0" w:space="0" w:color="auto"/>
            <w:right w:val="none" w:sz="0" w:space="0" w:color="auto"/>
          </w:divBdr>
        </w:div>
        <w:div w:id="1819422934">
          <w:marLeft w:val="0"/>
          <w:marRight w:val="0"/>
          <w:marTop w:val="0"/>
          <w:marBottom w:val="0"/>
          <w:divBdr>
            <w:top w:val="none" w:sz="0" w:space="0" w:color="auto"/>
            <w:left w:val="none" w:sz="0" w:space="0" w:color="auto"/>
            <w:bottom w:val="none" w:sz="0" w:space="0" w:color="auto"/>
            <w:right w:val="none" w:sz="0" w:space="0" w:color="auto"/>
          </w:divBdr>
        </w:div>
      </w:divsChild>
    </w:div>
    <w:div w:id="24336024">
      <w:bodyDiv w:val="1"/>
      <w:marLeft w:val="0"/>
      <w:marRight w:val="0"/>
      <w:marTop w:val="0"/>
      <w:marBottom w:val="0"/>
      <w:divBdr>
        <w:top w:val="none" w:sz="0" w:space="0" w:color="auto"/>
        <w:left w:val="none" w:sz="0" w:space="0" w:color="auto"/>
        <w:bottom w:val="none" w:sz="0" w:space="0" w:color="auto"/>
        <w:right w:val="none" w:sz="0" w:space="0" w:color="auto"/>
      </w:divBdr>
    </w:div>
    <w:div w:id="25447549">
      <w:bodyDiv w:val="1"/>
      <w:marLeft w:val="0"/>
      <w:marRight w:val="0"/>
      <w:marTop w:val="0"/>
      <w:marBottom w:val="0"/>
      <w:divBdr>
        <w:top w:val="none" w:sz="0" w:space="0" w:color="auto"/>
        <w:left w:val="none" w:sz="0" w:space="0" w:color="auto"/>
        <w:bottom w:val="none" w:sz="0" w:space="0" w:color="auto"/>
        <w:right w:val="none" w:sz="0" w:space="0" w:color="auto"/>
      </w:divBdr>
    </w:div>
    <w:div w:id="40784371">
      <w:bodyDiv w:val="1"/>
      <w:marLeft w:val="0"/>
      <w:marRight w:val="0"/>
      <w:marTop w:val="0"/>
      <w:marBottom w:val="0"/>
      <w:divBdr>
        <w:top w:val="none" w:sz="0" w:space="0" w:color="auto"/>
        <w:left w:val="none" w:sz="0" w:space="0" w:color="auto"/>
        <w:bottom w:val="none" w:sz="0" w:space="0" w:color="auto"/>
        <w:right w:val="none" w:sz="0" w:space="0" w:color="auto"/>
      </w:divBdr>
    </w:div>
    <w:div w:id="60100427">
      <w:bodyDiv w:val="1"/>
      <w:marLeft w:val="0"/>
      <w:marRight w:val="0"/>
      <w:marTop w:val="0"/>
      <w:marBottom w:val="0"/>
      <w:divBdr>
        <w:top w:val="none" w:sz="0" w:space="0" w:color="auto"/>
        <w:left w:val="none" w:sz="0" w:space="0" w:color="auto"/>
        <w:bottom w:val="none" w:sz="0" w:space="0" w:color="auto"/>
        <w:right w:val="none" w:sz="0" w:space="0" w:color="auto"/>
      </w:divBdr>
    </w:div>
    <w:div w:id="71439673">
      <w:bodyDiv w:val="1"/>
      <w:marLeft w:val="0"/>
      <w:marRight w:val="0"/>
      <w:marTop w:val="0"/>
      <w:marBottom w:val="0"/>
      <w:divBdr>
        <w:top w:val="none" w:sz="0" w:space="0" w:color="auto"/>
        <w:left w:val="none" w:sz="0" w:space="0" w:color="auto"/>
        <w:bottom w:val="none" w:sz="0" w:space="0" w:color="auto"/>
        <w:right w:val="none" w:sz="0" w:space="0" w:color="auto"/>
      </w:divBdr>
    </w:div>
    <w:div w:id="71977851">
      <w:bodyDiv w:val="1"/>
      <w:marLeft w:val="0"/>
      <w:marRight w:val="0"/>
      <w:marTop w:val="0"/>
      <w:marBottom w:val="0"/>
      <w:divBdr>
        <w:top w:val="none" w:sz="0" w:space="0" w:color="auto"/>
        <w:left w:val="none" w:sz="0" w:space="0" w:color="auto"/>
        <w:bottom w:val="none" w:sz="0" w:space="0" w:color="auto"/>
        <w:right w:val="none" w:sz="0" w:space="0" w:color="auto"/>
      </w:divBdr>
    </w:div>
    <w:div w:id="74087958">
      <w:bodyDiv w:val="1"/>
      <w:marLeft w:val="0"/>
      <w:marRight w:val="0"/>
      <w:marTop w:val="0"/>
      <w:marBottom w:val="0"/>
      <w:divBdr>
        <w:top w:val="none" w:sz="0" w:space="0" w:color="auto"/>
        <w:left w:val="none" w:sz="0" w:space="0" w:color="auto"/>
        <w:bottom w:val="none" w:sz="0" w:space="0" w:color="auto"/>
        <w:right w:val="none" w:sz="0" w:space="0" w:color="auto"/>
      </w:divBdr>
    </w:div>
    <w:div w:id="75593083">
      <w:bodyDiv w:val="1"/>
      <w:marLeft w:val="0"/>
      <w:marRight w:val="0"/>
      <w:marTop w:val="0"/>
      <w:marBottom w:val="0"/>
      <w:divBdr>
        <w:top w:val="none" w:sz="0" w:space="0" w:color="auto"/>
        <w:left w:val="none" w:sz="0" w:space="0" w:color="auto"/>
        <w:bottom w:val="none" w:sz="0" w:space="0" w:color="auto"/>
        <w:right w:val="none" w:sz="0" w:space="0" w:color="auto"/>
      </w:divBdr>
    </w:div>
    <w:div w:id="78260163">
      <w:bodyDiv w:val="1"/>
      <w:marLeft w:val="0"/>
      <w:marRight w:val="0"/>
      <w:marTop w:val="0"/>
      <w:marBottom w:val="0"/>
      <w:divBdr>
        <w:top w:val="none" w:sz="0" w:space="0" w:color="auto"/>
        <w:left w:val="none" w:sz="0" w:space="0" w:color="auto"/>
        <w:bottom w:val="none" w:sz="0" w:space="0" w:color="auto"/>
        <w:right w:val="none" w:sz="0" w:space="0" w:color="auto"/>
      </w:divBdr>
    </w:div>
    <w:div w:id="91125331">
      <w:bodyDiv w:val="1"/>
      <w:marLeft w:val="0"/>
      <w:marRight w:val="0"/>
      <w:marTop w:val="0"/>
      <w:marBottom w:val="0"/>
      <w:divBdr>
        <w:top w:val="none" w:sz="0" w:space="0" w:color="auto"/>
        <w:left w:val="none" w:sz="0" w:space="0" w:color="auto"/>
        <w:bottom w:val="none" w:sz="0" w:space="0" w:color="auto"/>
        <w:right w:val="none" w:sz="0" w:space="0" w:color="auto"/>
      </w:divBdr>
    </w:div>
    <w:div w:id="101269430">
      <w:bodyDiv w:val="1"/>
      <w:marLeft w:val="0"/>
      <w:marRight w:val="0"/>
      <w:marTop w:val="0"/>
      <w:marBottom w:val="0"/>
      <w:divBdr>
        <w:top w:val="none" w:sz="0" w:space="0" w:color="auto"/>
        <w:left w:val="none" w:sz="0" w:space="0" w:color="auto"/>
        <w:bottom w:val="none" w:sz="0" w:space="0" w:color="auto"/>
        <w:right w:val="none" w:sz="0" w:space="0" w:color="auto"/>
      </w:divBdr>
    </w:div>
    <w:div w:id="120468165">
      <w:bodyDiv w:val="1"/>
      <w:marLeft w:val="0"/>
      <w:marRight w:val="0"/>
      <w:marTop w:val="0"/>
      <w:marBottom w:val="0"/>
      <w:divBdr>
        <w:top w:val="none" w:sz="0" w:space="0" w:color="auto"/>
        <w:left w:val="none" w:sz="0" w:space="0" w:color="auto"/>
        <w:bottom w:val="none" w:sz="0" w:space="0" w:color="auto"/>
        <w:right w:val="none" w:sz="0" w:space="0" w:color="auto"/>
      </w:divBdr>
    </w:div>
    <w:div w:id="124126557">
      <w:bodyDiv w:val="1"/>
      <w:marLeft w:val="0"/>
      <w:marRight w:val="0"/>
      <w:marTop w:val="0"/>
      <w:marBottom w:val="0"/>
      <w:divBdr>
        <w:top w:val="none" w:sz="0" w:space="0" w:color="auto"/>
        <w:left w:val="none" w:sz="0" w:space="0" w:color="auto"/>
        <w:bottom w:val="none" w:sz="0" w:space="0" w:color="auto"/>
        <w:right w:val="none" w:sz="0" w:space="0" w:color="auto"/>
      </w:divBdr>
    </w:div>
    <w:div w:id="125196156">
      <w:bodyDiv w:val="1"/>
      <w:marLeft w:val="0"/>
      <w:marRight w:val="0"/>
      <w:marTop w:val="0"/>
      <w:marBottom w:val="0"/>
      <w:divBdr>
        <w:top w:val="none" w:sz="0" w:space="0" w:color="auto"/>
        <w:left w:val="none" w:sz="0" w:space="0" w:color="auto"/>
        <w:bottom w:val="none" w:sz="0" w:space="0" w:color="auto"/>
        <w:right w:val="none" w:sz="0" w:space="0" w:color="auto"/>
      </w:divBdr>
    </w:div>
    <w:div w:id="155347349">
      <w:bodyDiv w:val="1"/>
      <w:marLeft w:val="0"/>
      <w:marRight w:val="0"/>
      <w:marTop w:val="0"/>
      <w:marBottom w:val="0"/>
      <w:divBdr>
        <w:top w:val="none" w:sz="0" w:space="0" w:color="auto"/>
        <w:left w:val="none" w:sz="0" w:space="0" w:color="auto"/>
        <w:bottom w:val="none" w:sz="0" w:space="0" w:color="auto"/>
        <w:right w:val="none" w:sz="0" w:space="0" w:color="auto"/>
      </w:divBdr>
    </w:div>
    <w:div w:id="168176381">
      <w:bodyDiv w:val="1"/>
      <w:marLeft w:val="0"/>
      <w:marRight w:val="0"/>
      <w:marTop w:val="0"/>
      <w:marBottom w:val="0"/>
      <w:divBdr>
        <w:top w:val="none" w:sz="0" w:space="0" w:color="auto"/>
        <w:left w:val="none" w:sz="0" w:space="0" w:color="auto"/>
        <w:bottom w:val="none" w:sz="0" w:space="0" w:color="auto"/>
        <w:right w:val="none" w:sz="0" w:space="0" w:color="auto"/>
      </w:divBdr>
    </w:div>
    <w:div w:id="179010020">
      <w:bodyDiv w:val="1"/>
      <w:marLeft w:val="0"/>
      <w:marRight w:val="0"/>
      <w:marTop w:val="0"/>
      <w:marBottom w:val="0"/>
      <w:divBdr>
        <w:top w:val="none" w:sz="0" w:space="0" w:color="auto"/>
        <w:left w:val="none" w:sz="0" w:space="0" w:color="auto"/>
        <w:bottom w:val="none" w:sz="0" w:space="0" w:color="auto"/>
        <w:right w:val="none" w:sz="0" w:space="0" w:color="auto"/>
      </w:divBdr>
    </w:div>
    <w:div w:id="215362207">
      <w:bodyDiv w:val="1"/>
      <w:marLeft w:val="0"/>
      <w:marRight w:val="0"/>
      <w:marTop w:val="0"/>
      <w:marBottom w:val="0"/>
      <w:divBdr>
        <w:top w:val="none" w:sz="0" w:space="0" w:color="auto"/>
        <w:left w:val="none" w:sz="0" w:space="0" w:color="auto"/>
        <w:bottom w:val="none" w:sz="0" w:space="0" w:color="auto"/>
        <w:right w:val="none" w:sz="0" w:space="0" w:color="auto"/>
      </w:divBdr>
      <w:divsChild>
        <w:div w:id="1510679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13208">
      <w:bodyDiv w:val="1"/>
      <w:marLeft w:val="0"/>
      <w:marRight w:val="0"/>
      <w:marTop w:val="0"/>
      <w:marBottom w:val="0"/>
      <w:divBdr>
        <w:top w:val="none" w:sz="0" w:space="0" w:color="auto"/>
        <w:left w:val="none" w:sz="0" w:space="0" w:color="auto"/>
        <w:bottom w:val="none" w:sz="0" w:space="0" w:color="auto"/>
        <w:right w:val="none" w:sz="0" w:space="0" w:color="auto"/>
      </w:divBdr>
    </w:div>
    <w:div w:id="248079048">
      <w:bodyDiv w:val="1"/>
      <w:marLeft w:val="0"/>
      <w:marRight w:val="0"/>
      <w:marTop w:val="0"/>
      <w:marBottom w:val="0"/>
      <w:divBdr>
        <w:top w:val="none" w:sz="0" w:space="0" w:color="auto"/>
        <w:left w:val="none" w:sz="0" w:space="0" w:color="auto"/>
        <w:bottom w:val="none" w:sz="0" w:space="0" w:color="auto"/>
        <w:right w:val="none" w:sz="0" w:space="0" w:color="auto"/>
      </w:divBdr>
    </w:div>
    <w:div w:id="269626958">
      <w:bodyDiv w:val="1"/>
      <w:marLeft w:val="0"/>
      <w:marRight w:val="0"/>
      <w:marTop w:val="0"/>
      <w:marBottom w:val="0"/>
      <w:divBdr>
        <w:top w:val="none" w:sz="0" w:space="0" w:color="auto"/>
        <w:left w:val="none" w:sz="0" w:space="0" w:color="auto"/>
        <w:bottom w:val="none" w:sz="0" w:space="0" w:color="auto"/>
        <w:right w:val="none" w:sz="0" w:space="0" w:color="auto"/>
      </w:divBdr>
    </w:div>
    <w:div w:id="302660217">
      <w:bodyDiv w:val="1"/>
      <w:marLeft w:val="0"/>
      <w:marRight w:val="0"/>
      <w:marTop w:val="0"/>
      <w:marBottom w:val="0"/>
      <w:divBdr>
        <w:top w:val="none" w:sz="0" w:space="0" w:color="auto"/>
        <w:left w:val="none" w:sz="0" w:space="0" w:color="auto"/>
        <w:bottom w:val="none" w:sz="0" w:space="0" w:color="auto"/>
        <w:right w:val="none" w:sz="0" w:space="0" w:color="auto"/>
      </w:divBdr>
    </w:div>
    <w:div w:id="312179221">
      <w:bodyDiv w:val="1"/>
      <w:marLeft w:val="0"/>
      <w:marRight w:val="0"/>
      <w:marTop w:val="0"/>
      <w:marBottom w:val="0"/>
      <w:divBdr>
        <w:top w:val="none" w:sz="0" w:space="0" w:color="auto"/>
        <w:left w:val="none" w:sz="0" w:space="0" w:color="auto"/>
        <w:bottom w:val="none" w:sz="0" w:space="0" w:color="auto"/>
        <w:right w:val="none" w:sz="0" w:space="0" w:color="auto"/>
      </w:divBdr>
    </w:div>
    <w:div w:id="338587121">
      <w:bodyDiv w:val="1"/>
      <w:marLeft w:val="0"/>
      <w:marRight w:val="0"/>
      <w:marTop w:val="0"/>
      <w:marBottom w:val="0"/>
      <w:divBdr>
        <w:top w:val="none" w:sz="0" w:space="0" w:color="auto"/>
        <w:left w:val="none" w:sz="0" w:space="0" w:color="auto"/>
        <w:bottom w:val="none" w:sz="0" w:space="0" w:color="auto"/>
        <w:right w:val="none" w:sz="0" w:space="0" w:color="auto"/>
      </w:divBdr>
    </w:div>
    <w:div w:id="342365458">
      <w:bodyDiv w:val="1"/>
      <w:marLeft w:val="0"/>
      <w:marRight w:val="0"/>
      <w:marTop w:val="0"/>
      <w:marBottom w:val="0"/>
      <w:divBdr>
        <w:top w:val="none" w:sz="0" w:space="0" w:color="auto"/>
        <w:left w:val="none" w:sz="0" w:space="0" w:color="auto"/>
        <w:bottom w:val="none" w:sz="0" w:space="0" w:color="auto"/>
        <w:right w:val="none" w:sz="0" w:space="0" w:color="auto"/>
      </w:divBdr>
    </w:div>
    <w:div w:id="348141142">
      <w:bodyDiv w:val="1"/>
      <w:marLeft w:val="0"/>
      <w:marRight w:val="0"/>
      <w:marTop w:val="0"/>
      <w:marBottom w:val="0"/>
      <w:divBdr>
        <w:top w:val="none" w:sz="0" w:space="0" w:color="auto"/>
        <w:left w:val="none" w:sz="0" w:space="0" w:color="auto"/>
        <w:bottom w:val="none" w:sz="0" w:space="0" w:color="auto"/>
        <w:right w:val="none" w:sz="0" w:space="0" w:color="auto"/>
      </w:divBdr>
    </w:div>
    <w:div w:id="349379580">
      <w:bodyDiv w:val="1"/>
      <w:marLeft w:val="0"/>
      <w:marRight w:val="0"/>
      <w:marTop w:val="0"/>
      <w:marBottom w:val="0"/>
      <w:divBdr>
        <w:top w:val="none" w:sz="0" w:space="0" w:color="auto"/>
        <w:left w:val="none" w:sz="0" w:space="0" w:color="auto"/>
        <w:bottom w:val="none" w:sz="0" w:space="0" w:color="auto"/>
        <w:right w:val="none" w:sz="0" w:space="0" w:color="auto"/>
      </w:divBdr>
      <w:divsChild>
        <w:div w:id="204413904">
          <w:marLeft w:val="0"/>
          <w:marRight w:val="0"/>
          <w:marTop w:val="240"/>
          <w:marBottom w:val="240"/>
          <w:divBdr>
            <w:top w:val="none" w:sz="0" w:space="0" w:color="auto"/>
            <w:left w:val="none" w:sz="0" w:space="0" w:color="auto"/>
            <w:bottom w:val="none" w:sz="0" w:space="0" w:color="auto"/>
            <w:right w:val="none" w:sz="0" w:space="0" w:color="auto"/>
          </w:divBdr>
        </w:div>
      </w:divsChild>
    </w:div>
    <w:div w:id="354157679">
      <w:bodyDiv w:val="1"/>
      <w:marLeft w:val="0"/>
      <w:marRight w:val="0"/>
      <w:marTop w:val="0"/>
      <w:marBottom w:val="0"/>
      <w:divBdr>
        <w:top w:val="none" w:sz="0" w:space="0" w:color="auto"/>
        <w:left w:val="none" w:sz="0" w:space="0" w:color="auto"/>
        <w:bottom w:val="none" w:sz="0" w:space="0" w:color="auto"/>
        <w:right w:val="none" w:sz="0" w:space="0" w:color="auto"/>
      </w:divBdr>
    </w:div>
    <w:div w:id="354431302">
      <w:bodyDiv w:val="1"/>
      <w:marLeft w:val="0"/>
      <w:marRight w:val="0"/>
      <w:marTop w:val="0"/>
      <w:marBottom w:val="0"/>
      <w:divBdr>
        <w:top w:val="none" w:sz="0" w:space="0" w:color="auto"/>
        <w:left w:val="none" w:sz="0" w:space="0" w:color="auto"/>
        <w:bottom w:val="none" w:sz="0" w:space="0" w:color="auto"/>
        <w:right w:val="none" w:sz="0" w:space="0" w:color="auto"/>
      </w:divBdr>
    </w:div>
    <w:div w:id="367026132">
      <w:bodyDiv w:val="1"/>
      <w:marLeft w:val="0"/>
      <w:marRight w:val="0"/>
      <w:marTop w:val="0"/>
      <w:marBottom w:val="0"/>
      <w:divBdr>
        <w:top w:val="none" w:sz="0" w:space="0" w:color="auto"/>
        <w:left w:val="none" w:sz="0" w:space="0" w:color="auto"/>
        <w:bottom w:val="none" w:sz="0" w:space="0" w:color="auto"/>
        <w:right w:val="none" w:sz="0" w:space="0" w:color="auto"/>
      </w:divBdr>
      <w:divsChild>
        <w:div w:id="2147314376">
          <w:marLeft w:val="0"/>
          <w:marRight w:val="0"/>
          <w:marTop w:val="0"/>
          <w:marBottom w:val="0"/>
          <w:divBdr>
            <w:top w:val="none" w:sz="0" w:space="0" w:color="auto"/>
            <w:left w:val="none" w:sz="0" w:space="0" w:color="auto"/>
            <w:bottom w:val="none" w:sz="0" w:space="0" w:color="auto"/>
            <w:right w:val="none" w:sz="0" w:space="0" w:color="auto"/>
          </w:divBdr>
        </w:div>
      </w:divsChild>
    </w:div>
    <w:div w:id="369457607">
      <w:bodyDiv w:val="1"/>
      <w:marLeft w:val="0"/>
      <w:marRight w:val="0"/>
      <w:marTop w:val="0"/>
      <w:marBottom w:val="0"/>
      <w:divBdr>
        <w:top w:val="none" w:sz="0" w:space="0" w:color="auto"/>
        <w:left w:val="none" w:sz="0" w:space="0" w:color="auto"/>
        <w:bottom w:val="none" w:sz="0" w:space="0" w:color="auto"/>
        <w:right w:val="none" w:sz="0" w:space="0" w:color="auto"/>
      </w:divBdr>
      <w:divsChild>
        <w:div w:id="1540583045">
          <w:marLeft w:val="0"/>
          <w:marRight w:val="0"/>
          <w:marTop w:val="0"/>
          <w:marBottom w:val="0"/>
          <w:divBdr>
            <w:top w:val="none" w:sz="0" w:space="0" w:color="auto"/>
            <w:left w:val="none" w:sz="0" w:space="0" w:color="auto"/>
            <w:bottom w:val="none" w:sz="0" w:space="0" w:color="auto"/>
            <w:right w:val="none" w:sz="0" w:space="0" w:color="auto"/>
          </w:divBdr>
        </w:div>
      </w:divsChild>
    </w:div>
    <w:div w:id="396561388">
      <w:bodyDiv w:val="1"/>
      <w:marLeft w:val="0"/>
      <w:marRight w:val="0"/>
      <w:marTop w:val="0"/>
      <w:marBottom w:val="0"/>
      <w:divBdr>
        <w:top w:val="none" w:sz="0" w:space="0" w:color="auto"/>
        <w:left w:val="none" w:sz="0" w:space="0" w:color="auto"/>
        <w:bottom w:val="none" w:sz="0" w:space="0" w:color="auto"/>
        <w:right w:val="none" w:sz="0" w:space="0" w:color="auto"/>
      </w:divBdr>
    </w:div>
    <w:div w:id="413211644">
      <w:bodyDiv w:val="1"/>
      <w:marLeft w:val="0"/>
      <w:marRight w:val="0"/>
      <w:marTop w:val="0"/>
      <w:marBottom w:val="0"/>
      <w:divBdr>
        <w:top w:val="none" w:sz="0" w:space="0" w:color="auto"/>
        <w:left w:val="none" w:sz="0" w:space="0" w:color="auto"/>
        <w:bottom w:val="none" w:sz="0" w:space="0" w:color="auto"/>
        <w:right w:val="none" w:sz="0" w:space="0" w:color="auto"/>
      </w:divBdr>
    </w:div>
    <w:div w:id="422846844">
      <w:bodyDiv w:val="1"/>
      <w:marLeft w:val="0"/>
      <w:marRight w:val="0"/>
      <w:marTop w:val="0"/>
      <w:marBottom w:val="0"/>
      <w:divBdr>
        <w:top w:val="none" w:sz="0" w:space="0" w:color="auto"/>
        <w:left w:val="none" w:sz="0" w:space="0" w:color="auto"/>
        <w:bottom w:val="none" w:sz="0" w:space="0" w:color="auto"/>
        <w:right w:val="none" w:sz="0" w:space="0" w:color="auto"/>
      </w:divBdr>
    </w:div>
    <w:div w:id="437137295">
      <w:bodyDiv w:val="1"/>
      <w:marLeft w:val="0"/>
      <w:marRight w:val="0"/>
      <w:marTop w:val="0"/>
      <w:marBottom w:val="0"/>
      <w:divBdr>
        <w:top w:val="none" w:sz="0" w:space="0" w:color="auto"/>
        <w:left w:val="none" w:sz="0" w:space="0" w:color="auto"/>
        <w:bottom w:val="none" w:sz="0" w:space="0" w:color="auto"/>
        <w:right w:val="none" w:sz="0" w:space="0" w:color="auto"/>
      </w:divBdr>
    </w:div>
    <w:div w:id="441152006">
      <w:bodyDiv w:val="1"/>
      <w:marLeft w:val="0"/>
      <w:marRight w:val="0"/>
      <w:marTop w:val="0"/>
      <w:marBottom w:val="0"/>
      <w:divBdr>
        <w:top w:val="none" w:sz="0" w:space="0" w:color="auto"/>
        <w:left w:val="none" w:sz="0" w:space="0" w:color="auto"/>
        <w:bottom w:val="none" w:sz="0" w:space="0" w:color="auto"/>
        <w:right w:val="none" w:sz="0" w:space="0" w:color="auto"/>
      </w:divBdr>
    </w:div>
    <w:div w:id="469518742">
      <w:bodyDiv w:val="1"/>
      <w:marLeft w:val="0"/>
      <w:marRight w:val="0"/>
      <w:marTop w:val="0"/>
      <w:marBottom w:val="0"/>
      <w:divBdr>
        <w:top w:val="none" w:sz="0" w:space="0" w:color="auto"/>
        <w:left w:val="none" w:sz="0" w:space="0" w:color="auto"/>
        <w:bottom w:val="none" w:sz="0" w:space="0" w:color="auto"/>
        <w:right w:val="none" w:sz="0" w:space="0" w:color="auto"/>
      </w:divBdr>
    </w:div>
    <w:div w:id="478428162">
      <w:bodyDiv w:val="1"/>
      <w:marLeft w:val="0"/>
      <w:marRight w:val="0"/>
      <w:marTop w:val="0"/>
      <w:marBottom w:val="0"/>
      <w:divBdr>
        <w:top w:val="none" w:sz="0" w:space="0" w:color="auto"/>
        <w:left w:val="none" w:sz="0" w:space="0" w:color="auto"/>
        <w:bottom w:val="none" w:sz="0" w:space="0" w:color="auto"/>
        <w:right w:val="none" w:sz="0" w:space="0" w:color="auto"/>
      </w:divBdr>
    </w:div>
    <w:div w:id="503134813">
      <w:bodyDiv w:val="1"/>
      <w:marLeft w:val="0"/>
      <w:marRight w:val="0"/>
      <w:marTop w:val="0"/>
      <w:marBottom w:val="0"/>
      <w:divBdr>
        <w:top w:val="none" w:sz="0" w:space="0" w:color="auto"/>
        <w:left w:val="none" w:sz="0" w:space="0" w:color="auto"/>
        <w:bottom w:val="none" w:sz="0" w:space="0" w:color="auto"/>
        <w:right w:val="none" w:sz="0" w:space="0" w:color="auto"/>
      </w:divBdr>
    </w:div>
    <w:div w:id="510028091">
      <w:bodyDiv w:val="1"/>
      <w:marLeft w:val="0"/>
      <w:marRight w:val="0"/>
      <w:marTop w:val="0"/>
      <w:marBottom w:val="0"/>
      <w:divBdr>
        <w:top w:val="none" w:sz="0" w:space="0" w:color="auto"/>
        <w:left w:val="none" w:sz="0" w:space="0" w:color="auto"/>
        <w:bottom w:val="none" w:sz="0" w:space="0" w:color="auto"/>
        <w:right w:val="none" w:sz="0" w:space="0" w:color="auto"/>
      </w:divBdr>
    </w:div>
    <w:div w:id="529992582">
      <w:bodyDiv w:val="1"/>
      <w:marLeft w:val="0"/>
      <w:marRight w:val="0"/>
      <w:marTop w:val="0"/>
      <w:marBottom w:val="0"/>
      <w:divBdr>
        <w:top w:val="none" w:sz="0" w:space="0" w:color="auto"/>
        <w:left w:val="none" w:sz="0" w:space="0" w:color="auto"/>
        <w:bottom w:val="none" w:sz="0" w:space="0" w:color="auto"/>
        <w:right w:val="none" w:sz="0" w:space="0" w:color="auto"/>
      </w:divBdr>
    </w:div>
    <w:div w:id="531305476">
      <w:bodyDiv w:val="1"/>
      <w:marLeft w:val="0"/>
      <w:marRight w:val="0"/>
      <w:marTop w:val="0"/>
      <w:marBottom w:val="0"/>
      <w:divBdr>
        <w:top w:val="none" w:sz="0" w:space="0" w:color="auto"/>
        <w:left w:val="none" w:sz="0" w:space="0" w:color="auto"/>
        <w:bottom w:val="none" w:sz="0" w:space="0" w:color="auto"/>
        <w:right w:val="none" w:sz="0" w:space="0" w:color="auto"/>
      </w:divBdr>
    </w:div>
    <w:div w:id="533541161">
      <w:bodyDiv w:val="1"/>
      <w:marLeft w:val="0"/>
      <w:marRight w:val="0"/>
      <w:marTop w:val="0"/>
      <w:marBottom w:val="0"/>
      <w:divBdr>
        <w:top w:val="none" w:sz="0" w:space="0" w:color="auto"/>
        <w:left w:val="none" w:sz="0" w:space="0" w:color="auto"/>
        <w:bottom w:val="none" w:sz="0" w:space="0" w:color="auto"/>
        <w:right w:val="none" w:sz="0" w:space="0" w:color="auto"/>
      </w:divBdr>
    </w:div>
    <w:div w:id="564334722">
      <w:bodyDiv w:val="1"/>
      <w:marLeft w:val="0"/>
      <w:marRight w:val="0"/>
      <w:marTop w:val="0"/>
      <w:marBottom w:val="0"/>
      <w:divBdr>
        <w:top w:val="none" w:sz="0" w:space="0" w:color="auto"/>
        <w:left w:val="none" w:sz="0" w:space="0" w:color="auto"/>
        <w:bottom w:val="none" w:sz="0" w:space="0" w:color="auto"/>
        <w:right w:val="none" w:sz="0" w:space="0" w:color="auto"/>
      </w:divBdr>
    </w:div>
    <w:div w:id="586614187">
      <w:bodyDiv w:val="1"/>
      <w:marLeft w:val="0"/>
      <w:marRight w:val="0"/>
      <w:marTop w:val="0"/>
      <w:marBottom w:val="0"/>
      <w:divBdr>
        <w:top w:val="none" w:sz="0" w:space="0" w:color="auto"/>
        <w:left w:val="none" w:sz="0" w:space="0" w:color="auto"/>
        <w:bottom w:val="none" w:sz="0" w:space="0" w:color="auto"/>
        <w:right w:val="none" w:sz="0" w:space="0" w:color="auto"/>
      </w:divBdr>
    </w:div>
    <w:div w:id="597569340">
      <w:bodyDiv w:val="1"/>
      <w:marLeft w:val="0"/>
      <w:marRight w:val="0"/>
      <w:marTop w:val="0"/>
      <w:marBottom w:val="0"/>
      <w:divBdr>
        <w:top w:val="none" w:sz="0" w:space="0" w:color="auto"/>
        <w:left w:val="none" w:sz="0" w:space="0" w:color="auto"/>
        <w:bottom w:val="none" w:sz="0" w:space="0" w:color="auto"/>
        <w:right w:val="none" w:sz="0" w:space="0" w:color="auto"/>
      </w:divBdr>
    </w:div>
    <w:div w:id="615257936">
      <w:bodyDiv w:val="1"/>
      <w:marLeft w:val="0"/>
      <w:marRight w:val="0"/>
      <w:marTop w:val="0"/>
      <w:marBottom w:val="0"/>
      <w:divBdr>
        <w:top w:val="none" w:sz="0" w:space="0" w:color="auto"/>
        <w:left w:val="none" w:sz="0" w:space="0" w:color="auto"/>
        <w:bottom w:val="none" w:sz="0" w:space="0" w:color="auto"/>
        <w:right w:val="none" w:sz="0" w:space="0" w:color="auto"/>
      </w:divBdr>
    </w:div>
    <w:div w:id="615798180">
      <w:bodyDiv w:val="1"/>
      <w:marLeft w:val="0"/>
      <w:marRight w:val="0"/>
      <w:marTop w:val="0"/>
      <w:marBottom w:val="0"/>
      <w:divBdr>
        <w:top w:val="none" w:sz="0" w:space="0" w:color="auto"/>
        <w:left w:val="none" w:sz="0" w:space="0" w:color="auto"/>
        <w:bottom w:val="none" w:sz="0" w:space="0" w:color="auto"/>
        <w:right w:val="none" w:sz="0" w:space="0" w:color="auto"/>
      </w:divBdr>
    </w:div>
    <w:div w:id="628319805">
      <w:bodyDiv w:val="1"/>
      <w:marLeft w:val="0"/>
      <w:marRight w:val="0"/>
      <w:marTop w:val="0"/>
      <w:marBottom w:val="0"/>
      <w:divBdr>
        <w:top w:val="none" w:sz="0" w:space="0" w:color="auto"/>
        <w:left w:val="none" w:sz="0" w:space="0" w:color="auto"/>
        <w:bottom w:val="none" w:sz="0" w:space="0" w:color="auto"/>
        <w:right w:val="none" w:sz="0" w:space="0" w:color="auto"/>
      </w:divBdr>
    </w:div>
    <w:div w:id="641037572">
      <w:bodyDiv w:val="1"/>
      <w:marLeft w:val="0"/>
      <w:marRight w:val="0"/>
      <w:marTop w:val="0"/>
      <w:marBottom w:val="0"/>
      <w:divBdr>
        <w:top w:val="none" w:sz="0" w:space="0" w:color="auto"/>
        <w:left w:val="none" w:sz="0" w:space="0" w:color="auto"/>
        <w:bottom w:val="none" w:sz="0" w:space="0" w:color="auto"/>
        <w:right w:val="none" w:sz="0" w:space="0" w:color="auto"/>
      </w:divBdr>
      <w:divsChild>
        <w:div w:id="1770158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7586565">
      <w:bodyDiv w:val="1"/>
      <w:marLeft w:val="0"/>
      <w:marRight w:val="0"/>
      <w:marTop w:val="0"/>
      <w:marBottom w:val="0"/>
      <w:divBdr>
        <w:top w:val="none" w:sz="0" w:space="0" w:color="auto"/>
        <w:left w:val="none" w:sz="0" w:space="0" w:color="auto"/>
        <w:bottom w:val="none" w:sz="0" w:space="0" w:color="auto"/>
        <w:right w:val="none" w:sz="0" w:space="0" w:color="auto"/>
      </w:divBdr>
    </w:div>
    <w:div w:id="657459662">
      <w:bodyDiv w:val="1"/>
      <w:marLeft w:val="0"/>
      <w:marRight w:val="0"/>
      <w:marTop w:val="0"/>
      <w:marBottom w:val="0"/>
      <w:divBdr>
        <w:top w:val="none" w:sz="0" w:space="0" w:color="auto"/>
        <w:left w:val="none" w:sz="0" w:space="0" w:color="auto"/>
        <w:bottom w:val="none" w:sz="0" w:space="0" w:color="auto"/>
        <w:right w:val="none" w:sz="0" w:space="0" w:color="auto"/>
      </w:divBdr>
    </w:div>
    <w:div w:id="676349213">
      <w:bodyDiv w:val="1"/>
      <w:marLeft w:val="0"/>
      <w:marRight w:val="0"/>
      <w:marTop w:val="0"/>
      <w:marBottom w:val="0"/>
      <w:divBdr>
        <w:top w:val="none" w:sz="0" w:space="0" w:color="auto"/>
        <w:left w:val="none" w:sz="0" w:space="0" w:color="auto"/>
        <w:bottom w:val="none" w:sz="0" w:space="0" w:color="auto"/>
        <w:right w:val="none" w:sz="0" w:space="0" w:color="auto"/>
      </w:divBdr>
    </w:div>
    <w:div w:id="676613181">
      <w:bodyDiv w:val="1"/>
      <w:marLeft w:val="0"/>
      <w:marRight w:val="0"/>
      <w:marTop w:val="0"/>
      <w:marBottom w:val="0"/>
      <w:divBdr>
        <w:top w:val="none" w:sz="0" w:space="0" w:color="auto"/>
        <w:left w:val="none" w:sz="0" w:space="0" w:color="auto"/>
        <w:bottom w:val="none" w:sz="0" w:space="0" w:color="auto"/>
        <w:right w:val="none" w:sz="0" w:space="0" w:color="auto"/>
      </w:divBdr>
    </w:div>
    <w:div w:id="680818002">
      <w:bodyDiv w:val="1"/>
      <w:marLeft w:val="0"/>
      <w:marRight w:val="0"/>
      <w:marTop w:val="0"/>
      <w:marBottom w:val="0"/>
      <w:divBdr>
        <w:top w:val="none" w:sz="0" w:space="0" w:color="auto"/>
        <w:left w:val="none" w:sz="0" w:space="0" w:color="auto"/>
        <w:bottom w:val="none" w:sz="0" w:space="0" w:color="auto"/>
        <w:right w:val="none" w:sz="0" w:space="0" w:color="auto"/>
      </w:divBdr>
    </w:div>
    <w:div w:id="688145330">
      <w:bodyDiv w:val="1"/>
      <w:marLeft w:val="0"/>
      <w:marRight w:val="0"/>
      <w:marTop w:val="0"/>
      <w:marBottom w:val="0"/>
      <w:divBdr>
        <w:top w:val="none" w:sz="0" w:space="0" w:color="auto"/>
        <w:left w:val="none" w:sz="0" w:space="0" w:color="auto"/>
        <w:bottom w:val="none" w:sz="0" w:space="0" w:color="auto"/>
        <w:right w:val="none" w:sz="0" w:space="0" w:color="auto"/>
      </w:divBdr>
    </w:div>
    <w:div w:id="690497302">
      <w:bodyDiv w:val="1"/>
      <w:marLeft w:val="0"/>
      <w:marRight w:val="0"/>
      <w:marTop w:val="0"/>
      <w:marBottom w:val="0"/>
      <w:divBdr>
        <w:top w:val="none" w:sz="0" w:space="0" w:color="auto"/>
        <w:left w:val="none" w:sz="0" w:space="0" w:color="auto"/>
        <w:bottom w:val="none" w:sz="0" w:space="0" w:color="auto"/>
        <w:right w:val="none" w:sz="0" w:space="0" w:color="auto"/>
      </w:divBdr>
    </w:div>
    <w:div w:id="705106922">
      <w:bodyDiv w:val="1"/>
      <w:marLeft w:val="0"/>
      <w:marRight w:val="0"/>
      <w:marTop w:val="0"/>
      <w:marBottom w:val="0"/>
      <w:divBdr>
        <w:top w:val="none" w:sz="0" w:space="0" w:color="auto"/>
        <w:left w:val="none" w:sz="0" w:space="0" w:color="auto"/>
        <w:bottom w:val="none" w:sz="0" w:space="0" w:color="auto"/>
        <w:right w:val="none" w:sz="0" w:space="0" w:color="auto"/>
      </w:divBdr>
    </w:div>
    <w:div w:id="712996464">
      <w:bodyDiv w:val="1"/>
      <w:marLeft w:val="0"/>
      <w:marRight w:val="0"/>
      <w:marTop w:val="0"/>
      <w:marBottom w:val="0"/>
      <w:divBdr>
        <w:top w:val="none" w:sz="0" w:space="0" w:color="auto"/>
        <w:left w:val="none" w:sz="0" w:space="0" w:color="auto"/>
        <w:bottom w:val="none" w:sz="0" w:space="0" w:color="auto"/>
        <w:right w:val="none" w:sz="0" w:space="0" w:color="auto"/>
      </w:divBdr>
    </w:div>
    <w:div w:id="728580172">
      <w:bodyDiv w:val="1"/>
      <w:marLeft w:val="0"/>
      <w:marRight w:val="0"/>
      <w:marTop w:val="0"/>
      <w:marBottom w:val="0"/>
      <w:divBdr>
        <w:top w:val="none" w:sz="0" w:space="0" w:color="auto"/>
        <w:left w:val="none" w:sz="0" w:space="0" w:color="auto"/>
        <w:bottom w:val="none" w:sz="0" w:space="0" w:color="auto"/>
        <w:right w:val="none" w:sz="0" w:space="0" w:color="auto"/>
      </w:divBdr>
      <w:divsChild>
        <w:div w:id="1223441980">
          <w:marLeft w:val="0"/>
          <w:marRight w:val="0"/>
          <w:marTop w:val="0"/>
          <w:marBottom w:val="0"/>
          <w:divBdr>
            <w:top w:val="none" w:sz="0" w:space="0" w:color="auto"/>
            <w:left w:val="none" w:sz="0" w:space="0" w:color="auto"/>
            <w:bottom w:val="none" w:sz="0" w:space="0" w:color="auto"/>
            <w:right w:val="none" w:sz="0" w:space="0" w:color="auto"/>
          </w:divBdr>
        </w:div>
      </w:divsChild>
    </w:div>
    <w:div w:id="783886192">
      <w:bodyDiv w:val="1"/>
      <w:marLeft w:val="0"/>
      <w:marRight w:val="0"/>
      <w:marTop w:val="0"/>
      <w:marBottom w:val="0"/>
      <w:divBdr>
        <w:top w:val="none" w:sz="0" w:space="0" w:color="auto"/>
        <w:left w:val="none" w:sz="0" w:space="0" w:color="auto"/>
        <w:bottom w:val="none" w:sz="0" w:space="0" w:color="auto"/>
        <w:right w:val="none" w:sz="0" w:space="0" w:color="auto"/>
      </w:divBdr>
    </w:div>
    <w:div w:id="804662903">
      <w:bodyDiv w:val="1"/>
      <w:marLeft w:val="0"/>
      <w:marRight w:val="0"/>
      <w:marTop w:val="0"/>
      <w:marBottom w:val="0"/>
      <w:divBdr>
        <w:top w:val="none" w:sz="0" w:space="0" w:color="auto"/>
        <w:left w:val="none" w:sz="0" w:space="0" w:color="auto"/>
        <w:bottom w:val="none" w:sz="0" w:space="0" w:color="auto"/>
        <w:right w:val="none" w:sz="0" w:space="0" w:color="auto"/>
      </w:divBdr>
    </w:div>
    <w:div w:id="806704683">
      <w:bodyDiv w:val="1"/>
      <w:marLeft w:val="0"/>
      <w:marRight w:val="0"/>
      <w:marTop w:val="0"/>
      <w:marBottom w:val="0"/>
      <w:divBdr>
        <w:top w:val="none" w:sz="0" w:space="0" w:color="auto"/>
        <w:left w:val="none" w:sz="0" w:space="0" w:color="auto"/>
        <w:bottom w:val="none" w:sz="0" w:space="0" w:color="auto"/>
        <w:right w:val="none" w:sz="0" w:space="0" w:color="auto"/>
      </w:divBdr>
    </w:div>
    <w:div w:id="826750439">
      <w:bodyDiv w:val="1"/>
      <w:marLeft w:val="0"/>
      <w:marRight w:val="0"/>
      <w:marTop w:val="0"/>
      <w:marBottom w:val="0"/>
      <w:divBdr>
        <w:top w:val="none" w:sz="0" w:space="0" w:color="auto"/>
        <w:left w:val="none" w:sz="0" w:space="0" w:color="auto"/>
        <w:bottom w:val="none" w:sz="0" w:space="0" w:color="auto"/>
        <w:right w:val="none" w:sz="0" w:space="0" w:color="auto"/>
      </w:divBdr>
    </w:div>
    <w:div w:id="838934701">
      <w:bodyDiv w:val="1"/>
      <w:marLeft w:val="0"/>
      <w:marRight w:val="0"/>
      <w:marTop w:val="0"/>
      <w:marBottom w:val="0"/>
      <w:divBdr>
        <w:top w:val="none" w:sz="0" w:space="0" w:color="auto"/>
        <w:left w:val="none" w:sz="0" w:space="0" w:color="auto"/>
        <w:bottom w:val="none" w:sz="0" w:space="0" w:color="auto"/>
        <w:right w:val="none" w:sz="0" w:space="0" w:color="auto"/>
      </w:divBdr>
    </w:div>
    <w:div w:id="843937041">
      <w:bodyDiv w:val="1"/>
      <w:marLeft w:val="0"/>
      <w:marRight w:val="0"/>
      <w:marTop w:val="0"/>
      <w:marBottom w:val="0"/>
      <w:divBdr>
        <w:top w:val="none" w:sz="0" w:space="0" w:color="auto"/>
        <w:left w:val="none" w:sz="0" w:space="0" w:color="auto"/>
        <w:bottom w:val="none" w:sz="0" w:space="0" w:color="auto"/>
        <w:right w:val="none" w:sz="0" w:space="0" w:color="auto"/>
      </w:divBdr>
    </w:div>
    <w:div w:id="850068805">
      <w:bodyDiv w:val="1"/>
      <w:marLeft w:val="0"/>
      <w:marRight w:val="0"/>
      <w:marTop w:val="0"/>
      <w:marBottom w:val="0"/>
      <w:divBdr>
        <w:top w:val="none" w:sz="0" w:space="0" w:color="auto"/>
        <w:left w:val="none" w:sz="0" w:space="0" w:color="auto"/>
        <w:bottom w:val="none" w:sz="0" w:space="0" w:color="auto"/>
        <w:right w:val="none" w:sz="0" w:space="0" w:color="auto"/>
      </w:divBdr>
    </w:div>
    <w:div w:id="854271707">
      <w:bodyDiv w:val="1"/>
      <w:marLeft w:val="0"/>
      <w:marRight w:val="0"/>
      <w:marTop w:val="0"/>
      <w:marBottom w:val="0"/>
      <w:divBdr>
        <w:top w:val="none" w:sz="0" w:space="0" w:color="auto"/>
        <w:left w:val="none" w:sz="0" w:space="0" w:color="auto"/>
        <w:bottom w:val="none" w:sz="0" w:space="0" w:color="auto"/>
        <w:right w:val="none" w:sz="0" w:space="0" w:color="auto"/>
      </w:divBdr>
    </w:div>
    <w:div w:id="874461068">
      <w:bodyDiv w:val="1"/>
      <w:marLeft w:val="0"/>
      <w:marRight w:val="0"/>
      <w:marTop w:val="0"/>
      <w:marBottom w:val="0"/>
      <w:divBdr>
        <w:top w:val="none" w:sz="0" w:space="0" w:color="auto"/>
        <w:left w:val="none" w:sz="0" w:space="0" w:color="auto"/>
        <w:bottom w:val="none" w:sz="0" w:space="0" w:color="auto"/>
        <w:right w:val="none" w:sz="0" w:space="0" w:color="auto"/>
      </w:divBdr>
    </w:div>
    <w:div w:id="902064096">
      <w:bodyDiv w:val="1"/>
      <w:marLeft w:val="0"/>
      <w:marRight w:val="0"/>
      <w:marTop w:val="0"/>
      <w:marBottom w:val="0"/>
      <w:divBdr>
        <w:top w:val="none" w:sz="0" w:space="0" w:color="auto"/>
        <w:left w:val="none" w:sz="0" w:space="0" w:color="auto"/>
        <w:bottom w:val="none" w:sz="0" w:space="0" w:color="auto"/>
        <w:right w:val="none" w:sz="0" w:space="0" w:color="auto"/>
      </w:divBdr>
    </w:div>
    <w:div w:id="920256963">
      <w:bodyDiv w:val="1"/>
      <w:marLeft w:val="0"/>
      <w:marRight w:val="0"/>
      <w:marTop w:val="0"/>
      <w:marBottom w:val="0"/>
      <w:divBdr>
        <w:top w:val="none" w:sz="0" w:space="0" w:color="auto"/>
        <w:left w:val="none" w:sz="0" w:space="0" w:color="auto"/>
        <w:bottom w:val="none" w:sz="0" w:space="0" w:color="auto"/>
        <w:right w:val="none" w:sz="0" w:space="0" w:color="auto"/>
      </w:divBdr>
    </w:div>
    <w:div w:id="930357692">
      <w:bodyDiv w:val="1"/>
      <w:marLeft w:val="0"/>
      <w:marRight w:val="0"/>
      <w:marTop w:val="0"/>
      <w:marBottom w:val="0"/>
      <w:divBdr>
        <w:top w:val="none" w:sz="0" w:space="0" w:color="auto"/>
        <w:left w:val="none" w:sz="0" w:space="0" w:color="auto"/>
        <w:bottom w:val="none" w:sz="0" w:space="0" w:color="auto"/>
        <w:right w:val="none" w:sz="0" w:space="0" w:color="auto"/>
      </w:divBdr>
    </w:div>
    <w:div w:id="943805267">
      <w:bodyDiv w:val="1"/>
      <w:marLeft w:val="0"/>
      <w:marRight w:val="0"/>
      <w:marTop w:val="0"/>
      <w:marBottom w:val="0"/>
      <w:divBdr>
        <w:top w:val="none" w:sz="0" w:space="0" w:color="auto"/>
        <w:left w:val="none" w:sz="0" w:space="0" w:color="auto"/>
        <w:bottom w:val="none" w:sz="0" w:space="0" w:color="auto"/>
        <w:right w:val="none" w:sz="0" w:space="0" w:color="auto"/>
      </w:divBdr>
    </w:div>
    <w:div w:id="947155608">
      <w:bodyDiv w:val="1"/>
      <w:marLeft w:val="0"/>
      <w:marRight w:val="0"/>
      <w:marTop w:val="0"/>
      <w:marBottom w:val="0"/>
      <w:divBdr>
        <w:top w:val="none" w:sz="0" w:space="0" w:color="auto"/>
        <w:left w:val="none" w:sz="0" w:space="0" w:color="auto"/>
        <w:bottom w:val="none" w:sz="0" w:space="0" w:color="auto"/>
        <w:right w:val="none" w:sz="0" w:space="0" w:color="auto"/>
      </w:divBdr>
    </w:div>
    <w:div w:id="957563030">
      <w:bodyDiv w:val="1"/>
      <w:marLeft w:val="0"/>
      <w:marRight w:val="0"/>
      <w:marTop w:val="0"/>
      <w:marBottom w:val="0"/>
      <w:divBdr>
        <w:top w:val="none" w:sz="0" w:space="0" w:color="auto"/>
        <w:left w:val="none" w:sz="0" w:space="0" w:color="auto"/>
        <w:bottom w:val="none" w:sz="0" w:space="0" w:color="auto"/>
        <w:right w:val="none" w:sz="0" w:space="0" w:color="auto"/>
      </w:divBdr>
    </w:div>
    <w:div w:id="959727264">
      <w:bodyDiv w:val="1"/>
      <w:marLeft w:val="0"/>
      <w:marRight w:val="0"/>
      <w:marTop w:val="0"/>
      <w:marBottom w:val="0"/>
      <w:divBdr>
        <w:top w:val="none" w:sz="0" w:space="0" w:color="auto"/>
        <w:left w:val="none" w:sz="0" w:space="0" w:color="auto"/>
        <w:bottom w:val="none" w:sz="0" w:space="0" w:color="auto"/>
        <w:right w:val="none" w:sz="0" w:space="0" w:color="auto"/>
      </w:divBdr>
    </w:div>
    <w:div w:id="964310408">
      <w:bodyDiv w:val="1"/>
      <w:marLeft w:val="0"/>
      <w:marRight w:val="0"/>
      <w:marTop w:val="0"/>
      <w:marBottom w:val="0"/>
      <w:divBdr>
        <w:top w:val="none" w:sz="0" w:space="0" w:color="auto"/>
        <w:left w:val="none" w:sz="0" w:space="0" w:color="auto"/>
        <w:bottom w:val="none" w:sz="0" w:space="0" w:color="auto"/>
        <w:right w:val="none" w:sz="0" w:space="0" w:color="auto"/>
      </w:divBdr>
    </w:div>
    <w:div w:id="969747894">
      <w:bodyDiv w:val="1"/>
      <w:marLeft w:val="0"/>
      <w:marRight w:val="0"/>
      <w:marTop w:val="0"/>
      <w:marBottom w:val="0"/>
      <w:divBdr>
        <w:top w:val="none" w:sz="0" w:space="0" w:color="auto"/>
        <w:left w:val="none" w:sz="0" w:space="0" w:color="auto"/>
        <w:bottom w:val="none" w:sz="0" w:space="0" w:color="auto"/>
        <w:right w:val="none" w:sz="0" w:space="0" w:color="auto"/>
      </w:divBdr>
    </w:div>
    <w:div w:id="972052694">
      <w:bodyDiv w:val="1"/>
      <w:marLeft w:val="0"/>
      <w:marRight w:val="0"/>
      <w:marTop w:val="0"/>
      <w:marBottom w:val="0"/>
      <w:divBdr>
        <w:top w:val="none" w:sz="0" w:space="0" w:color="auto"/>
        <w:left w:val="none" w:sz="0" w:space="0" w:color="auto"/>
        <w:bottom w:val="none" w:sz="0" w:space="0" w:color="auto"/>
        <w:right w:val="none" w:sz="0" w:space="0" w:color="auto"/>
      </w:divBdr>
    </w:div>
    <w:div w:id="982276409">
      <w:bodyDiv w:val="1"/>
      <w:marLeft w:val="0"/>
      <w:marRight w:val="0"/>
      <w:marTop w:val="0"/>
      <w:marBottom w:val="0"/>
      <w:divBdr>
        <w:top w:val="none" w:sz="0" w:space="0" w:color="auto"/>
        <w:left w:val="none" w:sz="0" w:space="0" w:color="auto"/>
        <w:bottom w:val="none" w:sz="0" w:space="0" w:color="auto"/>
        <w:right w:val="none" w:sz="0" w:space="0" w:color="auto"/>
      </w:divBdr>
    </w:div>
    <w:div w:id="988486630">
      <w:bodyDiv w:val="1"/>
      <w:marLeft w:val="0"/>
      <w:marRight w:val="0"/>
      <w:marTop w:val="0"/>
      <w:marBottom w:val="0"/>
      <w:divBdr>
        <w:top w:val="none" w:sz="0" w:space="0" w:color="auto"/>
        <w:left w:val="none" w:sz="0" w:space="0" w:color="auto"/>
        <w:bottom w:val="none" w:sz="0" w:space="0" w:color="auto"/>
        <w:right w:val="none" w:sz="0" w:space="0" w:color="auto"/>
      </w:divBdr>
      <w:divsChild>
        <w:div w:id="407776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9865496">
      <w:bodyDiv w:val="1"/>
      <w:marLeft w:val="0"/>
      <w:marRight w:val="0"/>
      <w:marTop w:val="0"/>
      <w:marBottom w:val="0"/>
      <w:divBdr>
        <w:top w:val="none" w:sz="0" w:space="0" w:color="auto"/>
        <w:left w:val="none" w:sz="0" w:space="0" w:color="auto"/>
        <w:bottom w:val="none" w:sz="0" w:space="0" w:color="auto"/>
        <w:right w:val="none" w:sz="0" w:space="0" w:color="auto"/>
      </w:divBdr>
    </w:div>
    <w:div w:id="1014301702">
      <w:bodyDiv w:val="1"/>
      <w:marLeft w:val="0"/>
      <w:marRight w:val="0"/>
      <w:marTop w:val="0"/>
      <w:marBottom w:val="0"/>
      <w:divBdr>
        <w:top w:val="none" w:sz="0" w:space="0" w:color="auto"/>
        <w:left w:val="none" w:sz="0" w:space="0" w:color="auto"/>
        <w:bottom w:val="none" w:sz="0" w:space="0" w:color="auto"/>
        <w:right w:val="none" w:sz="0" w:space="0" w:color="auto"/>
      </w:divBdr>
      <w:divsChild>
        <w:div w:id="1271471215">
          <w:marLeft w:val="0"/>
          <w:marRight w:val="0"/>
          <w:marTop w:val="240"/>
          <w:marBottom w:val="240"/>
          <w:divBdr>
            <w:top w:val="none" w:sz="0" w:space="0" w:color="auto"/>
            <w:left w:val="none" w:sz="0" w:space="0" w:color="auto"/>
            <w:bottom w:val="none" w:sz="0" w:space="0" w:color="auto"/>
            <w:right w:val="none" w:sz="0" w:space="0" w:color="auto"/>
          </w:divBdr>
        </w:div>
      </w:divsChild>
    </w:div>
    <w:div w:id="1021738317">
      <w:bodyDiv w:val="1"/>
      <w:marLeft w:val="0"/>
      <w:marRight w:val="0"/>
      <w:marTop w:val="0"/>
      <w:marBottom w:val="0"/>
      <w:divBdr>
        <w:top w:val="none" w:sz="0" w:space="0" w:color="auto"/>
        <w:left w:val="none" w:sz="0" w:space="0" w:color="auto"/>
        <w:bottom w:val="none" w:sz="0" w:space="0" w:color="auto"/>
        <w:right w:val="none" w:sz="0" w:space="0" w:color="auto"/>
      </w:divBdr>
    </w:div>
    <w:div w:id="1032071747">
      <w:bodyDiv w:val="1"/>
      <w:marLeft w:val="0"/>
      <w:marRight w:val="0"/>
      <w:marTop w:val="0"/>
      <w:marBottom w:val="0"/>
      <w:divBdr>
        <w:top w:val="none" w:sz="0" w:space="0" w:color="auto"/>
        <w:left w:val="none" w:sz="0" w:space="0" w:color="auto"/>
        <w:bottom w:val="none" w:sz="0" w:space="0" w:color="auto"/>
        <w:right w:val="none" w:sz="0" w:space="0" w:color="auto"/>
      </w:divBdr>
    </w:div>
    <w:div w:id="1034958568">
      <w:bodyDiv w:val="1"/>
      <w:marLeft w:val="0"/>
      <w:marRight w:val="0"/>
      <w:marTop w:val="0"/>
      <w:marBottom w:val="0"/>
      <w:divBdr>
        <w:top w:val="none" w:sz="0" w:space="0" w:color="auto"/>
        <w:left w:val="none" w:sz="0" w:space="0" w:color="auto"/>
        <w:bottom w:val="none" w:sz="0" w:space="0" w:color="auto"/>
        <w:right w:val="none" w:sz="0" w:space="0" w:color="auto"/>
      </w:divBdr>
    </w:div>
    <w:div w:id="1047215793">
      <w:bodyDiv w:val="1"/>
      <w:marLeft w:val="0"/>
      <w:marRight w:val="0"/>
      <w:marTop w:val="0"/>
      <w:marBottom w:val="0"/>
      <w:divBdr>
        <w:top w:val="none" w:sz="0" w:space="0" w:color="auto"/>
        <w:left w:val="none" w:sz="0" w:space="0" w:color="auto"/>
        <w:bottom w:val="none" w:sz="0" w:space="0" w:color="auto"/>
        <w:right w:val="none" w:sz="0" w:space="0" w:color="auto"/>
      </w:divBdr>
    </w:div>
    <w:div w:id="1054277975">
      <w:bodyDiv w:val="1"/>
      <w:marLeft w:val="0"/>
      <w:marRight w:val="0"/>
      <w:marTop w:val="0"/>
      <w:marBottom w:val="0"/>
      <w:divBdr>
        <w:top w:val="none" w:sz="0" w:space="0" w:color="auto"/>
        <w:left w:val="none" w:sz="0" w:space="0" w:color="auto"/>
        <w:bottom w:val="none" w:sz="0" w:space="0" w:color="auto"/>
        <w:right w:val="none" w:sz="0" w:space="0" w:color="auto"/>
      </w:divBdr>
    </w:div>
    <w:div w:id="1057823863">
      <w:bodyDiv w:val="1"/>
      <w:marLeft w:val="0"/>
      <w:marRight w:val="0"/>
      <w:marTop w:val="0"/>
      <w:marBottom w:val="0"/>
      <w:divBdr>
        <w:top w:val="none" w:sz="0" w:space="0" w:color="auto"/>
        <w:left w:val="none" w:sz="0" w:space="0" w:color="auto"/>
        <w:bottom w:val="none" w:sz="0" w:space="0" w:color="auto"/>
        <w:right w:val="none" w:sz="0" w:space="0" w:color="auto"/>
      </w:divBdr>
    </w:div>
    <w:div w:id="1057973271">
      <w:bodyDiv w:val="1"/>
      <w:marLeft w:val="0"/>
      <w:marRight w:val="0"/>
      <w:marTop w:val="0"/>
      <w:marBottom w:val="0"/>
      <w:divBdr>
        <w:top w:val="none" w:sz="0" w:space="0" w:color="auto"/>
        <w:left w:val="none" w:sz="0" w:space="0" w:color="auto"/>
        <w:bottom w:val="none" w:sz="0" w:space="0" w:color="auto"/>
        <w:right w:val="none" w:sz="0" w:space="0" w:color="auto"/>
      </w:divBdr>
    </w:div>
    <w:div w:id="1093161225">
      <w:bodyDiv w:val="1"/>
      <w:marLeft w:val="0"/>
      <w:marRight w:val="0"/>
      <w:marTop w:val="0"/>
      <w:marBottom w:val="0"/>
      <w:divBdr>
        <w:top w:val="none" w:sz="0" w:space="0" w:color="auto"/>
        <w:left w:val="none" w:sz="0" w:space="0" w:color="auto"/>
        <w:bottom w:val="none" w:sz="0" w:space="0" w:color="auto"/>
        <w:right w:val="none" w:sz="0" w:space="0" w:color="auto"/>
      </w:divBdr>
    </w:div>
    <w:div w:id="1103652097">
      <w:bodyDiv w:val="1"/>
      <w:marLeft w:val="0"/>
      <w:marRight w:val="0"/>
      <w:marTop w:val="0"/>
      <w:marBottom w:val="0"/>
      <w:divBdr>
        <w:top w:val="none" w:sz="0" w:space="0" w:color="auto"/>
        <w:left w:val="none" w:sz="0" w:space="0" w:color="auto"/>
        <w:bottom w:val="none" w:sz="0" w:space="0" w:color="auto"/>
        <w:right w:val="none" w:sz="0" w:space="0" w:color="auto"/>
      </w:divBdr>
    </w:div>
    <w:div w:id="1113935586">
      <w:bodyDiv w:val="1"/>
      <w:marLeft w:val="0"/>
      <w:marRight w:val="0"/>
      <w:marTop w:val="0"/>
      <w:marBottom w:val="0"/>
      <w:divBdr>
        <w:top w:val="none" w:sz="0" w:space="0" w:color="auto"/>
        <w:left w:val="none" w:sz="0" w:space="0" w:color="auto"/>
        <w:bottom w:val="none" w:sz="0" w:space="0" w:color="auto"/>
        <w:right w:val="none" w:sz="0" w:space="0" w:color="auto"/>
      </w:divBdr>
    </w:div>
    <w:div w:id="1116755923">
      <w:bodyDiv w:val="1"/>
      <w:marLeft w:val="0"/>
      <w:marRight w:val="0"/>
      <w:marTop w:val="0"/>
      <w:marBottom w:val="0"/>
      <w:divBdr>
        <w:top w:val="none" w:sz="0" w:space="0" w:color="auto"/>
        <w:left w:val="none" w:sz="0" w:space="0" w:color="auto"/>
        <w:bottom w:val="none" w:sz="0" w:space="0" w:color="auto"/>
        <w:right w:val="none" w:sz="0" w:space="0" w:color="auto"/>
      </w:divBdr>
    </w:div>
    <w:div w:id="1123882830">
      <w:bodyDiv w:val="1"/>
      <w:marLeft w:val="0"/>
      <w:marRight w:val="0"/>
      <w:marTop w:val="0"/>
      <w:marBottom w:val="0"/>
      <w:divBdr>
        <w:top w:val="none" w:sz="0" w:space="0" w:color="auto"/>
        <w:left w:val="none" w:sz="0" w:space="0" w:color="auto"/>
        <w:bottom w:val="none" w:sz="0" w:space="0" w:color="auto"/>
        <w:right w:val="none" w:sz="0" w:space="0" w:color="auto"/>
      </w:divBdr>
    </w:div>
    <w:div w:id="1128203025">
      <w:bodyDiv w:val="1"/>
      <w:marLeft w:val="0"/>
      <w:marRight w:val="0"/>
      <w:marTop w:val="0"/>
      <w:marBottom w:val="0"/>
      <w:divBdr>
        <w:top w:val="none" w:sz="0" w:space="0" w:color="auto"/>
        <w:left w:val="none" w:sz="0" w:space="0" w:color="auto"/>
        <w:bottom w:val="none" w:sz="0" w:space="0" w:color="auto"/>
        <w:right w:val="none" w:sz="0" w:space="0" w:color="auto"/>
      </w:divBdr>
    </w:div>
    <w:div w:id="1148327680">
      <w:bodyDiv w:val="1"/>
      <w:marLeft w:val="0"/>
      <w:marRight w:val="0"/>
      <w:marTop w:val="0"/>
      <w:marBottom w:val="0"/>
      <w:divBdr>
        <w:top w:val="none" w:sz="0" w:space="0" w:color="auto"/>
        <w:left w:val="none" w:sz="0" w:space="0" w:color="auto"/>
        <w:bottom w:val="none" w:sz="0" w:space="0" w:color="auto"/>
        <w:right w:val="none" w:sz="0" w:space="0" w:color="auto"/>
      </w:divBdr>
    </w:div>
    <w:div w:id="1149442717">
      <w:bodyDiv w:val="1"/>
      <w:marLeft w:val="0"/>
      <w:marRight w:val="0"/>
      <w:marTop w:val="0"/>
      <w:marBottom w:val="0"/>
      <w:divBdr>
        <w:top w:val="none" w:sz="0" w:space="0" w:color="auto"/>
        <w:left w:val="none" w:sz="0" w:space="0" w:color="auto"/>
        <w:bottom w:val="none" w:sz="0" w:space="0" w:color="auto"/>
        <w:right w:val="none" w:sz="0" w:space="0" w:color="auto"/>
      </w:divBdr>
    </w:div>
    <w:div w:id="1149901183">
      <w:bodyDiv w:val="1"/>
      <w:marLeft w:val="0"/>
      <w:marRight w:val="0"/>
      <w:marTop w:val="0"/>
      <w:marBottom w:val="0"/>
      <w:divBdr>
        <w:top w:val="none" w:sz="0" w:space="0" w:color="auto"/>
        <w:left w:val="none" w:sz="0" w:space="0" w:color="auto"/>
        <w:bottom w:val="none" w:sz="0" w:space="0" w:color="auto"/>
        <w:right w:val="none" w:sz="0" w:space="0" w:color="auto"/>
      </w:divBdr>
    </w:div>
    <w:div w:id="1151753507">
      <w:bodyDiv w:val="1"/>
      <w:marLeft w:val="0"/>
      <w:marRight w:val="0"/>
      <w:marTop w:val="0"/>
      <w:marBottom w:val="0"/>
      <w:divBdr>
        <w:top w:val="none" w:sz="0" w:space="0" w:color="auto"/>
        <w:left w:val="none" w:sz="0" w:space="0" w:color="auto"/>
        <w:bottom w:val="none" w:sz="0" w:space="0" w:color="auto"/>
        <w:right w:val="none" w:sz="0" w:space="0" w:color="auto"/>
      </w:divBdr>
    </w:div>
    <w:div w:id="1156648885">
      <w:bodyDiv w:val="1"/>
      <w:marLeft w:val="0"/>
      <w:marRight w:val="0"/>
      <w:marTop w:val="0"/>
      <w:marBottom w:val="0"/>
      <w:divBdr>
        <w:top w:val="none" w:sz="0" w:space="0" w:color="auto"/>
        <w:left w:val="none" w:sz="0" w:space="0" w:color="auto"/>
        <w:bottom w:val="none" w:sz="0" w:space="0" w:color="auto"/>
        <w:right w:val="none" w:sz="0" w:space="0" w:color="auto"/>
      </w:divBdr>
    </w:div>
    <w:div w:id="1180463785">
      <w:bodyDiv w:val="1"/>
      <w:marLeft w:val="0"/>
      <w:marRight w:val="0"/>
      <w:marTop w:val="0"/>
      <w:marBottom w:val="0"/>
      <w:divBdr>
        <w:top w:val="none" w:sz="0" w:space="0" w:color="auto"/>
        <w:left w:val="none" w:sz="0" w:space="0" w:color="auto"/>
        <w:bottom w:val="none" w:sz="0" w:space="0" w:color="auto"/>
        <w:right w:val="none" w:sz="0" w:space="0" w:color="auto"/>
      </w:divBdr>
    </w:div>
    <w:div w:id="1190677648">
      <w:bodyDiv w:val="1"/>
      <w:marLeft w:val="0"/>
      <w:marRight w:val="0"/>
      <w:marTop w:val="0"/>
      <w:marBottom w:val="0"/>
      <w:divBdr>
        <w:top w:val="none" w:sz="0" w:space="0" w:color="auto"/>
        <w:left w:val="none" w:sz="0" w:space="0" w:color="auto"/>
        <w:bottom w:val="none" w:sz="0" w:space="0" w:color="auto"/>
        <w:right w:val="none" w:sz="0" w:space="0" w:color="auto"/>
      </w:divBdr>
    </w:div>
    <w:div w:id="1196625793">
      <w:bodyDiv w:val="1"/>
      <w:marLeft w:val="0"/>
      <w:marRight w:val="0"/>
      <w:marTop w:val="0"/>
      <w:marBottom w:val="0"/>
      <w:divBdr>
        <w:top w:val="none" w:sz="0" w:space="0" w:color="auto"/>
        <w:left w:val="none" w:sz="0" w:space="0" w:color="auto"/>
        <w:bottom w:val="none" w:sz="0" w:space="0" w:color="auto"/>
        <w:right w:val="none" w:sz="0" w:space="0" w:color="auto"/>
      </w:divBdr>
    </w:div>
    <w:div w:id="1210075696">
      <w:bodyDiv w:val="1"/>
      <w:marLeft w:val="0"/>
      <w:marRight w:val="0"/>
      <w:marTop w:val="0"/>
      <w:marBottom w:val="0"/>
      <w:divBdr>
        <w:top w:val="none" w:sz="0" w:space="0" w:color="auto"/>
        <w:left w:val="none" w:sz="0" w:space="0" w:color="auto"/>
        <w:bottom w:val="none" w:sz="0" w:space="0" w:color="auto"/>
        <w:right w:val="none" w:sz="0" w:space="0" w:color="auto"/>
      </w:divBdr>
    </w:div>
    <w:div w:id="1214659306">
      <w:bodyDiv w:val="1"/>
      <w:marLeft w:val="0"/>
      <w:marRight w:val="0"/>
      <w:marTop w:val="0"/>
      <w:marBottom w:val="0"/>
      <w:divBdr>
        <w:top w:val="none" w:sz="0" w:space="0" w:color="auto"/>
        <w:left w:val="none" w:sz="0" w:space="0" w:color="auto"/>
        <w:bottom w:val="none" w:sz="0" w:space="0" w:color="auto"/>
        <w:right w:val="none" w:sz="0" w:space="0" w:color="auto"/>
      </w:divBdr>
    </w:div>
    <w:div w:id="1224290062">
      <w:bodyDiv w:val="1"/>
      <w:marLeft w:val="0"/>
      <w:marRight w:val="0"/>
      <w:marTop w:val="0"/>
      <w:marBottom w:val="0"/>
      <w:divBdr>
        <w:top w:val="none" w:sz="0" w:space="0" w:color="auto"/>
        <w:left w:val="none" w:sz="0" w:space="0" w:color="auto"/>
        <w:bottom w:val="none" w:sz="0" w:space="0" w:color="auto"/>
        <w:right w:val="none" w:sz="0" w:space="0" w:color="auto"/>
      </w:divBdr>
    </w:div>
    <w:div w:id="1225145049">
      <w:bodyDiv w:val="1"/>
      <w:marLeft w:val="0"/>
      <w:marRight w:val="0"/>
      <w:marTop w:val="0"/>
      <w:marBottom w:val="0"/>
      <w:divBdr>
        <w:top w:val="none" w:sz="0" w:space="0" w:color="auto"/>
        <w:left w:val="none" w:sz="0" w:space="0" w:color="auto"/>
        <w:bottom w:val="none" w:sz="0" w:space="0" w:color="auto"/>
        <w:right w:val="none" w:sz="0" w:space="0" w:color="auto"/>
      </w:divBdr>
    </w:div>
    <w:div w:id="1231620787">
      <w:bodyDiv w:val="1"/>
      <w:marLeft w:val="0"/>
      <w:marRight w:val="0"/>
      <w:marTop w:val="0"/>
      <w:marBottom w:val="0"/>
      <w:divBdr>
        <w:top w:val="none" w:sz="0" w:space="0" w:color="auto"/>
        <w:left w:val="none" w:sz="0" w:space="0" w:color="auto"/>
        <w:bottom w:val="none" w:sz="0" w:space="0" w:color="auto"/>
        <w:right w:val="none" w:sz="0" w:space="0" w:color="auto"/>
      </w:divBdr>
    </w:div>
    <w:div w:id="1239289855">
      <w:bodyDiv w:val="1"/>
      <w:marLeft w:val="0"/>
      <w:marRight w:val="0"/>
      <w:marTop w:val="0"/>
      <w:marBottom w:val="0"/>
      <w:divBdr>
        <w:top w:val="none" w:sz="0" w:space="0" w:color="auto"/>
        <w:left w:val="none" w:sz="0" w:space="0" w:color="auto"/>
        <w:bottom w:val="none" w:sz="0" w:space="0" w:color="auto"/>
        <w:right w:val="none" w:sz="0" w:space="0" w:color="auto"/>
      </w:divBdr>
    </w:div>
    <w:div w:id="1248660640">
      <w:bodyDiv w:val="1"/>
      <w:marLeft w:val="0"/>
      <w:marRight w:val="0"/>
      <w:marTop w:val="0"/>
      <w:marBottom w:val="0"/>
      <w:divBdr>
        <w:top w:val="none" w:sz="0" w:space="0" w:color="auto"/>
        <w:left w:val="none" w:sz="0" w:space="0" w:color="auto"/>
        <w:bottom w:val="none" w:sz="0" w:space="0" w:color="auto"/>
        <w:right w:val="none" w:sz="0" w:space="0" w:color="auto"/>
      </w:divBdr>
    </w:div>
    <w:div w:id="1250190811">
      <w:bodyDiv w:val="1"/>
      <w:marLeft w:val="0"/>
      <w:marRight w:val="0"/>
      <w:marTop w:val="0"/>
      <w:marBottom w:val="0"/>
      <w:divBdr>
        <w:top w:val="none" w:sz="0" w:space="0" w:color="auto"/>
        <w:left w:val="none" w:sz="0" w:space="0" w:color="auto"/>
        <w:bottom w:val="none" w:sz="0" w:space="0" w:color="auto"/>
        <w:right w:val="none" w:sz="0" w:space="0" w:color="auto"/>
      </w:divBdr>
    </w:div>
    <w:div w:id="1250240306">
      <w:bodyDiv w:val="1"/>
      <w:marLeft w:val="0"/>
      <w:marRight w:val="0"/>
      <w:marTop w:val="0"/>
      <w:marBottom w:val="0"/>
      <w:divBdr>
        <w:top w:val="none" w:sz="0" w:space="0" w:color="auto"/>
        <w:left w:val="none" w:sz="0" w:space="0" w:color="auto"/>
        <w:bottom w:val="none" w:sz="0" w:space="0" w:color="auto"/>
        <w:right w:val="none" w:sz="0" w:space="0" w:color="auto"/>
      </w:divBdr>
    </w:div>
    <w:div w:id="1262030992">
      <w:bodyDiv w:val="1"/>
      <w:marLeft w:val="0"/>
      <w:marRight w:val="0"/>
      <w:marTop w:val="0"/>
      <w:marBottom w:val="0"/>
      <w:divBdr>
        <w:top w:val="none" w:sz="0" w:space="0" w:color="auto"/>
        <w:left w:val="none" w:sz="0" w:space="0" w:color="auto"/>
        <w:bottom w:val="none" w:sz="0" w:space="0" w:color="auto"/>
        <w:right w:val="none" w:sz="0" w:space="0" w:color="auto"/>
      </w:divBdr>
    </w:div>
    <w:div w:id="1276400814">
      <w:bodyDiv w:val="1"/>
      <w:marLeft w:val="0"/>
      <w:marRight w:val="0"/>
      <w:marTop w:val="0"/>
      <w:marBottom w:val="0"/>
      <w:divBdr>
        <w:top w:val="none" w:sz="0" w:space="0" w:color="auto"/>
        <w:left w:val="none" w:sz="0" w:space="0" w:color="auto"/>
        <w:bottom w:val="none" w:sz="0" w:space="0" w:color="auto"/>
        <w:right w:val="none" w:sz="0" w:space="0" w:color="auto"/>
      </w:divBdr>
    </w:div>
    <w:div w:id="1280911650">
      <w:bodyDiv w:val="1"/>
      <w:marLeft w:val="0"/>
      <w:marRight w:val="0"/>
      <w:marTop w:val="0"/>
      <w:marBottom w:val="0"/>
      <w:divBdr>
        <w:top w:val="none" w:sz="0" w:space="0" w:color="auto"/>
        <w:left w:val="none" w:sz="0" w:space="0" w:color="auto"/>
        <w:bottom w:val="none" w:sz="0" w:space="0" w:color="auto"/>
        <w:right w:val="none" w:sz="0" w:space="0" w:color="auto"/>
      </w:divBdr>
    </w:div>
    <w:div w:id="1286885979">
      <w:bodyDiv w:val="1"/>
      <w:marLeft w:val="0"/>
      <w:marRight w:val="0"/>
      <w:marTop w:val="0"/>
      <w:marBottom w:val="0"/>
      <w:divBdr>
        <w:top w:val="none" w:sz="0" w:space="0" w:color="auto"/>
        <w:left w:val="none" w:sz="0" w:space="0" w:color="auto"/>
        <w:bottom w:val="none" w:sz="0" w:space="0" w:color="auto"/>
        <w:right w:val="none" w:sz="0" w:space="0" w:color="auto"/>
      </w:divBdr>
    </w:div>
    <w:div w:id="1313438472">
      <w:bodyDiv w:val="1"/>
      <w:marLeft w:val="0"/>
      <w:marRight w:val="0"/>
      <w:marTop w:val="0"/>
      <w:marBottom w:val="0"/>
      <w:divBdr>
        <w:top w:val="none" w:sz="0" w:space="0" w:color="auto"/>
        <w:left w:val="none" w:sz="0" w:space="0" w:color="auto"/>
        <w:bottom w:val="none" w:sz="0" w:space="0" w:color="auto"/>
        <w:right w:val="none" w:sz="0" w:space="0" w:color="auto"/>
      </w:divBdr>
    </w:div>
    <w:div w:id="1344358815">
      <w:bodyDiv w:val="1"/>
      <w:marLeft w:val="0"/>
      <w:marRight w:val="0"/>
      <w:marTop w:val="0"/>
      <w:marBottom w:val="0"/>
      <w:divBdr>
        <w:top w:val="none" w:sz="0" w:space="0" w:color="auto"/>
        <w:left w:val="none" w:sz="0" w:space="0" w:color="auto"/>
        <w:bottom w:val="none" w:sz="0" w:space="0" w:color="auto"/>
        <w:right w:val="none" w:sz="0" w:space="0" w:color="auto"/>
      </w:divBdr>
    </w:div>
    <w:div w:id="1352295423">
      <w:bodyDiv w:val="1"/>
      <w:marLeft w:val="0"/>
      <w:marRight w:val="0"/>
      <w:marTop w:val="0"/>
      <w:marBottom w:val="0"/>
      <w:divBdr>
        <w:top w:val="none" w:sz="0" w:space="0" w:color="auto"/>
        <w:left w:val="none" w:sz="0" w:space="0" w:color="auto"/>
        <w:bottom w:val="none" w:sz="0" w:space="0" w:color="auto"/>
        <w:right w:val="none" w:sz="0" w:space="0" w:color="auto"/>
      </w:divBdr>
    </w:div>
    <w:div w:id="1355573394">
      <w:bodyDiv w:val="1"/>
      <w:marLeft w:val="0"/>
      <w:marRight w:val="0"/>
      <w:marTop w:val="0"/>
      <w:marBottom w:val="0"/>
      <w:divBdr>
        <w:top w:val="none" w:sz="0" w:space="0" w:color="auto"/>
        <w:left w:val="none" w:sz="0" w:space="0" w:color="auto"/>
        <w:bottom w:val="none" w:sz="0" w:space="0" w:color="auto"/>
        <w:right w:val="none" w:sz="0" w:space="0" w:color="auto"/>
      </w:divBdr>
    </w:div>
    <w:div w:id="1362126750">
      <w:bodyDiv w:val="1"/>
      <w:marLeft w:val="0"/>
      <w:marRight w:val="0"/>
      <w:marTop w:val="0"/>
      <w:marBottom w:val="0"/>
      <w:divBdr>
        <w:top w:val="none" w:sz="0" w:space="0" w:color="auto"/>
        <w:left w:val="none" w:sz="0" w:space="0" w:color="auto"/>
        <w:bottom w:val="none" w:sz="0" w:space="0" w:color="auto"/>
        <w:right w:val="none" w:sz="0" w:space="0" w:color="auto"/>
      </w:divBdr>
    </w:div>
    <w:div w:id="1395349575">
      <w:bodyDiv w:val="1"/>
      <w:marLeft w:val="0"/>
      <w:marRight w:val="0"/>
      <w:marTop w:val="0"/>
      <w:marBottom w:val="0"/>
      <w:divBdr>
        <w:top w:val="none" w:sz="0" w:space="0" w:color="auto"/>
        <w:left w:val="none" w:sz="0" w:space="0" w:color="auto"/>
        <w:bottom w:val="none" w:sz="0" w:space="0" w:color="auto"/>
        <w:right w:val="none" w:sz="0" w:space="0" w:color="auto"/>
      </w:divBdr>
    </w:div>
    <w:div w:id="1396659943">
      <w:bodyDiv w:val="1"/>
      <w:marLeft w:val="0"/>
      <w:marRight w:val="0"/>
      <w:marTop w:val="0"/>
      <w:marBottom w:val="0"/>
      <w:divBdr>
        <w:top w:val="none" w:sz="0" w:space="0" w:color="auto"/>
        <w:left w:val="none" w:sz="0" w:space="0" w:color="auto"/>
        <w:bottom w:val="none" w:sz="0" w:space="0" w:color="auto"/>
        <w:right w:val="none" w:sz="0" w:space="0" w:color="auto"/>
      </w:divBdr>
    </w:div>
    <w:div w:id="1410620287">
      <w:bodyDiv w:val="1"/>
      <w:marLeft w:val="0"/>
      <w:marRight w:val="0"/>
      <w:marTop w:val="0"/>
      <w:marBottom w:val="0"/>
      <w:divBdr>
        <w:top w:val="none" w:sz="0" w:space="0" w:color="auto"/>
        <w:left w:val="none" w:sz="0" w:space="0" w:color="auto"/>
        <w:bottom w:val="none" w:sz="0" w:space="0" w:color="auto"/>
        <w:right w:val="none" w:sz="0" w:space="0" w:color="auto"/>
      </w:divBdr>
    </w:div>
    <w:div w:id="1415905406">
      <w:bodyDiv w:val="1"/>
      <w:marLeft w:val="0"/>
      <w:marRight w:val="0"/>
      <w:marTop w:val="0"/>
      <w:marBottom w:val="0"/>
      <w:divBdr>
        <w:top w:val="none" w:sz="0" w:space="0" w:color="auto"/>
        <w:left w:val="none" w:sz="0" w:space="0" w:color="auto"/>
        <w:bottom w:val="none" w:sz="0" w:space="0" w:color="auto"/>
        <w:right w:val="none" w:sz="0" w:space="0" w:color="auto"/>
      </w:divBdr>
    </w:div>
    <w:div w:id="1434007715">
      <w:bodyDiv w:val="1"/>
      <w:marLeft w:val="0"/>
      <w:marRight w:val="0"/>
      <w:marTop w:val="0"/>
      <w:marBottom w:val="0"/>
      <w:divBdr>
        <w:top w:val="none" w:sz="0" w:space="0" w:color="auto"/>
        <w:left w:val="none" w:sz="0" w:space="0" w:color="auto"/>
        <w:bottom w:val="none" w:sz="0" w:space="0" w:color="auto"/>
        <w:right w:val="none" w:sz="0" w:space="0" w:color="auto"/>
      </w:divBdr>
      <w:divsChild>
        <w:div w:id="583996627">
          <w:marLeft w:val="0"/>
          <w:marRight w:val="0"/>
          <w:marTop w:val="0"/>
          <w:marBottom w:val="0"/>
          <w:divBdr>
            <w:top w:val="none" w:sz="0" w:space="0" w:color="auto"/>
            <w:left w:val="none" w:sz="0" w:space="0" w:color="auto"/>
            <w:bottom w:val="none" w:sz="0" w:space="0" w:color="auto"/>
            <w:right w:val="none" w:sz="0" w:space="0" w:color="auto"/>
          </w:divBdr>
        </w:div>
        <w:div w:id="678509401">
          <w:marLeft w:val="0"/>
          <w:marRight w:val="0"/>
          <w:marTop w:val="0"/>
          <w:marBottom w:val="0"/>
          <w:divBdr>
            <w:top w:val="none" w:sz="0" w:space="0" w:color="auto"/>
            <w:left w:val="none" w:sz="0" w:space="0" w:color="auto"/>
            <w:bottom w:val="none" w:sz="0" w:space="0" w:color="auto"/>
            <w:right w:val="none" w:sz="0" w:space="0" w:color="auto"/>
          </w:divBdr>
        </w:div>
        <w:div w:id="1064255126">
          <w:marLeft w:val="0"/>
          <w:marRight w:val="0"/>
          <w:marTop w:val="0"/>
          <w:marBottom w:val="0"/>
          <w:divBdr>
            <w:top w:val="none" w:sz="0" w:space="0" w:color="auto"/>
            <w:left w:val="none" w:sz="0" w:space="0" w:color="auto"/>
            <w:bottom w:val="none" w:sz="0" w:space="0" w:color="auto"/>
            <w:right w:val="none" w:sz="0" w:space="0" w:color="auto"/>
          </w:divBdr>
        </w:div>
      </w:divsChild>
    </w:div>
    <w:div w:id="1448237039">
      <w:bodyDiv w:val="1"/>
      <w:marLeft w:val="0"/>
      <w:marRight w:val="0"/>
      <w:marTop w:val="0"/>
      <w:marBottom w:val="0"/>
      <w:divBdr>
        <w:top w:val="none" w:sz="0" w:space="0" w:color="auto"/>
        <w:left w:val="none" w:sz="0" w:space="0" w:color="auto"/>
        <w:bottom w:val="none" w:sz="0" w:space="0" w:color="auto"/>
        <w:right w:val="none" w:sz="0" w:space="0" w:color="auto"/>
      </w:divBdr>
    </w:div>
    <w:div w:id="1451706710">
      <w:bodyDiv w:val="1"/>
      <w:marLeft w:val="0"/>
      <w:marRight w:val="0"/>
      <w:marTop w:val="0"/>
      <w:marBottom w:val="0"/>
      <w:divBdr>
        <w:top w:val="none" w:sz="0" w:space="0" w:color="auto"/>
        <w:left w:val="none" w:sz="0" w:space="0" w:color="auto"/>
        <w:bottom w:val="none" w:sz="0" w:space="0" w:color="auto"/>
        <w:right w:val="none" w:sz="0" w:space="0" w:color="auto"/>
      </w:divBdr>
    </w:div>
    <w:div w:id="1456632140">
      <w:bodyDiv w:val="1"/>
      <w:marLeft w:val="0"/>
      <w:marRight w:val="0"/>
      <w:marTop w:val="0"/>
      <w:marBottom w:val="0"/>
      <w:divBdr>
        <w:top w:val="none" w:sz="0" w:space="0" w:color="auto"/>
        <w:left w:val="none" w:sz="0" w:space="0" w:color="auto"/>
        <w:bottom w:val="none" w:sz="0" w:space="0" w:color="auto"/>
        <w:right w:val="none" w:sz="0" w:space="0" w:color="auto"/>
      </w:divBdr>
    </w:div>
    <w:div w:id="1456826920">
      <w:bodyDiv w:val="1"/>
      <w:marLeft w:val="0"/>
      <w:marRight w:val="0"/>
      <w:marTop w:val="0"/>
      <w:marBottom w:val="0"/>
      <w:divBdr>
        <w:top w:val="none" w:sz="0" w:space="0" w:color="auto"/>
        <w:left w:val="none" w:sz="0" w:space="0" w:color="auto"/>
        <w:bottom w:val="none" w:sz="0" w:space="0" w:color="auto"/>
        <w:right w:val="none" w:sz="0" w:space="0" w:color="auto"/>
      </w:divBdr>
    </w:div>
    <w:div w:id="1457720893">
      <w:bodyDiv w:val="1"/>
      <w:marLeft w:val="0"/>
      <w:marRight w:val="0"/>
      <w:marTop w:val="0"/>
      <w:marBottom w:val="0"/>
      <w:divBdr>
        <w:top w:val="none" w:sz="0" w:space="0" w:color="auto"/>
        <w:left w:val="none" w:sz="0" w:space="0" w:color="auto"/>
        <w:bottom w:val="none" w:sz="0" w:space="0" w:color="auto"/>
        <w:right w:val="none" w:sz="0" w:space="0" w:color="auto"/>
      </w:divBdr>
    </w:div>
    <w:div w:id="1458600658">
      <w:bodyDiv w:val="1"/>
      <w:marLeft w:val="0"/>
      <w:marRight w:val="0"/>
      <w:marTop w:val="0"/>
      <w:marBottom w:val="0"/>
      <w:divBdr>
        <w:top w:val="none" w:sz="0" w:space="0" w:color="auto"/>
        <w:left w:val="none" w:sz="0" w:space="0" w:color="auto"/>
        <w:bottom w:val="none" w:sz="0" w:space="0" w:color="auto"/>
        <w:right w:val="none" w:sz="0" w:space="0" w:color="auto"/>
      </w:divBdr>
    </w:div>
    <w:div w:id="1488596485">
      <w:bodyDiv w:val="1"/>
      <w:marLeft w:val="0"/>
      <w:marRight w:val="0"/>
      <w:marTop w:val="0"/>
      <w:marBottom w:val="0"/>
      <w:divBdr>
        <w:top w:val="none" w:sz="0" w:space="0" w:color="auto"/>
        <w:left w:val="none" w:sz="0" w:space="0" w:color="auto"/>
        <w:bottom w:val="none" w:sz="0" w:space="0" w:color="auto"/>
        <w:right w:val="none" w:sz="0" w:space="0" w:color="auto"/>
      </w:divBdr>
    </w:div>
    <w:div w:id="1491479896">
      <w:bodyDiv w:val="1"/>
      <w:marLeft w:val="0"/>
      <w:marRight w:val="0"/>
      <w:marTop w:val="0"/>
      <w:marBottom w:val="0"/>
      <w:divBdr>
        <w:top w:val="none" w:sz="0" w:space="0" w:color="auto"/>
        <w:left w:val="none" w:sz="0" w:space="0" w:color="auto"/>
        <w:bottom w:val="none" w:sz="0" w:space="0" w:color="auto"/>
        <w:right w:val="none" w:sz="0" w:space="0" w:color="auto"/>
      </w:divBdr>
    </w:div>
    <w:div w:id="1493064841">
      <w:bodyDiv w:val="1"/>
      <w:marLeft w:val="0"/>
      <w:marRight w:val="0"/>
      <w:marTop w:val="0"/>
      <w:marBottom w:val="0"/>
      <w:divBdr>
        <w:top w:val="none" w:sz="0" w:space="0" w:color="auto"/>
        <w:left w:val="none" w:sz="0" w:space="0" w:color="auto"/>
        <w:bottom w:val="none" w:sz="0" w:space="0" w:color="auto"/>
        <w:right w:val="none" w:sz="0" w:space="0" w:color="auto"/>
      </w:divBdr>
    </w:div>
    <w:div w:id="1514103821">
      <w:bodyDiv w:val="1"/>
      <w:marLeft w:val="0"/>
      <w:marRight w:val="0"/>
      <w:marTop w:val="0"/>
      <w:marBottom w:val="0"/>
      <w:divBdr>
        <w:top w:val="none" w:sz="0" w:space="0" w:color="auto"/>
        <w:left w:val="none" w:sz="0" w:space="0" w:color="auto"/>
        <w:bottom w:val="none" w:sz="0" w:space="0" w:color="auto"/>
        <w:right w:val="none" w:sz="0" w:space="0" w:color="auto"/>
      </w:divBdr>
    </w:div>
    <w:div w:id="1514151586">
      <w:bodyDiv w:val="1"/>
      <w:marLeft w:val="0"/>
      <w:marRight w:val="0"/>
      <w:marTop w:val="0"/>
      <w:marBottom w:val="0"/>
      <w:divBdr>
        <w:top w:val="none" w:sz="0" w:space="0" w:color="auto"/>
        <w:left w:val="none" w:sz="0" w:space="0" w:color="auto"/>
        <w:bottom w:val="none" w:sz="0" w:space="0" w:color="auto"/>
        <w:right w:val="none" w:sz="0" w:space="0" w:color="auto"/>
      </w:divBdr>
    </w:div>
    <w:div w:id="1515800788">
      <w:bodyDiv w:val="1"/>
      <w:marLeft w:val="0"/>
      <w:marRight w:val="0"/>
      <w:marTop w:val="0"/>
      <w:marBottom w:val="0"/>
      <w:divBdr>
        <w:top w:val="none" w:sz="0" w:space="0" w:color="auto"/>
        <w:left w:val="none" w:sz="0" w:space="0" w:color="auto"/>
        <w:bottom w:val="none" w:sz="0" w:space="0" w:color="auto"/>
        <w:right w:val="none" w:sz="0" w:space="0" w:color="auto"/>
      </w:divBdr>
    </w:div>
    <w:div w:id="1521894934">
      <w:bodyDiv w:val="1"/>
      <w:marLeft w:val="0"/>
      <w:marRight w:val="0"/>
      <w:marTop w:val="0"/>
      <w:marBottom w:val="0"/>
      <w:divBdr>
        <w:top w:val="none" w:sz="0" w:space="0" w:color="auto"/>
        <w:left w:val="none" w:sz="0" w:space="0" w:color="auto"/>
        <w:bottom w:val="none" w:sz="0" w:space="0" w:color="auto"/>
        <w:right w:val="none" w:sz="0" w:space="0" w:color="auto"/>
      </w:divBdr>
    </w:div>
    <w:div w:id="1551916170">
      <w:bodyDiv w:val="1"/>
      <w:marLeft w:val="0"/>
      <w:marRight w:val="0"/>
      <w:marTop w:val="0"/>
      <w:marBottom w:val="0"/>
      <w:divBdr>
        <w:top w:val="none" w:sz="0" w:space="0" w:color="auto"/>
        <w:left w:val="none" w:sz="0" w:space="0" w:color="auto"/>
        <w:bottom w:val="none" w:sz="0" w:space="0" w:color="auto"/>
        <w:right w:val="none" w:sz="0" w:space="0" w:color="auto"/>
      </w:divBdr>
    </w:div>
    <w:div w:id="1557088804">
      <w:bodyDiv w:val="1"/>
      <w:marLeft w:val="0"/>
      <w:marRight w:val="0"/>
      <w:marTop w:val="0"/>
      <w:marBottom w:val="0"/>
      <w:divBdr>
        <w:top w:val="none" w:sz="0" w:space="0" w:color="auto"/>
        <w:left w:val="none" w:sz="0" w:space="0" w:color="auto"/>
        <w:bottom w:val="none" w:sz="0" w:space="0" w:color="auto"/>
        <w:right w:val="none" w:sz="0" w:space="0" w:color="auto"/>
      </w:divBdr>
    </w:div>
    <w:div w:id="1565293997">
      <w:bodyDiv w:val="1"/>
      <w:marLeft w:val="0"/>
      <w:marRight w:val="0"/>
      <w:marTop w:val="0"/>
      <w:marBottom w:val="0"/>
      <w:divBdr>
        <w:top w:val="none" w:sz="0" w:space="0" w:color="auto"/>
        <w:left w:val="none" w:sz="0" w:space="0" w:color="auto"/>
        <w:bottom w:val="none" w:sz="0" w:space="0" w:color="auto"/>
        <w:right w:val="none" w:sz="0" w:space="0" w:color="auto"/>
      </w:divBdr>
    </w:div>
    <w:div w:id="1574388546">
      <w:bodyDiv w:val="1"/>
      <w:marLeft w:val="0"/>
      <w:marRight w:val="0"/>
      <w:marTop w:val="0"/>
      <w:marBottom w:val="0"/>
      <w:divBdr>
        <w:top w:val="none" w:sz="0" w:space="0" w:color="auto"/>
        <w:left w:val="none" w:sz="0" w:space="0" w:color="auto"/>
        <w:bottom w:val="none" w:sz="0" w:space="0" w:color="auto"/>
        <w:right w:val="none" w:sz="0" w:space="0" w:color="auto"/>
      </w:divBdr>
      <w:divsChild>
        <w:div w:id="1046678454">
          <w:marLeft w:val="0"/>
          <w:marRight w:val="0"/>
          <w:marTop w:val="0"/>
          <w:marBottom w:val="0"/>
          <w:divBdr>
            <w:top w:val="none" w:sz="0" w:space="0" w:color="auto"/>
            <w:left w:val="none" w:sz="0" w:space="0" w:color="auto"/>
            <w:bottom w:val="none" w:sz="0" w:space="0" w:color="auto"/>
            <w:right w:val="none" w:sz="0" w:space="0" w:color="auto"/>
          </w:divBdr>
        </w:div>
      </w:divsChild>
    </w:div>
    <w:div w:id="1586957552">
      <w:bodyDiv w:val="1"/>
      <w:marLeft w:val="0"/>
      <w:marRight w:val="0"/>
      <w:marTop w:val="0"/>
      <w:marBottom w:val="0"/>
      <w:divBdr>
        <w:top w:val="none" w:sz="0" w:space="0" w:color="auto"/>
        <w:left w:val="none" w:sz="0" w:space="0" w:color="auto"/>
        <w:bottom w:val="none" w:sz="0" w:space="0" w:color="auto"/>
        <w:right w:val="none" w:sz="0" w:space="0" w:color="auto"/>
      </w:divBdr>
      <w:divsChild>
        <w:div w:id="1859850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165827">
      <w:bodyDiv w:val="1"/>
      <w:marLeft w:val="0"/>
      <w:marRight w:val="0"/>
      <w:marTop w:val="0"/>
      <w:marBottom w:val="0"/>
      <w:divBdr>
        <w:top w:val="none" w:sz="0" w:space="0" w:color="auto"/>
        <w:left w:val="none" w:sz="0" w:space="0" w:color="auto"/>
        <w:bottom w:val="none" w:sz="0" w:space="0" w:color="auto"/>
        <w:right w:val="none" w:sz="0" w:space="0" w:color="auto"/>
      </w:divBdr>
    </w:div>
    <w:div w:id="1613318754">
      <w:bodyDiv w:val="1"/>
      <w:marLeft w:val="0"/>
      <w:marRight w:val="0"/>
      <w:marTop w:val="0"/>
      <w:marBottom w:val="0"/>
      <w:divBdr>
        <w:top w:val="none" w:sz="0" w:space="0" w:color="auto"/>
        <w:left w:val="none" w:sz="0" w:space="0" w:color="auto"/>
        <w:bottom w:val="none" w:sz="0" w:space="0" w:color="auto"/>
        <w:right w:val="none" w:sz="0" w:space="0" w:color="auto"/>
      </w:divBdr>
    </w:div>
    <w:div w:id="1615553581">
      <w:bodyDiv w:val="1"/>
      <w:marLeft w:val="0"/>
      <w:marRight w:val="0"/>
      <w:marTop w:val="0"/>
      <w:marBottom w:val="0"/>
      <w:divBdr>
        <w:top w:val="none" w:sz="0" w:space="0" w:color="auto"/>
        <w:left w:val="none" w:sz="0" w:space="0" w:color="auto"/>
        <w:bottom w:val="none" w:sz="0" w:space="0" w:color="auto"/>
        <w:right w:val="none" w:sz="0" w:space="0" w:color="auto"/>
      </w:divBdr>
    </w:div>
    <w:div w:id="1617440650">
      <w:bodyDiv w:val="1"/>
      <w:marLeft w:val="0"/>
      <w:marRight w:val="0"/>
      <w:marTop w:val="0"/>
      <w:marBottom w:val="0"/>
      <w:divBdr>
        <w:top w:val="none" w:sz="0" w:space="0" w:color="auto"/>
        <w:left w:val="none" w:sz="0" w:space="0" w:color="auto"/>
        <w:bottom w:val="none" w:sz="0" w:space="0" w:color="auto"/>
        <w:right w:val="none" w:sz="0" w:space="0" w:color="auto"/>
      </w:divBdr>
    </w:div>
    <w:div w:id="1625690613">
      <w:bodyDiv w:val="1"/>
      <w:marLeft w:val="0"/>
      <w:marRight w:val="0"/>
      <w:marTop w:val="0"/>
      <w:marBottom w:val="0"/>
      <w:divBdr>
        <w:top w:val="none" w:sz="0" w:space="0" w:color="auto"/>
        <w:left w:val="none" w:sz="0" w:space="0" w:color="auto"/>
        <w:bottom w:val="none" w:sz="0" w:space="0" w:color="auto"/>
        <w:right w:val="none" w:sz="0" w:space="0" w:color="auto"/>
      </w:divBdr>
    </w:div>
    <w:div w:id="1633248258">
      <w:bodyDiv w:val="1"/>
      <w:marLeft w:val="0"/>
      <w:marRight w:val="0"/>
      <w:marTop w:val="0"/>
      <w:marBottom w:val="0"/>
      <w:divBdr>
        <w:top w:val="none" w:sz="0" w:space="0" w:color="auto"/>
        <w:left w:val="none" w:sz="0" w:space="0" w:color="auto"/>
        <w:bottom w:val="none" w:sz="0" w:space="0" w:color="auto"/>
        <w:right w:val="none" w:sz="0" w:space="0" w:color="auto"/>
      </w:divBdr>
    </w:div>
    <w:div w:id="1660227107">
      <w:bodyDiv w:val="1"/>
      <w:marLeft w:val="0"/>
      <w:marRight w:val="0"/>
      <w:marTop w:val="0"/>
      <w:marBottom w:val="0"/>
      <w:divBdr>
        <w:top w:val="none" w:sz="0" w:space="0" w:color="auto"/>
        <w:left w:val="none" w:sz="0" w:space="0" w:color="auto"/>
        <w:bottom w:val="none" w:sz="0" w:space="0" w:color="auto"/>
        <w:right w:val="none" w:sz="0" w:space="0" w:color="auto"/>
      </w:divBdr>
    </w:div>
    <w:div w:id="1660420607">
      <w:bodyDiv w:val="1"/>
      <w:marLeft w:val="0"/>
      <w:marRight w:val="0"/>
      <w:marTop w:val="0"/>
      <w:marBottom w:val="0"/>
      <w:divBdr>
        <w:top w:val="none" w:sz="0" w:space="0" w:color="auto"/>
        <w:left w:val="none" w:sz="0" w:space="0" w:color="auto"/>
        <w:bottom w:val="none" w:sz="0" w:space="0" w:color="auto"/>
        <w:right w:val="none" w:sz="0" w:space="0" w:color="auto"/>
      </w:divBdr>
    </w:div>
    <w:div w:id="1674333464">
      <w:bodyDiv w:val="1"/>
      <w:marLeft w:val="0"/>
      <w:marRight w:val="0"/>
      <w:marTop w:val="0"/>
      <w:marBottom w:val="0"/>
      <w:divBdr>
        <w:top w:val="none" w:sz="0" w:space="0" w:color="auto"/>
        <w:left w:val="none" w:sz="0" w:space="0" w:color="auto"/>
        <w:bottom w:val="none" w:sz="0" w:space="0" w:color="auto"/>
        <w:right w:val="none" w:sz="0" w:space="0" w:color="auto"/>
      </w:divBdr>
    </w:div>
    <w:div w:id="1697847832">
      <w:bodyDiv w:val="1"/>
      <w:marLeft w:val="0"/>
      <w:marRight w:val="0"/>
      <w:marTop w:val="0"/>
      <w:marBottom w:val="0"/>
      <w:divBdr>
        <w:top w:val="none" w:sz="0" w:space="0" w:color="auto"/>
        <w:left w:val="none" w:sz="0" w:space="0" w:color="auto"/>
        <w:bottom w:val="none" w:sz="0" w:space="0" w:color="auto"/>
        <w:right w:val="none" w:sz="0" w:space="0" w:color="auto"/>
      </w:divBdr>
    </w:div>
    <w:div w:id="1702589100">
      <w:bodyDiv w:val="1"/>
      <w:marLeft w:val="0"/>
      <w:marRight w:val="0"/>
      <w:marTop w:val="0"/>
      <w:marBottom w:val="0"/>
      <w:divBdr>
        <w:top w:val="none" w:sz="0" w:space="0" w:color="auto"/>
        <w:left w:val="none" w:sz="0" w:space="0" w:color="auto"/>
        <w:bottom w:val="none" w:sz="0" w:space="0" w:color="auto"/>
        <w:right w:val="none" w:sz="0" w:space="0" w:color="auto"/>
      </w:divBdr>
    </w:div>
    <w:div w:id="1705784642">
      <w:bodyDiv w:val="1"/>
      <w:marLeft w:val="0"/>
      <w:marRight w:val="0"/>
      <w:marTop w:val="0"/>
      <w:marBottom w:val="0"/>
      <w:divBdr>
        <w:top w:val="none" w:sz="0" w:space="0" w:color="auto"/>
        <w:left w:val="none" w:sz="0" w:space="0" w:color="auto"/>
        <w:bottom w:val="none" w:sz="0" w:space="0" w:color="auto"/>
        <w:right w:val="none" w:sz="0" w:space="0" w:color="auto"/>
      </w:divBdr>
    </w:div>
    <w:div w:id="1705909843">
      <w:bodyDiv w:val="1"/>
      <w:marLeft w:val="0"/>
      <w:marRight w:val="0"/>
      <w:marTop w:val="0"/>
      <w:marBottom w:val="0"/>
      <w:divBdr>
        <w:top w:val="none" w:sz="0" w:space="0" w:color="auto"/>
        <w:left w:val="none" w:sz="0" w:space="0" w:color="auto"/>
        <w:bottom w:val="none" w:sz="0" w:space="0" w:color="auto"/>
        <w:right w:val="none" w:sz="0" w:space="0" w:color="auto"/>
      </w:divBdr>
    </w:div>
    <w:div w:id="1741126349">
      <w:bodyDiv w:val="1"/>
      <w:marLeft w:val="0"/>
      <w:marRight w:val="0"/>
      <w:marTop w:val="0"/>
      <w:marBottom w:val="0"/>
      <w:divBdr>
        <w:top w:val="none" w:sz="0" w:space="0" w:color="auto"/>
        <w:left w:val="none" w:sz="0" w:space="0" w:color="auto"/>
        <w:bottom w:val="none" w:sz="0" w:space="0" w:color="auto"/>
        <w:right w:val="none" w:sz="0" w:space="0" w:color="auto"/>
      </w:divBdr>
    </w:div>
    <w:div w:id="1762795274">
      <w:bodyDiv w:val="1"/>
      <w:marLeft w:val="0"/>
      <w:marRight w:val="0"/>
      <w:marTop w:val="0"/>
      <w:marBottom w:val="0"/>
      <w:divBdr>
        <w:top w:val="none" w:sz="0" w:space="0" w:color="auto"/>
        <w:left w:val="none" w:sz="0" w:space="0" w:color="auto"/>
        <w:bottom w:val="none" w:sz="0" w:space="0" w:color="auto"/>
        <w:right w:val="none" w:sz="0" w:space="0" w:color="auto"/>
      </w:divBdr>
    </w:div>
    <w:div w:id="1775245560">
      <w:bodyDiv w:val="1"/>
      <w:marLeft w:val="0"/>
      <w:marRight w:val="0"/>
      <w:marTop w:val="0"/>
      <w:marBottom w:val="0"/>
      <w:divBdr>
        <w:top w:val="none" w:sz="0" w:space="0" w:color="auto"/>
        <w:left w:val="none" w:sz="0" w:space="0" w:color="auto"/>
        <w:bottom w:val="none" w:sz="0" w:space="0" w:color="auto"/>
        <w:right w:val="none" w:sz="0" w:space="0" w:color="auto"/>
      </w:divBdr>
    </w:div>
    <w:div w:id="1786578489">
      <w:bodyDiv w:val="1"/>
      <w:marLeft w:val="0"/>
      <w:marRight w:val="0"/>
      <w:marTop w:val="0"/>
      <w:marBottom w:val="0"/>
      <w:divBdr>
        <w:top w:val="none" w:sz="0" w:space="0" w:color="auto"/>
        <w:left w:val="none" w:sz="0" w:space="0" w:color="auto"/>
        <w:bottom w:val="none" w:sz="0" w:space="0" w:color="auto"/>
        <w:right w:val="none" w:sz="0" w:space="0" w:color="auto"/>
      </w:divBdr>
    </w:div>
    <w:div w:id="1813718453">
      <w:bodyDiv w:val="1"/>
      <w:marLeft w:val="0"/>
      <w:marRight w:val="0"/>
      <w:marTop w:val="0"/>
      <w:marBottom w:val="0"/>
      <w:divBdr>
        <w:top w:val="none" w:sz="0" w:space="0" w:color="auto"/>
        <w:left w:val="none" w:sz="0" w:space="0" w:color="auto"/>
        <w:bottom w:val="none" w:sz="0" w:space="0" w:color="auto"/>
        <w:right w:val="none" w:sz="0" w:space="0" w:color="auto"/>
      </w:divBdr>
    </w:div>
    <w:div w:id="1817724721">
      <w:bodyDiv w:val="1"/>
      <w:marLeft w:val="0"/>
      <w:marRight w:val="0"/>
      <w:marTop w:val="0"/>
      <w:marBottom w:val="0"/>
      <w:divBdr>
        <w:top w:val="none" w:sz="0" w:space="0" w:color="auto"/>
        <w:left w:val="none" w:sz="0" w:space="0" w:color="auto"/>
        <w:bottom w:val="none" w:sz="0" w:space="0" w:color="auto"/>
        <w:right w:val="none" w:sz="0" w:space="0" w:color="auto"/>
      </w:divBdr>
    </w:div>
    <w:div w:id="1835755767">
      <w:bodyDiv w:val="1"/>
      <w:marLeft w:val="0"/>
      <w:marRight w:val="0"/>
      <w:marTop w:val="0"/>
      <w:marBottom w:val="0"/>
      <w:divBdr>
        <w:top w:val="none" w:sz="0" w:space="0" w:color="auto"/>
        <w:left w:val="none" w:sz="0" w:space="0" w:color="auto"/>
        <w:bottom w:val="none" w:sz="0" w:space="0" w:color="auto"/>
        <w:right w:val="none" w:sz="0" w:space="0" w:color="auto"/>
      </w:divBdr>
    </w:div>
    <w:div w:id="1849442748">
      <w:bodyDiv w:val="1"/>
      <w:marLeft w:val="0"/>
      <w:marRight w:val="0"/>
      <w:marTop w:val="0"/>
      <w:marBottom w:val="0"/>
      <w:divBdr>
        <w:top w:val="none" w:sz="0" w:space="0" w:color="auto"/>
        <w:left w:val="none" w:sz="0" w:space="0" w:color="auto"/>
        <w:bottom w:val="none" w:sz="0" w:space="0" w:color="auto"/>
        <w:right w:val="none" w:sz="0" w:space="0" w:color="auto"/>
      </w:divBdr>
    </w:div>
    <w:div w:id="1891838427">
      <w:bodyDiv w:val="1"/>
      <w:marLeft w:val="0"/>
      <w:marRight w:val="0"/>
      <w:marTop w:val="0"/>
      <w:marBottom w:val="0"/>
      <w:divBdr>
        <w:top w:val="none" w:sz="0" w:space="0" w:color="auto"/>
        <w:left w:val="none" w:sz="0" w:space="0" w:color="auto"/>
        <w:bottom w:val="none" w:sz="0" w:space="0" w:color="auto"/>
        <w:right w:val="none" w:sz="0" w:space="0" w:color="auto"/>
      </w:divBdr>
    </w:div>
    <w:div w:id="1895651090">
      <w:bodyDiv w:val="1"/>
      <w:marLeft w:val="0"/>
      <w:marRight w:val="0"/>
      <w:marTop w:val="0"/>
      <w:marBottom w:val="0"/>
      <w:divBdr>
        <w:top w:val="none" w:sz="0" w:space="0" w:color="auto"/>
        <w:left w:val="none" w:sz="0" w:space="0" w:color="auto"/>
        <w:bottom w:val="none" w:sz="0" w:space="0" w:color="auto"/>
        <w:right w:val="none" w:sz="0" w:space="0" w:color="auto"/>
      </w:divBdr>
    </w:div>
    <w:div w:id="1913735173">
      <w:bodyDiv w:val="1"/>
      <w:marLeft w:val="0"/>
      <w:marRight w:val="0"/>
      <w:marTop w:val="0"/>
      <w:marBottom w:val="0"/>
      <w:divBdr>
        <w:top w:val="none" w:sz="0" w:space="0" w:color="auto"/>
        <w:left w:val="none" w:sz="0" w:space="0" w:color="auto"/>
        <w:bottom w:val="none" w:sz="0" w:space="0" w:color="auto"/>
        <w:right w:val="none" w:sz="0" w:space="0" w:color="auto"/>
      </w:divBdr>
    </w:div>
    <w:div w:id="1913928442">
      <w:bodyDiv w:val="1"/>
      <w:marLeft w:val="0"/>
      <w:marRight w:val="0"/>
      <w:marTop w:val="0"/>
      <w:marBottom w:val="0"/>
      <w:divBdr>
        <w:top w:val="none" w:sz="0" w:space="0" w:color="auto"/>
        <w:left w:val="none" w:sz="0" w:space="0" w:color="auto"/>
        <w:bottom w:val="none" w:sz="0" w:space="0" w:color="auto"/>
        <w:right w:val="none" w:sz="0" w:space="0" w:color="auto"/>
      </w:divBdr>
    </w:div>
    <w:div w:id="1925410035">
      <w:bodyDiv w:val="1"/>
      <w:marLeft w:val="0"/>
      <w:marRight w:val="0"/>
      <w:marTop w:val="0"/>
      <w:marBottom w:val="0"/>
      <w:divBdr>
        <w:top w:val="none" w:sz="0" w:space="0" w:color="auto"/>
        <w:left w:val="none" w:sz="0" w:space="0" w:color="auto"/>
        <w:bottom w:val="none" w:sz="0" w:space="0" w:color="auto"/>
        <w:right w:val="none" w:sz="0" w:space="0" w:color="auto"/>
      </w:divBdr>
    </w:div>
    <w:div w:id="1930850644">
      <w:bodyDiv w:val="1"/>
      <w:marLeft w:val="0"/>
      <w:marRight w:val="0"/>
      <w:marTop w:val="0"/>
      <w:marBottom w:val="0"/>
      <w:divBdr>
        <w:top w:val="none" w:sz="0" w:space="0" w:color="auto"/>
        <w:left w:val="none" w:sz="0" w:space="0" w:color="auto"/>
        <w:bottom w:val="none" w:sz="0" w:space="0" w:color="auto"/>
        <w:right w:val="none" w:sz="0" w:space="0" w:color="auto"/>
      </w:divBdr>
    </w:div>
    <w:div w:id="1937013222">
      <w:bodyDiv w:val="1"/>
      <w:marLeft w:val="0"/>
      <w:marRight w:val="0"/>
      <w:marTop w:val="0"/>
      <w:marBottom w:val="0"/>
      <w:divBdr>
        <w:top w:val="none" w:sz="0" w:space="0" w:color="auto"/>
        <w:left w:val="none" w:sz="0" w:space="0" w:color="auto"/>
        <w:bottom w:val="none" w:sz="0" w:space="0" w:color="auto"/>
        <w:right w:val="none" w:sz="0" w:space="0" w:color="auto"/>
      </w:divBdr>
    </w:div>
    <w:div w:id="1940327331">
      <w:bodyDiv w:val="1"/>
      <w:marLeft w:val="0"/>
      <w:marRight w:val="0"/>
      <w:marTop w:val="0"/>
      <w:marBottom w:val="0"/>
      <w:divBdr>
        <w:top w:val="none" w:sz="0" w:space="0" w:color="auto"/>
        <w:left w:val="none" w:sz="0" w:space="0" w:color="auto"/>
        <w:bottom w:val="none" w:sz="0" w:space="0" w:color="auto"/>
        <w:right w:val="none" w:sz="0" w:space="0" w:color="auto"/>
      </w:divBdr>
      <w:divsChild>
        <w:div w:id="108669454">
          <w:marLeft w:val="0"/>
          <w:marRight w:val="0"/>
          <w:marTop w:val="0"/>
          <w:marBottom w:val="0"/>
          <w:divBdr>
            <w:top w:val="none" w:sz="0" w:space="0" w:color="auto"/>
            <w:left w:val="none" w:sz="0" w:space="0" w:color="auto"/>
            <w:bottom w:val="none" w:sz="0" w:space="0" w:color="auto"/>
            <w:right w:val="none" w:sz="0" w:space="0" w:color="auto"/>
          </w:divBdr>
        </w:div>
      </w:divsChild>
    </w:div>
    <w:div w:id="1948850420">
      <w:bodyDiv w:val="1"/>
      <w:marLeft w:val="0"/>
      <w:marRight w:val="0"/>
      <w:marTop w:val="0"/>
      <w:marBottom w:val="0"/>
      <w:divBdr>
        <w:top w:val="none" w:sz="0" w:space="0" w:color="auto"/>
        <w:left w:val="none" w:sz="0" w:space="0" w:color="auto"/>
        <w:bottom w:val="none" w:sz="0" w:space="0" w:color="auto"/>
        <w:right w:val="none" w:sz="0" w:space="0" w:color="auto"/>
      </w:divBdr>
    </w:div>
    <w:div w:id="1951430929">
      <w:bodyDiv w:val="1"/>
      <w:marLeft w:val="0"/>
      <w:marRight w:val="0"/>
      <w:marTop w:val="0"/>
      <w:marBottom w:val="0"/>
      <w:divBdr>
        <w:top w:val="none" w:sz="0" w:space="0" w:color="auto"/>
        <w:left w:val="none" w:sz="0" w:space="0" w:color="auto"/>
        <w:bottom w:val="none" w:sz="0" w:space="0" w:color="auto"/>
        <w:right w:val="none" w:sz="0" w:space="0" w:color="auto"/>
      </w:divBdr>
    </w:div>
    <w:div w:id="1984433124">
      <w:bodyDiv w:val="1"/>
      <w:marLeft w:val="0"/>
      <w:marRight w:val="0"/>
      <w:marTop w:val="0"/>
      <w:marBottom w:val="0"/>
      <w:divBdr>
        <w:top w:val="none" w:sz="0" w:space="0" w:color="auto"/>
        <w:left w:val="none" w:sz="0" w:space="0" w:color="auto"/>
        <w:bottom w:val="none" w:sz="0" w:space="0" w:color="auto"/>
        <w:right w:val="none" w:sz="0" w:space="0" w:color="auto"/>
      </w:divBdr>
    </w:div>
    <w:div w:id="1985769707">
      <w:bodyDiv w:val="1"/>
      <w:marLeft w:val="0"/>
      <w:marRight w:val="0"/>
      <w:marTop w:val="0"/>
      <w:marBottom w:val="0"/>
      <w:divBdr>
        <w:top w:val="none" w:sz="0" w:space="0" w:color="auto"/>
        <w:left w:val="none" w:sz="0" w:space="0" w:color="auto"/>
        <w:bottom w:val="none" w:sz="0" w:space="0" w:color="auto"/>
        <w:right w:val="none" w:sz="0" w:space="0" w:color="auto"/>
      </w:divBdr>
    </w:div>
    <w:div w:id="2009667885">
      <w:bodyDiv w:val="1"/>
      <w:marLeft w:val="0"/>
      <w:marRight w:val="0"/>
      <w:marTop w:val="0"/>
      <w:marBottom w:val="0"/>
      <w:divBdr>
        <w:top w:val="none" w:sz="0" w:space="0" w:color="auto"/>
        <w:left w:val="none" w:sz="0" w:space="0" w:color="auto"/>
        <w:bottom w:val="none" w:sz="0" w:space="0" w:color="auto"/>
        <w:right w:val="none" w:sz="0" w:space="0" w:color="auto"/>
      </w:divBdr>
    </w:div>
    <w:div w:id="2009864604">
      <w:bodyDiv w:val="1"/>
      <w:marLeft w:val="0"/>
      <w:marRight w:val="0"/>
      <w:marTop w:val="0"/>
      <w:marBottom w:val="0"/>
      <w:divBdr>
        <w:top w:val="none" w:sz="0" w:space="0" w:color="auto"/>
        <w:left w:val="none" w:sz="0" w:space="0" w:color="auto"/>
        <w:bottom w:val="none" w:sz="0" w:space="0" w:color="auto"/>
        <w:right w:val="none" w:sz="0" w:space="0" w:color="auto"/>
      </w:divBdr>
    </w:div>
    <w:div w:id="2011176250">
      <w:bodyDiv w:val="1"/>
      <w:marLeft w:val="0"/>
      <w:marRight w:val="0"/>
      <w:marTop w:val="0"/>
      <w:marBottom w:val="0"/>
      <w:divBdr>
        <w:top w:val="none" w:sz="0" w:space="0" w:color="auto"/>
        <w:left w:val="none" w:sz="0" w:space="0" w:color="auto"/>
        <w:bottom w:val="none" w:sz="0" w:space="0" w:color="auto"/>
        <w:right w:val="none" w:sz="0" w:space="0" w:color="auto"/>
      </w:divBdr>
    </w:div>
    <w:div w:id="2013490281">
      <w:bodyDiv w:val="1"/>
      <w:marLeft w:val="0"/>
      <w:marRight w:val="0"/>
      <w:marTop w:val="0"/>
      <w:marBottom w:val="0"/>
      <w:divBdr>
        <w:top w:val="none" w:sz="0" w:space="0" w:color="auto"/>
        <w:left w:val="none" w:sz="0" w:space="0" w:color="auto"/>
        <w:bottom w:val="none" w:sz="0" w:space="0" w:color="auto"/>
        <w:right w:val="none" w:sz="0" w:space="0" w:color="auto"/>
      </w:divBdr>
    </w:div>
    <w:div w:id="2027094324">
      <w:bodyDiv w:val="1"/>
      <w:marLeft w:val="0"/>
      <w:marRight w:val="0"/>
      <w:marTop w:val="0"/>
      <w:marBottom w:val="0"/>
      <w:divBdr>
        <w:top w:val="none" w:sz="0" w:space="0" w:color="auto"/>
        <w:left w:val="none" w:sz="0" w:space="0" w:color="auto"/>
        <w:bottom w:val="none" w:sz="0" w:space="0" w:color="auto"/>
        <w:right w:val="none" w:sz="0" w:space="0" w:color="auto"/>
      </w:divBdr>
    </w:div>
    <w:div w:id="2056074550">
      <w:bodyDiv w:val="1"/>
      <w:marLeft w:val="0"/>
      <w:marRight w:val="0"/>
      <w:marTop w:val="0"/>
      <w:marBottom w:val="0"/>
      <w:divBdr>
        <w:top w:val="none" w:sz="0" w:space="0" w:color="auto"/>
        <w:left w:val="none" w:sz="0" w:space="0" w:color="auto"/>
        <w:bottom w:val="none" w:sz="0" w:space="0" w:color="auto"/>
        <w:right w:val="none" w:sz="0" w:space="0" w:color="auto"/>
      </w:divBdr>
    </w:div>
    <w:div w:id="2062946415">
      <w:bodyDiv w:val="1"/>
      <w:marLeft w:val="0"/>
      <w:marRight w:val="0"/>
      <w:marTop w:val="0"/>
      <w:marBottom w:val="0"/>
      <w:divBdr>
        <w:top w:val="none" w:sz="0" w:space="0" w:color="auto"/>
        <w:left w:val="none" w:sz="0" w:space="0" w:color="auto"/>
        <w:bottom w:val="none" w:sz="0" w:space="0" w:color="auto"/>
        <w:right w:val="none" w:sz="0" w:space="0" w:color="auto"/>
      </w:divBdr>
    </w:div>
    <w:div w:id="2080706111">
      <w:bodyDiv w:val="1"/>
      <w:marLeft w:val="0"/>
      <w:marRight w:val="0"/>
      <w:marTop w:val="0"/>
      <w:marBottom w:val="0"/>
      <w:divBdr>
        <w:top w:val="none" w:sz="0" w:space="0" w:color="auto"/>
        <w:left w:val="none" w:sz="0" w:space="0" w:color="auto"/>
        <w:bottom w:val="none" w:sz="0" w:space="0" w:color="auto"/>
        <w:right w:val="none" w:sz="0" w:space="0" w:color="auto"/>
      </w:divBdr>
    </w:div>
    <w:div w:id="2084792809">
      <w:bodyDiv w:val="1"/>
      <w:marLeft w:val="0"/>
      <w:marRight w:val="0"/>
      <w:marTop w:val="0"/>
      <w:marBottom w:val="0"/>
      <w:divBdr>
        <w:top w:val="none" w:sz="0" w:space="0" w:color="auto"/>
        <w:left w:val="none" w:sz="0" w:space="0" w:color="auto"/>
        <w:bottom w:val="none" w:sz="0" w:space="0" w:color="auto"/>
        <w:right w:val="none" w:sz="0" w:space="0" w:color="auto"/>
      </w:divBdr>
    </w:div>
    <w:div w:id="2089689574">
      <w:bodyDiv w:val="1"/>
      <w:marLeft w:val="0"/>
      <w:marRight w:val="0"/>
      <w:marTop w:val="0"/>
      <w:marBottom w:val="0"/>
      <w:divBdr>
        <w:top w:val="none" w:sz="0" w:space="0" w:color="auto"/>
        <w:left w:val="none" w:sz="0" w:space="0" w:color="auto"/>
        <w:bottom w:val="none" w:sz="0" w:space="0" w:color="auto"/>
        <w:right w:val="none" w:sz="0" w:space="0" w:color="auto"/>
      </w:divBdr>
    </w:div>
    <w:div w:id="2092896535">
      <w:bodyDiv w:val="1"/>
      <w:marLeft w:val="0"/>
      <w:marRight w:val="0"/>
      <w:marTop w:val="0"/>
      <w:marBottom w:val="0"/>
      <w:divBdr>
        <w:top w:val="none" w:sz="0" w:space="0" w:color="auto"/>
        <w:left w:val="none" w:sz="0" w:space="0" w:color="auto"/>
        <w:bottom w:val="none" w:sz="0" w:space="0" w:color="auto"/>
        <w:right w:val="none" w:sz="0" w:space="0" w:color="auto"/>
      </w:divBdr>
    </w:div>
    <w:div w:id="2099018972">
      <w:bodyDiv w:val="1"/>
      <w:marLeft w:val="0"/>
      <w:marRight w:val="0"/>
      <w:marTop w:val="0"/>
      <w:marBottom w:val="0"/>
      <w:divBdr>
        <w:top w:val="none" w:sz="0" w:space="0" w:color="auto"/>
        <w:left w:val="none" w:sz="0" w:space="0" w:color="auto"/>
        <w:bottom w:val="none" w:sz="0" w:space="0" w:color="auto"/>
        <w:right w:val="none" w:sz="0" w:space="0" w:color="auto"/>
      </w:divBdr>
    </w:div>
    <w:div w:id="2121023804">
      <w:bodyDiv w:val="1"/>
      <w:marLeft w:val="0"/>
      <w:marRight w:val="0"/>
      <w:marTop w:val="0"/>
      <w:marBottom w:val="0"/>
      <w:divBdr>
        <w:top w:val="none" w:sz="0" w:space="0" w:color="auto"/>
        <w:left w:val="none" w:sz="0" w:space="0" w:color="auto"/>
        <w:bottom w:val="none" w:sz="0" w:space="0" w:color="auto"/>
        <w:right w:val="none" w:sz="0" w:space="0" w:color="auto"/>
      </w:divBdr>
    </w:div>
    <w:div w:id="2125996075">
      <w:bodyDiv w:val="1"/>
      <w:marLeft w:val="0"/>
      <w:marRight w:val="0"/>
      <w:marTop w:val="0"/>
      <w:marBottom w:val="0"/>
      <w:divBdr>
        <w:top w:val="none" w:sz="0" w:space="0" w:color="auto"/>
        <w:left w:val="none" w:sz="0" w:space="0" w:color="auto"/>
        <w:bottom w:val="none" w:sz="0" w:space="0" w:color="auto"/>
        <w:right w:val="none" w:sz="0" w:space="0" w:color="auto"/>
      </w:divBdr>
    </w:div>
    <w:div w:id="2130271963">
      <w:bodyDiv w:val="1"/>
      <w:marLeft w:val="0"/>
      <w:marRight w:val="0"/>
      <w:marTop w:val="0"/>
      <w:marBottom w:val="0"/>
      <w:divBdr>
        <w:top w:val="none" w:sz="0" w:space="0" w:color="auto"/>
        <w:left w:val="none" w:sz="0" w:space="0" w:color="auto"/>
        <w:bottom w:val="none" w:sz="0" w:space="0" w:color="auto"/>
        <w:right w:val="none" w:sz="0" w:space="0" w:color="auto"/>
      </w:divBdr>
    </w:div>
    <w:div w:id="2134134263">
      <w:bodyDiv w:val="1"/>
      <w:marLeft w:val="0"/>
      <w:marRight w:val="0"/>
      <w:marTop w:val="0"/>
      <w:marBottom w:val="0"/>
      <w:divBdr>
        <w:top w:val="none" w:sz="0" w:space="0" w:color="auto"/>
        <w:left w:val="none" w:sz="0" w:space="0" w:color="auto"/>
        <w:bottom w:val="none" w:sz="0" w:space="0" w:color="auto"/>
        <w:right w:val="none" w:sz="0" w:space="0" w:color="auto"/>
      </w:divBdr>
    </w:div>
    <w:div w:id="214665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s>
</file>

<file path=word/_rels/footnotes.xml.rels><?xml version="1.0" encoding="UTF-8" standalone="yes"?>
<Relationships xmlns="http://schemas.openxmlformats.org/package/2006/relationships"><Relationship Id="rId8" Type="http://schemas.openxmlformats.org/officeDocument/2006/relationships/hyperlink" Target="https://iep.unibocconi.eu/publications/policy-briefs/policy-brief-n25-cost-failure-and-competitiveness-disruptive-innovation" TargetMode="External"/><Relationship Id="rId13" Type="http://schemas.openxmlformats.org/officeDocument/2006/relationships/hyperlink" Target="https://www.pwc.de/en/private-equity/private-equity-trend-report.html" TargetMode="External"/><Relationship Id="rId18" Type="http://schemas.openxmlformats.org/officeDocument/2006/relationships/hyperlink" Target="https://corpfiles.delaware.gov/AugustFee2024.pdf" TargetMode="External"/><Relationship Id="rId3" Type="http://schemas.openxmlformats.org/officeDocument/2006/relationships/hyperlink" Target="https://ec.europa.eu/transparency/documents-register/detail?ref=SWD(2023)79&amp;lang=en" TargetMode="External"/><Relationship Id="rId21" Type="http://schemas.openxmlformats.org/officeDocument/2006/relationships/hyperlink" Target="https://eur-lex.europa.eu/legal-content/EN/TXT/?uri=CELEX%3A32024L1640&amp;qid=1768401986009" TargetMode="External"/><Relationship Id="rId7" Type="http://schemas.openxmlformats.org/officeDocument/2006/relationships/hyperlink" Target="https://explodingtopics.com/blog/startup-failure-stats" TargetMode="External"/><Relationship Id="rId12" Type="http://schemas.openxmlformats.org/officeDocument/2006/relationships/hyperlink" Target="https://kelso-institute-europe.de/wp-content/uploads/2024/05/PEPPER-V-Report-Web-21-IV-2024.pdf" TargetMode="External"/><Relationship Id="rId17" Type="http://schemas.openxmlformats.org/officeDocument/2006/relationships/hyperlink" Target="https://corpfiles.delaware.gov/Cover_Memo/updatedcertmemoandinstructionsSept24.pdf" TargetMode="External"/><Relationship Id="rId2" Type="http://schemas.openxmlformats.org/officeDocument/2006/relationships/hyperlink" Target="https://ec.europa.eu/transparency/documents-register/detail?ref=SWD(2023)79&amp;lang=en" TargetMode="External"/><Relationship Id="rId16" Type="http://schemas.openxmlformats.org/officeDocument/2006/relationships/hyperlink" Target="https://ec.europa.eu/transparency/documents-register/detail?ref=SWD(2023)79&amp;lang=en" TargetMode="External"/><Relationship Id="rId20" Type="http://schemas.openxmlformats.org/officeDocument/2006/relationships/hyperlink" Target="https://digital-strategy.ec.europa.eu/en/library/state-digital-decade-2025-report" TargetMode="External"/><Relationship Id="rId1" Type="http://schemas.openxmlformats.org/officeDocument/2006/relationships/hyperlink" Target="https://eur-lex.europa.eu/eli/dir/2019/2121/oj/eng" TargetMode="External"/><Relationship Id="rId6" Type="http://schemas.openxmlformats.org/officeDocument/2006/relationships/hyperlink" Target="https://ec.europa.eu/eurostat/web/products-eurostat-news/w/ddn-20251013-1" TargetMode="External"/><Relationship Id="rId11" Type="http://schemas.openxmlformats.org/officeDocument/2006/relationships/hyperlink" Target="https://defipp.unamur.be/wp/defipp_wp_2023_2.pdf" TargetMode="External"/><Relationship Id="rId5" Type="http://schemas.openxmlformats.org/officeDocument/2006/relationships/hyperlink" Target="https://digital-strategy.ec.europa.eu/en/library/state-digital-decade-2025-factsheet" TargetMode="External"/><Relationship Id="rId15" Type="http://schemas.openxmlformats.org/officeDocument/2006/relationships/hyperlink" Target="https://proposal.eu-inc.org/Supporting-Appendices-14d076fd79c581259174cd6d5cd5bb3e?p=14f076fd79c5801082e5f1d1be0250a0&amp;pm=c" TargetMode="External"/><Relationship Id="rId10" Type="http://schemas.openxmlformats.org/officeDocument/2006/relationships/hyperlink" Target="https://eur-lex.europa.eu/legal-content/EN/TXT/?uri=CELEX:52022SC0395" TargetMode="External"/><Relationship Id="rId19" Type="http://schemas.openxmlformats.org/officeDocument/2006/relationships/hyperlink" Target="https://taxation-customs.ec.europa.eu/document/download/c24ef108-3dce-4169-84e3-0d024f419efd_en?filename=COM_2025_695_1_EN_ACT_part1_v3.pdf" TargetMode="External"/><Relationship Id="rId4" Type="http://schemas.openxmlformats.org/officeDocument/2006/relationships/hyperlink" Target="https://eur-lex.europa.eu/eli/dir/2025/25/oj/eng" TargetMode="External"/><Relationship Id="rId9" Type="http://schemas.openxmlformats.org/officeDocument/2006/relationships/hyperlink" Target="https://www.esnalliance.eu/multimedia/esna/building-a-competitive-europe-vol.-ii-investment.pdf" TargetMode="External"/><Relationship Id="rId14" Type="http://schemas.openxmlformats.org/officeDocument/2006/relationships/hyperlink" Target="https://www.prh.fi/en/index.html" TargetMode="External"/><Relationship Id="rId22" Type="http://schemas.openxmlformats.org/officeDocument/2006/relationships/hyperlink" Target="https://eur-lex.europa.eu/legal-content/EN/TXT/?uri=celex:52022PC0702"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NUMBER xmlns="e0757b53-df10-4b98-9811-094c4c3e23a8">
      <Url xsi:nil="true"/>
      <Description xsi:nil="true"/>
    </EC_ARES_NUMBER>
    <EC_ARES_TRANSFERRED_BY xmlns="e0757b53-df10-4b98-9811-094c4c3e23a8" xsi:nil="true"/>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4A018-BC9E-4C82-A479-22320938D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9FF6DD-2419-4D64-A1D5-A4BEA64976BF}">
  <ds:schemaRefs>
    <ds:schemaRef ds:uri="http://schemas.microsoft.com/sharepoint/v3/contenttype/forms"/>
  </ds:schemaRefs>
</ds:datastoreItem>
</file>

<file path=customXml/itemProps3.xml><?xml version="1.0" encoding="utf-8"?>
<ds:datastoreItem xmlns:ds="http://schemas.openxmlformats.org/officeDocument/2006/customXml" ds:itemID="{1FD4563D-3067-4D83-A224-5D311E8A58E3}">
  <ds:schemaRefs>
    <ds:schemaRef ds:uri="541a8a8b-b856-4d35-a5c7-7f2c0ec3d499"/>
    <ds:schemaRef ds:uri="http://purl.org/dc/dcmitype/"/>
    <ds:schemaRef ds:uri="http://purl.org/dc/elements/1.1/"/>
    <ds:schemaRef ds:uri="http://www.w3.org/XML/1998/namespace"/>
    <ds:schemaRef ds:uri="http://schemas.microsoft.com/office/2006/documentManagement/types"/>
    <ds:schemaRef ds:uri="http://purl.org/dc/terms/"/>
    <ds:schemaRef ds:uri="http://schemas.microsoft.com/office/2006/metadata/properties"/>
    <ds:schemaRef ds:uri="e0757b53-df10-4b98-9811-094c4c3e23a8"/>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68F6930E-1FE6-4D04-998F-5928989C6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34909</Words>
  <Characters>198984</Characters>
  <Application>Microsoft Office Word</Application>
  <DocSecurity>0</DocSecurity>
  <Lines>1658</Lines>
  <Paragraphs>466</Paragraphs>
  <ScaleCrop>false</ScaleCrop>
  <Manager/>
  <Company/>
  <LinksUpToDate>false</LinksUpToDate>
  <CharactersWithSpaces>233427</CharactersWithSpaces>
  <SharedDoc>false</SharedDoc>
  <HLinks>
    <vt:vector size="132" baseType="variant">
      <vt:variant>
        <vt:i4>1310737</vt:i4>
      </vt:variant>
      <vt:variant>
        <vt:i4>63</vt:i4>
      </vt:variant>
      <vt:variant>
        <vt:i4>0</vt:i4>
      </vt:variant>
      <vt:variant>
        <vt:i4>5</vt:i4>
      </vt:variant>
      <vt:variant>
        <vt:lpwstr>https://eur-lex.europa.eu/legal-content/EN/TXT/?uri=celex:52022PC0702</vt:lpwstr>
      </vt:variant>
      <vt:variant>
        <vt:lpwstr/>
      </vt:variant>
      <vt:variant>
        <vt:i4>5636097</vt:i4>
      </vt:variant>
      <vt:variant>
        <vt:i4>60</vt:i4>
      </vt:variant>
      <vt:variant>
        <vt:i4>0</vt:i4>
      </vt:variant>
      <vt:variant>
        <vt:i4>5</vt:i4>
      </vt:variant>
      <vt:variant>
        <vt:lpwstr>https://eur-lex.europa.eu/legal-content/EN/TXT/?uri=CELEX%3A32024L1640&amp;qid=1768401986009</vt:lpwstr>
      </vt:variant>
      <vt:variant>
        <vt:lpwstr/>
      </vt:variant>
      <vt:variant>
        <vt:i4>65555</vt:i4>
      </vt:variant>
      <vt:variant>
        <vt:i4>57</vt:i4>
      </vt:variant>
      <vt:variant>
        <vt:i4>0</vt:i4>
      </vt:variant>
      <vt:variant>
        <vt:i4>5</vt:i4>
      </vt:variant>
      <vt:variant>
        <vt:lpwstr>https://digital-strategy.ec.europa.eu/en/library/state-digital-decade-2025-report</vt:lpwstr>
      </vt:variant>
      <vt:variant>
        <vt:lpwstr/>
      </vt:variant>
      <vt:variant>
        <vt:i4>5177361</vt:i4>
      </vt:variant>
      <vt:variant>
        <vt:i4>54</vt:i4>
      </vt:variant>
      <vt:variant>
        <vt:i4>0</vt:i4>
      </vt:variant>
      <vt:variant>
        <vt:i4>5</vt:i4>
      </vt:variant>
      <vt:variant>
        <vt:lpwstr>https://taxation-customs.ec.europa.eu/document/download/c24ef108-3dce-4169-84e3-0d024f419efd_en?filename=COM_2025_695_1_EN_ACT_part1_v3.pdf</vt:lpwstr>
      </vt:variant>
      <vt:variant>
        <vt:lpwstr/>
      </vt:variant>
      <vt:variant>
        <vt:i4>5832720</vt:i4>
      </vt:variant>
      <vt:variant>
        <vt:i4>51</vt:i4>
      </vt:variant>
      <vt:variant>
        <vt:i4>0</vt:i4>
      </vt:variant>
      <vt:variant>
        <vt:i4>5</vt:i4>
      </vt:variant>
      <vt:variant>
        <vt:lpwstr>https://corpfiles.delaware.gov/AugustFee2024.pdf</vt:lpwstr>
      </vt:variant>
      <vt:variant>
        <vt:lpwstr/>
      </vt:variant>
      <vt:variant>
        <vt:i4>2162711</vt:i4>
      </vt:variant>
      <vt:variant>
        <vt:i4>48</vt:i4>
      </vt:variant>
      <vt:variant>
        <vt:i4>0</vt:i4>
      </vt:variant>
      <vt:variant>
        <vt:i4>5</vt:i4>
      </vt:variant>
      <vt:variant>
        <vt:lpwstr>https://corpfiles.delaware.gov/Cover_Memo/updatedcertmemoandinstructionsSept24.pdf</vt:lpwstr>
      </vt:variant>
      <vt:variant>
        <vt:lpwstr/>
      </vt:variant>
      <vt:variant>
        <vt:i4>8126508</vt:i4>
      </vt:variant>
      <vt:variant>
        <vt:i4>45</vt:i4>
      </vt:variant>
      <vt:variant>
        <vt:i4>0</vt:i4>
      </vt:variant>
      <vt:variant>
        <vt:i4>5</vt:i4>
      </vt:variant>
      <vt:variant>
        <vt:lpwstr>https://ec.europa.eu/transparency/documents-register/detail?ref=SWD(2023)79&amp;lang=en</vt:lpwstr>
      </vt:variant>
      <vt:variant>
        <vt:lpwstr/>
      </vt:variant>
      <vt:variant>
        <vt:i4>3014774</vt:i4>
      </vt:variant>
      <vt:variant>
        <vt:i4>42</vt:i4>
      </vt:variant>
      <vt:variant>
        <vt:i4>0</vt:i4>
      </vt:variant>
      <vt:variant>
        <vt:i4>5</vt:i4>
      </vt:variant>
      <vt:variant>
        <vt:lpwstr>https://proposal.eu-inc.org/Supporting-Appendices-14d076fd79c581259174cd6d5cd5bb3e?p=14f076fd79c5801082e5f1d1be0250a0&amp;pm=c</vt:lpwstr>
      </vt:variant>
      <vt:variant>
        <vt:lpwstr/>
      </vt:variant>
      <vt:variant>
        <vt:i4>655375</vt:i4>
      </vt:variant>
      <vt:variant>
        <vt:i4>39</vt:i4>
      </vt:variant>
      <vt:variant>
        <vt:i4>0</vt:i4>
      </vt:variant>
      <vt:variant>
        <vt:i4>5</vt:i4>
      </vt:variant>
      <vt:variant>
        <vt:lpwstr>https://www.prh.fi/en/index.html</vt:lpwstr>
      </vt:variant>
      <vt:variant>
        <vt:lpwstr/>
      </vt:variant>
      <vt:variant>
        <vt:i4>1835075</vt:i4>
      </vt:variant>
      <vt:variant>
        <vt:i4>36</vt:i4>
      </vt:variant>
      <vt:variant>
        <vt:i4>0</vt:i4>
      </vt:variant>
      <vt:variant>
        <vt:i4>5</vt:i4>
      </vt:variant>
      <vt:variant>
        <vt:lpwstr>https://www.pwc.de/en/private-equity/private-equity-trend-report.html</vt:lpwstr>
      </vt:variant>
      <vt:variant>
        <vt:lpwstr/>
      </vt:variant>
      <vt:variant>
        <vt:i4>7929901</vt:i4>
      </vt:variant>
      <vt:variant>
        <vt:i4>33</vt:i4>
      </vt:variant>
      <vt:variant>
        <vt:i4>0</vt:i4>
      </vt:variant>
      <vt:variant>
        <vt:i4>5</vt:i4>
      </vt:variant>
      <vt:variant>
        <vt:lpwstr>https://kelso-institute-europe.de/wp-content/uploads/2024/05/PEPPER-V-Report-Web-21-IV-2024.pdf</vt:lpwstr>
      </vt:variant>
      <vt:variant>
        <vt:lpwstr/>
      </vt:variant>
      <vt:variant>
        <vt:i4>7077912</vt:i4>
      </vt:variant>
      <vt:variant>
        <vt:i4>30</vt:i4>
      </vt:variant>
      <vt:variant>
        <vt:i4>0</vt:i4>
      </vt:variant>
      <vt:variant>
        <vt:i4>5</vt:i4>
      </vt:variant>
      <vt:variant>
        <vt:lpwstr>https://defipp.unamur.be/wp/defipp_wp_2023_2.pdf</vt:lpwstr>
      </vt:variant>
      <vt:variant>
        <vt:lpwstr/>
      </vt:variant>
      <vt:variant>
        <vt:i4>1966101</vt:i4>
      </vt:variant>
      <vt:variant>
        <vt:i4>27</vt:i4>
      </vt:variant>
      <vt:variant>
        <vt:i4>0</vt:i4>
      </vt:variant>
      <vt:variant>
        <vt:i4>5</vt:i4>
      </vt:variant>
      <vt:variant>
        <vt:lpwstr>https://eur-lex.europa.eu/legal-content/EN/TXT/?uri=CELEX:52022SC0395</vt:lpwstr>
      </vt:variant>
      <vt:variant>
        <vt:lpwstr/>
      </vt:variant>
      <vt:variant>
        <vt:i4>7798891</vt:i4>
      </vt:variant>
      <vt:variant>
        <vt:i4>24</vt:i4>
      </vt:variant>
      <vt:variant>
        <vt:i4>0</vt:i4>
      </vt:variant>
      <vt:variant>
        <vt:i4>5</vt:i4>
      </vt:variant>
      <vt:variant>
        <vt:lpwstr>https://www.esnalliance.eu/multimedia/esna/building-a-competitive-europe-vol.-ii-investment.pdf</vt:lpwstr>
      </vt:variant>
      <vt:variant>
        <vt:lpwstr/>
      </vt:variant>
      <vt:variant>
        <vt:i4>1638466</vt:i4>
      </vt:variant>
      <vt:variant>
        <vt:i4>21</vt:i4>
      </vt:variant>
      <vt:variant>
        <vt:i4>0</vt:i4>
      </vt:variant>
      <vt:variant>
        <vt:i4>5</vt:i4>
      </vt:variant>
      <vt:variant>
        <vt:lpwstr>https://iep.unibocconi.eu/publications/policy-briefs/policy-brief-n25-cost-failure-and-competitiveness-disruptive-innovation</vt:lpwstr>
      </vt:variant>
      <vt:variant>
        <vt:lpwstr/>
      </vt:variant>
      <vt:variant>
        <vt:i4>6619233</vt:i4>
      </vt:variant>
      <vt:variant>
        <vt:i4>18</vt:i4>
      </vt:variant>
      <vt:variant>
        <vt:i4>0</vt:i4>
      </vt:variant>
      <vt:variant>
        <vt:i4>5</vt:i4>
      </vt:variant>
      <vt:variant>
        <vt:lpwstr>https://explodingtopics.com/blog/startup-failure-stats</vt:lpwstr>
      </vt:variant>
      <vt:variant>
        <vt:lpwstr/>
      </vt:variant>
      <vt:variant>
        <vt:i4>4587594</vt:i4>
      </vt:variant>
      <vt:variant>
        <vt:i4>15</vt:i4>
      </vt:variant>
      <vt:variant>
        <vt:i4>0</vt:i4>
      </vt:variant>
      <vt:variant>
        <vt:i4>5</vt:i4>
      </vt:variant>
      <vt:variant>
        <vt:lpwstr>https://ec.europa.eu/eurostat/web/products-eurostat-news/w/ddn-20251013-1</vt:lpwstr>
      </vt:variant>
      <vt:variant>
        <vt:lpwstr/>
      </vt:variant>
      <vt:variant>
        <vt:i4>1441793</vt:i4>
      </vt:variant>
      <vt:variant>
        <vt:i4>12</vt:i4>
      </vt:variant>
      <vt:variant>
        <vt:i4>0</vt:i4>
      </vt:variant>
      <vt:variant>
        <vt:i4>5</vt:i4>
      </vt:variant>
      <vt:variant>
        <vt:lpwstr>https://digital-strategy.ec.europa.eu/en/library/state-digital-decade-2025-factsheet</vt:lpwstr>
      </vt:variant>
      <vt:variant>
        <vt:lpwstr/>
      </vt:variant>
      <vt:variant>
        <vt:i4>4587601</vt:i4>
      </vt:variant>
      <vt:variant>
        <vt:i4>9</vt:i4>
      </vt:variant>
      <vt:variant>
        <vt:i4>0</vt:i4>
      </vt:variant>
      <vt:variant>
        <vt:i4>5</vt:i4>
      </vt:variant>
      <vt:variant>
        <vt:lpwstr>https://eur-lex.europa.eu/eli/dir/2025/25/oj/eng</vt:lpwstr>
      </vt:variant>
      <vt:variant>
        <vt:lpwstr/>
      </vt:variant>
      <vt:variant>
        <vt:i4>8126508</vt:i4>
      </vt:variant>
      <vt:variant>
        <vt:i4>6</vt:i4>
      </vt:variant>
      <vt:variant>
        <vt:i4>0</vt:i4>
      </vt:variant>
      <vt:variant>
        <vt:i4>5</vt:i4>
      </vt:variant>
      <vt:variant>
        <vt:lpwstr>https://ec.europa.eu/transparency/documents-register/detail?ref=SWD(2023)79&amp;lang=en</vt:lpwstr>
      </vt:variant>
      <vt:variant>
        <vt:lpwstr/>
      </vt:variant>
      <vt:variant>
        <vt:i4>8126508</vt:i4>
      </vt:variant>
      <vt:variant>
        <vt:i4>3</vt:i4>
      </vt:variant>
      <vt:variant>
        <vt:i4>0</vt:i4>
      </vt:variant>
      <vt:variant>
        <vt:i4>5</vt:i4>
      </vt:variant>
      <vt:variant>
        <vt:lpwstr>https://ec.europa.eu/transparency/documents-register/detail?ref=SWD(2023)79&amp;lang=en</vt:lpwstr>
      </vt:variant>
      <vt:variant>
        <vt:lpwstr/>
      </vt:variant>
      <vt:variant>
        <vt:i4>7864423</vt:i4>
      </vt:variant>
      <vt:variant>
        <vt:i4>0</vt:i4>
      </vt:variant>
      <vt:variant>
        <vt:i4>0</vt:i4>
      </vt:variant>
      <vt:variant>
        <vt:i4>5</vt:i4>
      </vt:variant>
      <vt:variant>
        <vt:lpwstr>https://eur-lex.europa.eu/eli/dir/2019/2121/oj/eng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9</cp:revision>
  <cp:lastPrinted>2026-03-17T21:51:00Z</cp:lastPrinted>
  <dcterms:created xsi:type="dcterms:W3CDTF">2026-03-17T21:50:00Z</dcterms:created>
  <dcterms:modified xsi:type="dcterms:W3CDTF">2026-03-17T22:22:00Z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2026-03-17T13:08:09Z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06648fc6-51c1-4e43-adc2-352c9e702403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3</vt:lpwstr>
  </property>
  <property fmtid="{D5CDD505-2E9C-101B-9397-08002B2CF9AE}" pid="11" name="Last edited using">
    <vt:lpwstr>LW 9.2, Build 20250828</vt:lpwstr>
  </property>
  <property fmtid="{D5CDD505-2E9C-101B-9397-08002B2CF9AE}" pid="12" name="MediaServiceImageTags">
    <vt:lpwstr/>
  </property>
  <property fmtid="{D5CDD505-2E9C-101B-9397-08002B2CF9AE}" pid="13" name="ContentTypeId">
    <vt:lpwstr>0x010100087E4EC354ADFB40AC5D4FC129E379BA</vt:lpwstr>
  </property>
  <property fmtid="{D5CDD505-2E9C-101B-9397-08002B2CF9AE}" pid="14" name="Created using">
    <vt:lpwstr>LW 9.2, Build 20250828</vt:lpwstr>
  </property>
  <property fmtid="{D5CDD505-2E9C-101B-9397-08002B2CF9AE}" pid="15" name="Total parts">
    <vt:lpwstr>3</vt:lpwstr>
  </property>
  <property fmtid="{D5CDD505-2E9C-101B-9397-08002B2CF9AE}" pid="16" name="DocStatus">
    <vt:lpwstr>Green</vt:lpwstr>
  </property>
  <property fmtid="{D5CDD505-2E9C-101B-9397-08002B2CF9AE}" pid="17" name="Level of sensitivity">
    <vt:lpwstr>Standard treatment</vt:lpwstr>
  </property>
  <property fmtid="{D5CDD505-2E9C-101B-9397-08002B2CF9AE}" pid="18" name="CPTemplateID">
    <vt:lpwstr>CP-026</vt:lpwstr>
  </property>
</Properties>
</file>